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2" w:rsidRDefault="00441512" w:rsidP="00441512">
      <w:pPr>
        <w:pStyle w:val="2"/>
        <w:rPr>
          <w:rFonts w:hint="cs"/>
          <w:rtl/>
        </w:rPr>
      </w:pPr>
      <w:bookmarkStart w:id="0" w:name="_Toc326085803"/>
      <w:r>
        <w:rPr>
          <w:rFonts w:hint="cs"/>
          <w:rtl/>
        </w:rPr>
        <w:t xml:space="preserve">סימן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SEQ</w:instrText>
      </w:r>
      <w:r>
        <w:rPr>
          <w:rFonts w:hint="cs"/>
          <w:rtl/>
        </w:rPr>
        <w:instrText xml:space="preserve"> סימניםנדה\* </w:instrText>
      </w:r>
      <w:r>
        <w:rPr>
          <w:rFonts w:hint="cs"/>
        </w:rP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א</w:t>
      </w:r>
      <w:r>
        <w:rPr>
          <w:rtl/>
        </w:rPr>
        <w:fldChar w:fldCharType="end"/>
      </w:r>
      <w:r>
        <w:rPr>
          <w:rFonts w:hint="cs"/>
          <w:rtl/>
        </w:rPr>
        <w:t xml:space="preserve">. בדין שרץ שנמצא בקופה, ג ע"ב </w:t>
      </w:r>
      <w:r>
        <w:rPr>
          <w:rtl/>
        </w:rPr>
        <w:t>–</w:t>
      </w:r>
      <w:r>
        <w:rPr>
          <w:rFonts w:hint="cs"/>
          <w:rtl/>
        </w:rPr>
        <w:t xml:space="preserve"> ד ע"א</w:t>
      </w:r>
      <w:bookmarkEnd w:id="0"/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א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>
        <w:rPr>
          <w:rtl/>
        </w:rPr>
        <w:t xml:space="preserve">תניא כי האי לישנא </w:t>
      </w:r>
      <w:proofErr w:type="spellStart"/>
      <w:r>
        <w:rPr>
          <w:rtl/>
        </w:rPr>
        <w:t>דאם</w:t>
      </w:r>
      <w:proofErr w:type="spellEnd"/>
      <w:r>
        <w:rPr>
          <w:rtl/>
        </w:rPr>
        <w:t xml:space="preserve"> איתא דהוה דם מעיקרא </w:t>
      </w:r>
      <w:proofErr w:type="spellStart"/>
      <w:r>
        <w:rPr>
          <w:rtl/>
        </w:rPr>
        <w:t>הוה</w:t>
      </w:r>
      <w:proofErr w:type="spellEnd"/>
      <w:r>
        <w:rPr>
          <w:rtl/>
        </w:rPr>
        <w:t xml:space="preserve"> אתי, אמר לו הלל לשמאי: אי אתה מודה בקופה </w:t>
      </w:r>
      <w:proofErr w:type="spellStart"/>
      <w:r>
        <w:rPr>
          <w:rtl/>
        </w:rPr>
        <w:t>שנשתמשו</w:t>
      </w:r>
      <w:proofErr w:type="spellEnd"/>
      <w:r>
        <w:rPr>
          <w:rtl/>
        </w:rPr>
        <w:t xml:space="preserve"> בה טהרות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זו, ונמצא שרץ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אחרת - שטהרות הראשונות טמאות? אמר לו: אבל! ומה הפרש בין זו לזו? לזו - יש לה שולים, לזו - אין לה שולים. </w:t>
      </w:r>
      <w:r>
        <w:rPr>
          <w:rFonts w:hint="cs"/>
          <w:rtl/>
        </w:rPr>
        <w:t>...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ב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>
        <w:rPr>
          <w:rtl/>
        </w:rPr>
        <w:t>(</w:t>
      </w:r>
      <w:proofErr w:type="spellStart"/>
      <w:r>
        <w:rPr>
          <w:rtl/>
        </w:rPr>
        <w:t>שולי"ם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בדוקי"ן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מכוסי"ן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בזוי"ת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סימ"ן</w:t>
      </w:r>
      <w:proofErr w:type="spellEnd"/>
      <w:r>
        <w:rPr>
          <w:rtl/>
        </w:rPr>
        <w:t xml:space="preserve">), איתמר: קופה </w:t>
      </w:r>
      <w:proofErr w:type="spellStart"/>
      <w:r>
        <w:rPr>
          <w:rtl/>
        </w:rPr>
        <w:t>שנשתמשו</w:t>
      </w:r>
      <w:proofErr w:type="spellEnd"/>
      <w:r>
        <w:rPr>
          <w:rtl/>
        </w:rPr>
        <w:t xml:space="preserve"> בה טהרות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זו, ונמצא שרץ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אחרת. חזקיה אמר: טהרות הראשונות טהורות, רבי יוחנן אמר: טהרות הראשונות טמאות. 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ג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>
        <w:rPr>
          <w:rtl/>
        </w:rPr>
        <w:t xml:space="preserve">והא (בית) שמאי והלל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בקופה </w:t>
      </w:r>
      <w:proofErr w:type="spellStart"/>
      <w:r>
        <w:rPr>
          <w:rtl/>
        </w:rPr>
        <w:t>דטהרות</w:t>
      </w:r>
      <w:proofErr w:type="spellEnd"/>
      <w:r>
        <w:rPr>
          <w:rtl/>
        </w:rPr>
        <w:t xml:space="preserve"> הראשונות טמאות! 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ד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>
        <w:rPr>
          <w:rtl/>
        </w:rPr>
        <w:t xml:space="preserve">כי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שמאי והלל - בקופה שיש לה שולים, כי פליגי חזקיה ורבי יוחנן - בקופה שאין לה שולים. אין לה שולים - מ"ט דר' יוחנן? אין לה שולים ויש לה אוגנים. </w:t>
      </w:r>
      <w:proofErr w:type="spellStart"/>
      <w:r>
        <w:rPr>
          <w:rtl/>
        </w:rPr>
        <w:t>והתניא</w:t>
      </w:r>
      <w:proofErr w:type="spellEnd"/>
      <w:r>
        <w:rPr>
          <w:rtl/>
        </w:rPr>
        <w:t xml:space="preserve">, המדלה עשרה דליים מים בזה אחר זה ונמצא שרץ באחד מהן - הוא טמא וכולן </w:t>
      </w:r>
      <w:proofErr w:type="spellStart"/>
      <w:r>
        <w:rPr>
          <w:rtl/>
        </w:rPr>
        <w:t>טהורין</w:t>
      </w:r>
      <w:proofErr w:type="spellEnd"/>
      <w:r>
        <w:rPr>
          <w:rtl/>
        </w:rPr>
        <w:t xml:space="preserve">. ואמר ריש לקיש משום רבי ינאי: לא שנו אלא שאין לה אוגנים, אבל יש לה אוגנים - כולן טמאין; </w:t>
      </w:r>
      <w:proofErr w:type="spellStart"/>
      <w:r>
        <w:rPr>
          <w:rtl/>
        </w:rPr>
        <w:t>לימא</w:t>
      </w:r>
      <w:proofErr w:type="spellEnd"/>
      <w:r>
        <w:rPr>
          <w:rtl/>
        </w:rPr>
        <w:t xml:space="preserve"> חזקיה לית ליה דר' ינאי! </w:t>
      </w:r>
      <w:proofErr w:type="spellStart"/>
      <w:r>
        <w:rPr>
          <w:rtl/>
        </w:rPr>
        <w:t>מיא</w:t>
      </w:r>
      <w:proofErr w:type="spellEnd"/>
      <w:r>
        <w:rPr>
          <w:rtl/>
        </w:rPr>
        <w:t xml:space="preserve"> - שרקי, </w:t>
      </w:r>
      <w:proofErr w:type="spellStart"/>
      <w:r>
        <w:rPr>
          <w:rtl/>
        </w:rPr>
        <w:t>פירי</w:t>
      </w:r>
      <w:proofErr w:type="spellEnd"/>
      <w:r>
        <w:rPr>
          <w:rtl/>
        </w:rPr>
        <w:t xml:space="preserve"> - לא שרקי; אי </w:t>
      </w:r>
      <w:proofErr w:type="spellStart"/>
      <w:r>
        <w:rPr>
          <w:rtl/>
        </w:rPr>
        <w:t>נמי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מיא</w:t>
      </w:r>
      <w:proofErr w:type="spellEnd"/>
      <w:r>
        <w:rPr>
          <w:rtl/>
        </w:rPr>
        <w:t xml:space="preserve"> - לא </w:t>
      </w:r>
      <w:proofErr w:type="spellStart"/>
      <w:r>
        <w:rPr>
          <w:rtl/>
        </w:rPr>
        <w:t>קפיד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עלייהו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פירי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קפיד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עלייהו</w:t>
      </w:r>
      <w:proofErr w:type="spellEnd"/>
      <w:r>
        <w:rPr>
          <w:rtl/>
        </w:rPr>
        <w:t xml:space="preserve">, 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ה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>
        <w:rPr>
          <w:rtl/>
        </w:rPr>
        <w:t xml:space="preserve">ואי </w:t>
      </w:r>
      <w:proofErr w:type="spellStart"/>
      <w:r>
        <w:rPr>
          <w:rtl/>
        </w:rPr>
        <w:t>בעית</w:t>
      </w:r>
      <w:proofErr w:type="spellEnd"/>
      <w:r>
        <w:rPr>
          <w:rtl/>
        </w:rPr>
        <w:t xml:space="preserve"> אימא: כי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שמאי והלל - בקופה שאינה בדוקה,</w:t>
      </w:r>
      <w:r w:rsidRPr="009F6FD3">
        <w:rPr>
          <w:rtl/>
        </w:rPr>
        <w:t xml:space="preserve"> </w:t>
      </w:r>
      <w:r>
        <w:rPr>
          <w:rtl/>
        </w:rPr>
        <w:t xml:space="preserve">כי פליגי חזקיה ור' יוחנן - בקופה בדוקה; מר סבר הא בדקה, ומר סבר - </w:t>
      </w:r>
      <w:proofErr w:type="spellStart"/>
      <w:r>
        <w:rPr>
          <w:rtl/>
        </w:rPr>
        <w:t>אימור</w:t>
      </w:r>
      <w:proofErr w:type="spellEnd"/>
      <w:r>
        <w:rPr>
          <w:rtl/>
        </w:rPr>
        <w:t xml:space="preserve"> עם סילוק ידו נפל. והא </w:t>
      </w:r>
      <w:proofErr w:type="spellStart"/>
      <w:r>
        <w:rPr>
          <w:rtl/>
        </w:rPr>
        <w:t>דומיא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דאשה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קתני</w:t>
      </w:r>
      <w:proofErr w:type="spellEnd"/>
      <w:r>
        <w:rPr>
          <w:rtl/>
        </w:rPr>
        <w:t xml:space="preserve">, ואשה בדוקה היא! כיון </w:t>
      </w:r>
      <w:proofErr w:type="spellStart"/>
      <w:r>
        <w:rPr>
          <w:rtl/>
        </w:rPr>
        <w:t>דשכיחי</w:t>
      </w:r>
      <w:proofErr w:type="spellEnd"/>
      <w:r>
        <w:rPr>
          <w:rtl/>
        </w:rPr>
        <w:t xml:space="preserve"> בה דמים - כשאינה בדוקה דמיא. 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ו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proofErr w:type="spellStart"/>
      <w:r>
        <w:rPr>
          <w:rtl/>
        </w:rPr>
        <w:t>ואיבעית</w:t>
      </w:r>
      <w:proofErr w:type="spellEnd"/>
      <w:r>
        <w:rPr>
          <w:rtl/>
        </w:rPr>
        <w:t xml:space="preserve"> אימא: כי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שמאי והלל - בקופה שאינה מכוסה, כי פליגי חזקיה ורבי יוחנן - בקופה מכוסה. מכוסה - </w:t>
      </w:r>
      <w:proofErr w:type="spellStart"/>
      <w:r>
        <w:rPr>
          <w:rtl/>
        </w:rPr>
        <w:t>היכי</w:t>
      </w:r>
      <w:proofErr w:type="spellEnd"/>
      <w:r>
        <w:rPr>
          <w:rtl/>
        </w:rPr>
        <w:t xml:space="preserve"> נפל? כגון שתשמישה ע"י כסוי. והא </w:t>
      </w:r>
      <w:proofErr w:type="spellStart"/>
      <w:r>
        <w:rPr>
          <w:rtl/>
        </w:rPr>
        <w:t>דומיא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דאשה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קתני</w:t>
      </w:r>
      <w:proofErr w:type="spellEnd"/>
      <w:r>
        <w:rPr>
          <w:rtl/>
        </w:rPr>
        <w:t xml:space="preserve">, ואשה מכוסה היא! כיון </w:t>
      </w:r>
      <w:proofErr w:type="spellStart"/>
      <w:r>
        <w:rPr>
          <w:rtl/>
        </w:rPr>
        <w:t>דשכיחי</w:t>
      </w:r>
      <w:proofErr w:type="spellEnd"/>
      <w:r>
        <w:rPr>
          <w:rtl/>
        </w:rPr>
        <w:t xml:space="preserve"> בה דמים - כשאין מכוסה דמיא. </w:t>
      </w:r>
    </w:p>
    <w:p w:rsidR="00441512" w:rsidRDefault="00441512" w:rsidP="00441512">
      <w:pPr>
        <w:pStyle w:val="a3"/>
        <w:rPr>
          <w:rFonts w:hint="cs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נדהגד\* </w:instrText>
      </w:r>
      <w:r>
        <w:instrText>hebrew1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ז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proofErr w:type="spellStart"/>
      <w:r>
        <w:rPr>
          <w:rtl/>
        </w:rPr>
        <w:t>ואיבעית</w:t>
      </w:r>
      <w:proofErr w:type="spellEnd"/>
      <w:r>
        <w:rPr>
          <w:rtl/>
        </w:rPr>
        <w:t xml:space="preserve"> אימא: כי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 שמאי והלל -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קופה, כי פליגי חזקיה ורבי יוחנן -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בית. והא קופה </w:t>
      </w:r>
      <w:proofErr w:type="spellStart"/>
      <w:r>
        <w:rPr>
          <w:rtl/>
        </w:rPr>
        <w:t>קאמר</w:t>
      </w:r>
      <w:proofErr w:type="spellEnd"/>
      <w:r>
        <w:rPr>
          <w:rtl/>
        </w:rPr>
        <w:t xml:space="preserve">! </w:t>
      </w:r>
      <w:proofErr w:type="spellStart"/>
      <w:r>
        <w:rPr>
          <w:rtl/>
        </w:rPr>
        <w:t>ה"ק</w:t>
      </w:r>
      <w:proofErr w:type="spellEnd"/>
      <w:r>
        <w:rPr>
          <w:rtl/>
        </w:rPr>
        <w:t xml:space="preserve">: קופה </w:t>
      </w:r>
      <w:proofErr w:type="spellStart"/>
      <w:r>
        <w:rPr>
          <w:rtl/>
        </w:rPr>
        <w:t>שנשתמשו</w:t>
      </w:r>
      <w:proofErr w:type="spellEnd"/>
      <w:r>
        <w:rPr>
          <w:rtl/>
        </w:rPr>
        <w:t xml:space="preserve"> בה טהרות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בית זו, וטלטלוה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אחרת, ונמצא שרץ </w:t>
      </w:r>
      <w:proofErr w:type="spellStart"/>
      <w:r>
        <w:rPr>
          <w:rtl/>
        </w:rPr>
        <w:t>בזוית</w:t>
      </w:r>
      <w:proofErr w:type="spellEnd"/>
      <w:r>
        <w:rPr>
          <w:rtl/>
        </w:rPr>
        <w:t xml:space="preserve"> אחרת; חזקיה סבר: לא </w:t>
      </w:r>
      <w:proofErr w:type="spellStart"/>
      <w:r>
        <w:rPr>
          <w:rtl/>
        </w:rPr>
        <w:t>מחזקינן</w:t>
      </w:r>
      <w:proofErr w:type="spellEnd"/>
      <w:r>
        <w:rPr>
          <w:rtl/>
        </w:rPr>
        <w:t xml:space="preserve"> טומאה ממקום למקום, ורבי יוחנן סבר: </w:t>
      </w:r>
      <w:proofErr w:type="spellStart"/>
      <w:r>
        <w:rPr>
          <w:rtl/>
        </w:rPr>
        <w:t>מחזקינן</w:t>
      </w:r>
      <w:proofErr w:type="spellEnd"/>
      <w:r>
        <w:rPr>
          <w:rtl/>
        </w:rPr>
        <w:t>.</w:t>
      </w:r>
    </w:p>
    <w:p w:rsidR="00441512" w:rsidRDefault="00441512" w:rsidP="00441512">
      <w:pPr>
        <w:pStyle w:val="3"/>
        <w:rPr>
          <w:rFonts w:hint="cs"/>
          <w:rtl/>
        </w:rPr>
      </w:pPr>
    </w:p>
    <w:p w:rsidR="00441512" w:rsidRDefault="00441512" w:rsidP="00441512">
      <w:pPr>
        <w:rPr>
          <w:rFonts w:hint="cs"/>
          <w:rtl/>
        </w:rPr>
      </w:pPr>
      <w:proofErr w:type="spellStart"/>
      <w:r>
        <w:rPr>
          <w:rFonts w:hint="cs"/>
          <w:rtl/>
        </w:rPr>
        <w:t>בבריתא</w:t>
      </w:r>
      <w:proofErr w:type="spellEnd"/>
      <w:r>
        <w:rPr>
          <w:rFonts w:hint="cs"/>
          <w:rtl/>
        </w:rPr>
        <w:t xml:space="preserve"> (סעיף א) מודה שמאי להלל ששרץ שנמצא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הקופה, לאחר שהיו טהרות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אחרת באותה קופה </w:t>
      </w:r>
      <w:r>
        <w:rPr>
          <w:rtl/>
        </w:rPr>
        <w:t>–</w:t>
      </w:r>
      <w:r>
        <w:rPr>
          <w:rFonts w:hint="cs"/>
          <w:rtl/>
        </w:rPr>
        <w:t xml:space="preserve"> הטהרות הללו טמאות. לעומת זאת חזקיה (סעיף ב) חלוק על רבי יוחנן, וסובר, לכאורה באותו מקרה ממש, שהטהרות טהורות. </w:t>
      </w:r>
    </w:p>
    <w:p w:rsidR="00441512" w:rsidRDefault="00441512" w:rsidP="00441512">
      <w:pPr>
        <w:rPr>
          <w:rFonts w:hint="cs"/>
          <w:rtl/>
        </w:rPr>
      </w:pP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הגמרא מציעה ארבע אפשרויות (סעיפים ד-ז) לחלק בין המקרה של חזקיה </w:t>
      </w:r>
      <w:proofErr w:type="spellStart"/>
      <w:r>
        <w:rPr>
          <w:rFonts w:hint="cs"/>
          <w:rtl/>
        </w:rPr>
        <w:t>ור"י</w:t>
      </w:r>
      <w:proofErr w:type="spellEnd"/>
      <w:r>
        <w:rPr>
          <w:rFonts w:hint="cs"/>
          <w:rtl/>
        </w:rPr>
        <w:t xml:space="preserve"> לבין המקרה של שמאי והלל:</w:t>
      </w:r>
    </w:p>
    <w:p w:rsidR="00441512" w:rsidRDefault="00441512" w:rsidP="00441512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חזקיה </w:t>
      </w:r>
      <w:proofErr w:type="spellStart"/>
      <w:r>
        <w:rPr>
          <w:rFonts w:hint="cs"/>
          <w:rtl/>
        </w:rPr>
        <w:t>ור"י</w:t>
      </w:r>
      <w:proofErr w:type="spellEnd"/>
      <w:r>
        <w:rPr>
          <w:rFonts w:hint="cs"/>
          <w:rtl/>
        </w:rPr>
        <w:t xml:space="preserve"> עוסקים בקופה ללא שוליים [ושמאי והלל עם שוליים]</w:t>
      </w:r>
    </w:p>
    <w:p w:rsidR="00441512" w:rsidRDefault="00441512" w:rsidP="00441512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חזקיה </w:t>
      </w:r>
      <w:proofErr w:type="spellStart"/>
      <w:r>
        <w:rPr>
          <w:rFonts w:hint="cs"/>
          <w:rtl/>
        </w:rPr>
        <w:t>ור"י</w:t>
      </w:r>
      <w:proofErr w:type="spellEnd"/>
      <w:r>
        <w:rPr>
          <w:rFonts w:hint="cs"/>
          <w:rtl/>
        </w:rPr>
        <w:t xml:space="preserve"> עוסקים בקופה בדוקה [ושמאי והלל בלא בדוקה]</w:t>
      </w:r>
    </w:p>
    <w:p w:rsidR="00441512" w:rsidRDefault="00441512" w:rsidP="00441512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חזקיה </w:t>
      </w:r>
      <w:proofErr w:type="spellStart"/>
      <w:r>
        <w:rPr>
          <w:rFonts w:hint="cs"/>
          <w:rtl/>
        </w:rPr>
        <w:t>ור"י</w:t>
      </w:r>
      <w:proofErr w:type="spellEnd"/>
      <w:r>
        <w:rPr>
          <w:rFonts w:hint="cs"/>
          <w:rtl/>
        </w:rPr>
        <w:t xml:space="preserve"> עוסקים בקופה מכוסה [ושמאי והלל בלא מכוסה]</w:t>
      </w:r>
    </w:p>
    <w:p w:rsidR="00441512" w:rsidRDefault="00441512" w:rsidP="00441512">
      <w:pPr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חזקיה </w:t>
      </w:r>
      <w:proofErr w:type="spellStart"/>
      <w:r>
        <w:rPr>
          <w:rFonts w:hint="cs"/>
          <w:rtl/>
        </w:rPr>
        <w:t>ור"י</w:t>
      </w:r>
      <w:proofErr w:type="spellEnd"/>
      <w:r>
        <w:rPr>
          <w:rFonts w:hint="cs"/>
          <w:rtl/>
        </w:rPr>
        <w:t xml:space="preserve"> עוסקים שהשרץ נמצא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הבית [ושמאי והלל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הקופה]</w:t>
      </w:r>
    </w:p>
    <w:p w:rsidR="00441512" w:rsidRDefault="00441512" w:rsidP="00441512">
      <w:pPr>
        <w:rPr>
          <w:rFonts w:hint="cs"/>
          <w:rtl/>
        </w:rPr>
      </w:pP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בהנחה שהתירוצים לא חלוקים זה על זה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ההלכה, וכולם מודים ששמאי והלל מטמאים בארבעת המקרים הנ"ל, וכן חזקיה מטהר בארבעת המקרים הנ"ל, היחס בין המקרים הוא כדלהלן:</w:t>
      </w:r>
    </w:p>
    <w:p w:rsidR="00441512" w:rsidRDefault="00441512" w:rsidP="00441512">
      <w:pPr>
        <w:pStyle w:val="4"/>
        <w:rPr>
          <w:rFonts w:hint="cs"/>
          <w:rtl/>
        </w:rPr>
      </w:pPr>
      <w:r>
        <w:rPr>
          <w:rFonts w:hint="cs"/>
          <w:rtl/>
        </w:rPr>
        <w:t xml:space="preserve">דין טהרות שנמצאו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אחרת בקופה 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קופה ללא שוליים או קופה בדוקה ומכוסה </w:t>
      </w:r>
      <w:r>
        <w:rPr>
          <w:rtl/>
        </w:rPr>
        <w:t>–</w:t>
      </w:r>
      <w:r>
        <w:rPr>
          <w:rFonts w:hint="cs"/>
          <w:rtl/>
        </w:rPr>
        <w:t xml:space="preserve"> מחלוקת חזקיה </w:t>
      </w:r>
      <w:proofErr w:type="spellStart"/>
      <w:r>
        <w:rPr>
          <w:rFonts w:hint="cs"/>
          <w:rtl/>
        </w:rPr>
        <w:t>ור"י</w:t>
      </w:r>
      <w:proofErr w:type="spellEnd"/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קופה עם שוליים, שהיא לא בדוקה או שהיא לא מכוסה </w:t>
      </w:r>
      <w:r>
        <w:rPr>
          <w:rtl/>
        </w:rPr>
        <w:t>–</w:t>
      </w:r>
      <w:r>
        <w:rPr>
          <w:rFonts w:hint="cs"/>
          <w:rtl/>
        </w:rPr>
        <w:t xml:space="preserve"> טמאות</w:t>
      </w:r>
    </w:p>
    <w:p w:rsidR="00441512" w:rsidRDefault="00441512" w:rsidP="00441512">
      <w:pPr>
        <w:pStyle w:val="4"/>
        <w:rPr>
          <w:rFonts w:hint="cs"/>
          <w:rtl/>
        </w:rPr>
      </w:pPr>
      <w:r>
        <w:rPr>
          <w:rFonts w:hint="cs"/>
          <w:rtl/>
        </w:rPr>
        <w:t xml:space="preserve">דין טהרות שנמצאו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אחרת בבית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>מחלוקת חזקיה ורבי יוחנן</w:t>
      </w:r>
    </w:p>
    <w:p w:rsidR="00441512" w:rsidRDefault="00441512" w:rsidP="00441512">
      <w:pPr>
        <w:rPr>
          <w:rFonts w:hint="cs"/>
          <w:rtl/>
        </w:rPr>
      </w:pPr>
    </w:p>
    <w:p w:rsidR="00441512" w:rsidRDefault="00441512" w:rsidP="00441512">
      <w:pPr>
        <w:pStyle w:val="3"/>
        <w:rPr>
          <w:rFonts w:hint="cs"/>
          <w:rtl/>
        </w:rPr>
      </w:pPr>
      <w:r>
        <w:rPr>
          <w:rFonts w:hint="cs"/>
          <w:rtl/>
        </w:rPr>
        <w:t>הצרנה</w:t>
      </w:r>
    </w:p>
    <w:p w:rsidR="00441512" w:rsidRDefault="00441512" w:rsidP="00441512">
      <w:pPr>
        <w:pStyle w:val="4"/>
        <w:rPr>
          <w:rFonts w:hint="cs"/>
          <w:rtl/>
        </w:rPr>
      </w:pPr>
      <w:r>
        <w:rPr>
          <w:rFonts w:hint="cs"/>
          <w:rtl/>
        </w:rPr>
        <w:t>המשתנים הבלתי תלויים</w:t>
      </w:r>
    </w:p>
    <w:p w:rsidR="00441512" w:rsidRDefault="00441512" w:rsidP="00441512">
      <w:pPr>
        <w:rPr>
          <w:rFonts w:hint="cs"/>
          <w:rtl/>
        </w:rPr>
      </w:pPr>
      <w:proofErr w:type="spellStart"/>
      <w:r>
        <w:rPr>
          <w:rFonts w:hint="cs"/>
          <w:rtl/>
        </w:rPr>
        <w:t>זוית</w:t>
      </w:r>
      <w:proofErr w:type="spellEnd"/>
      <w:r>
        <w:rPr>
          <w:rFonts w:hint="cs"/>
          <w:rtl/>
        </w:rPr>
        <w:t xml:space="preserve"> של [בית / קופה] = ז [+/-]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>שוליים [בלי/ עם] = ש [+/-]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>בדוקה [כן / לא] = ב [+/-]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>מכוסה [כן / לא] = מ [+/-]</w:t>
      </w:r>
    </w:p>
    <w:p w:rsidR="00441512" w:rsidRDefault="00441512" w:rsidP="00441512">
      <w:pPr>
        <w:pStyle w:val="4"/>
        <w:rPr>
          <w:rFonts w:hint="cs"/>
          <w:rtl/>
        </w:rPr>
      </w:pPr>
      <w:r>
        <w:rPr>
          <w:rFonts w:hint="cs"/>
          <w:rtl/>
        </w:rPr>
        <w:t>המשתנה התלוי</w:t>
      </w:r>
    </w:p>
    <w:p w:rsidR="00441512" w:rsidRPr="000B1ACC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ההלכה [מחלוקת חזקיה </w:t>
      </w:r>
      <w:proofErr w:type="spellStart"/>
      <w:r>
        <w:rPr>
          <w:rFonts w:hint="cs"/>
          <w:rtl/>
        </w:rPr>
        <w:t>ור"י</w:t>
      </w:r>
      <w:proofErr w:type="spellEnd"/>
      <w:r w:rsidRPr="00B24492">
        <w:rPr>
          <w:rFonts w:hint="cs"/>
          <w:rtl/>
        </w:rPr>
        <w:t xml:space="preserve"> </w:t>
      </w:r>
      <w:r>
        <w:rPr>
          <w:rFonts w:hint="cs"/>
          <w:rtl/>
        </w:rPr>
        <w:t>/ טמא כשמאי והלל] = ה [+/-]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הערכים הימניים נוטים יותר </w:t>
      </w:r>
      <w:proofErr w:type="spellStart"/>
      <w:r>
        <w:rPr>
          <w:rFonts w:hint="cs"/>
          <w:rtl/>
        </w:rPr>
        <w:t>לקולא</w:t>
      </w:r>
      <w:proofErr w:type="spellEnd"/>
      <w:r>
        <w:rPr>
          <w:rFonts w:hint="cs"/>
          <w:rtl/>
        </w:rPr>
        <w:t xml:space="preserve"> מהימניים</w:t>
      </w:r>
    </w:p>
    <w:p w:rsidR="00441512" w:rsidRDefault="00441512" w:rsidP="00441512">
      <w:pPr>
        <w:pStyle w:val="4"/>
        <w:rPr>
          <w:rFonts w:hint="cs"/>
          <w:rtl/>
        </w:rPr>
      </w:pPr>
      <w:r>
        <w:rPr>
          <w:rFonts w:hint="cs"/>
          <w:rtl/>
        </w:rPr>
        <w:t>הנוסחה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ז+  </w:t>
      </w:r>
      <w:r w:rsidRPr="003438EC">
        <w:rPr>
          <w:rFonts w:hint="cs"/>
          <w:b/>
          <w:bCs/>
          <w:rtl/>
        </w:rPr>
        <w:t>או</w:t>
      </w:r>
      <w:r>
        <w:rPr>
          <w:rFonts w:hint="cs"/>
          <w:rtl/>
        </w:rPr>
        <w:t xml:space="preserve"> {ש+ </w:t>
      </w:r>
      <w:r w:rsidRPr="003438EC">
        <w:rPr>
          <w:rFonts w:hint="cs"/>
          <w:b/>
          <w:bCs/>
          <w:rtl/>
        </w:rPr>
        <w:t>או</w:t>
      </w:r>
      <w:r>
        <w:rPr>
          <w:rFonts w:hint="cs"/>
          <w:rtl/>
        </w:rPr>
        <w:t xml:space="preserve"> [ב+ </w:t>
      </w:r>
      <w:r w:rsidRPr="003438EC">
        <w:rPr>
          <w:rFonts w:hint="cs"/>
          <w:b/>
          <w:bCs/>
          <w:rtl/>
        </w:rPr>
        <w:t>וגם</w:t>
      </w:r>
      <w:r>
        <w:rPr>
          <w:rFonts w:hint="cs"/>
          <w:rtl/>
        </w:rPr>
        <w:t xml:space="preserve"> מ+]} </w:t>
      </w:r>
      <w:r w:rsidRPr="003438EC">
        <w:rPr>
          <w:rFonts w:hint="cs"/>
          <w:b/>
          <w:bCs/>
          <w:rtl/>
        </w:rPr>
        <w:t>=&gt;</w:t>
      </w:r>
      <w:r>
        <w:rPr>
          <w:rFonts w:hint="cs"/>
          <w:rtl/>
        </w:rPr>
        <w:t xml:space="preserve">  ה+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ז-  </w:t>
      </w:r>
      <w:r>
        <w:rPr>
          <w:rFonts w:hint="cs"/>
          <w:b/>
          <w:bCs/>
          <w:rtl/>
        </w:rPr>
        <w:t>וגם</w:t>
      </w:r>
      <w:r>
        <w:rPr>
          <w:rFonts w:hint="cs"/>
          <w:rtl/>
        </w:rPr>
        <w:t xml:space="preserve"> {ש- </w:t>
      </w:r>
      <w:r>
        <w:rPr>
          <w:rFonts w:hint="cs"/>
          <w:b/>
          <w:bCs/>
          <w:rtl/>
        </w:rPr>
        <w:t>וגם</w:t>
      </w:r>
      <w:r>
        <w:rPr>
          <w:rFonts w:hint="cs"/>
          <w:rtl/>
        </w:rPr>
        <w:t xml:space="preserve"> [ב- </w:t>
      </w:r>
      <w:r w:rsidRPr="003438EC">
        <w:rPr>
          <w:rFonts w:hint="cs"/>
          <w:b/>
          <w:bCs/>
          <w:rtl/>
        </w:rPr>
        <w:t>וגם</w:t>
      </w:r>
      <w:r>
        <w:rPr>
          <w:rFonts w:hint="cs"/>
          <w:rtl/>
        </w:rPr>
        <w:t xml:space="preserve"> מ-]} </w:t>
      </w:r>
      <w:r w:rsidRPr="003438EC">
        <w:rPr>
          <w:rFonts w:hint="cs"/>
          <w:b/>
          <w:bCs/>
          <w:rtl/>
        </w:rPr>
        <w:t>=&gt;</w:t>
      </w:r>
      <w:r>
        <w:rPr>
          <w:rFonts w:hint="cs"/>
          <w:rtl/>
        </w:rPr>
        <w:t xml:space="preserve">  ה-</w:t>
      </w:r>
    </w:p>
    <w:p w:rsidR="00441512" w:rsidRDefault="00441512" w:rsidP="00441512">
      <w:pPr>
        <w:rPr>
          <w:rFonts w:hint="cs"/>
          <w:rtl/>
        </w:rPr>
      </w:pPr>
    </w:p>
    <w:p w:rsidR="00441512" w:rsidRDefault="00441512" w:rsidP="00441512">
      <w:pPr>
        <w:pStyle w:val="3"/>
        <w:rPr>
          <w:rFonts w:hint="cs"/>
          <w:rtl/>
        </w:rPr>
      </w:pPr>
      <w:r>
        <w:rPr>
          <w:rFonts w:hint="cs"/>
          <w:rtl/>
        </w:rPr>
        <w:t>סיכום</w:t>
      </w: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 xml:space="preserve">שמאי והלל מודים שטמא רק בהצטרף שלושה ערכים </w:t>
      </w:r>
      <w:proofErr w:type="spellStart"/>
      <w:r>
        <w:rPr>
          <w:rFonts w:hint="cs"/>
          <w:rtl/>
        </w:rPr>
        <w:t>לחומרא</w:t>
      </w:r>
      <w:proofErr w:type="spellEnd"/>
      <w:r>
        <w:rPr>
          <w:rFonts w:hint="cs"/>
          <w:rtl/>
        </w:rPr>
        <w:t xml:space="preserve">: </w:t>
      </w:r>
    </w:p>
    <w:p w:rsidR="00441512" w:rsidRDefault="00441512" w:rsidP="00441512">
      <w:pPr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השרץ נמצא בזווית הקופה עצמה</w:t>
      </w:r>
    </w:p>
    <w:p w:rsidR="00441512" w:rsidRDefault="00441512" w:rsidP="00441512">
      <w:pPr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לקופה יש שוליים</w:t>
      </w:r>
    </w:p>
    <w:p w:rsidR="00441512" w:rsidRDefault="00441512" w:rsidP="00441512">
      <w:pPr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הקופה לא בדוקה או לא מכוסה [רק בתוך סעיף זה יש 'או']</w:t>
      </w:r>
    </w:p>
    <w:p w:rsidR="00441512" w:rsidRDefault="00441512" w:rsidP="00441512">
      <w:pPr>
        <w:rPr>
          <w:rFonts w:hint="cs"/>
          <w:rtl/>
        </w:rPr>
      </w:pPr>
    </w:p>
    <w:p w:rsidR="00441512" w:rsidRDefault="00441512" w:rsidP="00441512">
      <w:pPr>
        <w:rPr>
          <w:rFonts w:hint="cs"/>
          <w:rtl/>
        </w:rPr>
      </w:pPr>
      <w:r>
        <w:rPr>
          <w:rFonts w:hint="cs"/>
          <w:rtl/>
        </w:rPr>
        <w:t>חזקיה חלוק על רבי יוחנן ומטהר כשאחת החומרות לא קיימת [כאן היחס בין הסעיפים הוא 'או']:</w:t>
      </w:r>
    </w:p>
    <w:p w:rsidR="00441512" w:rsidRDefault="00441512" w:rsidP="00441512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השרץ נמצא </w:t>
      </w:r>
      <w:proofErr w:type="spellStart"/>
      <w:r>
        <w:rPr>
          <w:rFonts w:hint="cs"/>
          <w:rtl/>
        </w:rPr>
        <w:t>בזוית</w:t>
      </w:r>
      <w:proofErr w:type="spellEnd"/>
      <w:r>
        <w:rPr>
          <w:rFonts w:hint="cs"/>
          <w:rtl/>
        </w:rPr>
        <w:t xml:space="preserve"> הבית</w:t>
      </w:r>
    </w:p>
    <w:p w:rsidR="00441512" w:rsidRDefault="00441512" w:rsidP="00441512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לקופה אין שוליים</w:t>
      </w:r>
    </w:p>
    <w:p w:rsidR="007666F3" w:rsidRPr="00441512" w:rsidRDefault="00441512" w:rsidP="00441512">
      <w:pPr>
        <w:numPr>
          <w:ilvl w:val="0"/>
          <w:numId w:val="3"/>
        </w:numPr>
      </w:pPr>
      <w:r>
        <w:rPr>
          <w:rFonts w:hint="cs"/>
          <w:rtl/>
        </w:rPr>
        <w:t>הקופה מכוסה ובדוקה [רק בתוך סעיף זה יש 'גם']</w:t>
      </w:r>
      <w:bookmarkStart w:id="1" w:name="_GoBack"/>
      <w:bookmarkEnd w:id="1"/>
    </w:p>
    <w:sectPr w:rsidR="007666F3" w:rsidRPr="00441512" w:rsidSect="00441512">
      <w:pgSz w:w="11906" w:h="16838"/>
      <w:pgMar w:top="2268" w:right="1985" w:bottom="2268" w:left="1985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161"/>
    <w:multiLevelType w:val="hybridMultilevel"/>
    <w:tmpl w:val="A626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5B9"/>
    <w:multiLevelType w:val="hybridMultilevel"/>
    <w:tmpl w:val="3C3A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208"/>
    <w:multiLevelType w:val="hybridMultilevel"/>
    <w:tmpl w:val="9140AFE2"/>
    <w:lvl w:ilvl="0" w:tplc="0A3612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2"/>
    <w:rsid w:val="00441512"/>
    <w:rsid w:val="00672965"/>
    <w:rsid w:val="007666F3"/>
    <w:rsid w:val="00D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2"/>
    <w:pPr>
      <w:bidi/>
      <w:spacing w:after="0" w:line="30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2">
    <w:name w:val="heading 2"/>
    <w:basedOn w:val="a"/>
    <w:next w:val="a"/>
    <w:link w:val="20"/>
    <w:qFormat/>
    <w:rsid w:val="00441512"/>
    <w:pPr>
      <w:keepNext/>
      <w:pageBreakBefore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5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512"/>
    <w:pPr>
      <w:keepNext/>
      <w:spacing w:before="240" w:after="6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441512"/>
    <w:rPr>
      <w:rFonts w:ascii="Arial" w:eastAsia="Times New Roman" w:hAnsi="Arial" w:cs="David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rsid w:val="00441512"/>
    <w:rPr>
      <w:rFonts w:ascii="Arial" w:eastAsia="Times New Roman" w:hAnsi="Arial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rsid w:val="00441512"/>
    <w:rPr>
      <w:rFonts w:ascii="Times New Roman" w:eastAsia="Times New Roman" w:hAnsi="Times New Roman" w:cs="David"/>
      <w:i/>
      <w:iCs/>
      <w:sz w:val="24"/>
      <w:szCs w:val="24"/>
    </w:rPr>
  </w:style>
  <w:style w:type="paragraph" w:customStyle="1" w:styleId="a3">
    <w:name w:val="צטוט"/>
    <w:basedOn w:val="a"/>
    <w:autoRedefine/>
    <w:rsid w:val="00441512"/>
    <w:pPr>
      <w:ind w:left="680" w:hanging="340"/>
    </w:pPr>
    <w:rPr>
      <w:rFonts w:cs="Guttman-Toledo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2"/>
    <w:pPr>
      <w:bidi/>
      <w:spacing w:after="0" w:line="30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2">
    <w:name w:val="heading 2"/>
    <w:basedOn w:val="a"/>
    <w:next w:val="a"/>
    <w:link w:val="20"/>
    <w:qFormat/>
    <w:rsid w:val="00441512"/>
    <w:pPr>
      <w:keepNext/>
      <w:pageBreakBefore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5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512"/>
    <w:pPr>
      <w:keepNext/>
      <w:spacing w:before="240" w:after="6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441512"/>
    <w:rPr>
      <w:rFonts w:ascii="Arial" w:eastAsia="Times New Roman" w:hAnsi="Arial" w:cs="David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rsid w:val="00441512"/>
    <w:rPr>
      <w:rFonts w:ascii="Arial" w:eastAsia="Times New Roman" w:hAnsi="Arial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rsid w:val="00441512"/>
    <w:rPr>
      <w:rFonts w:ascii="Times New Roman" w:eastAsia="Times New Roman" w:hAnsi="Times New Roman" w:cs="David"/>
      <w:i/>
      <w:iCs/>
      <w:sz w:val="24"/>
      <w:szCs w:val="24"/>
    </w:rPr>
  </w:style>
  <w:style w:type="paragraph" w:customStyle="1" w:styleId="a3">
    <w:name w:val="צטוט"/>
    <w:basedOn w:val="a"/>
    <w:autoRedefine/>
    <w:rsid w:val="00441512"/>
    <w:pPr>
      <w:ind w:left="680" w:hanging="340"/>
    </w:pPr>
    <w:rPr>
      <w:rFonts w:cs="Guttman-Toled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הראל</dc:creator>
  <cp:lastModifiedBy>הראל</cp:lastModifiedBy>
  <cp:revision>1</cp:revision>
  <dcterms:created xsi:type="dcterms:W3CDTF">2012-05-30T05:30:00Z</dcterms:created>
  <dcterms:modified xsi:type="dcterms:W3CDTF">2012-05-30T05:31:00Z</dcterms:modified>
</cp:coreProperties>
</file>