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1065"/>
        <w:bidiVisual/>
        <w:tblW w:w="10490" w:type="dxa"/>
        <w:tblLook w:val="04A0" w:firstRow="1" w:lastRow="0" w:firstColumn="1" w:lastColumn="0" w:noHBand="0" w:noVBand="1"/>
      </w:tblPr>
      <w:tblGrid>
        <w:gridCol w:w="425"/>
        <w:gridCol w:w="3783"/>
        <w:gridCol w:w="1037"/>
        <w:gridCol w:w="1984"/>
        <w:gridCol w:w="3261"/>
      </w:tblGrid>
      <w:tr w:rsidR="00671F08" w:rsidTr="00C70FC0">
        <w:trPr>
          <w:trHeight w:val="416"/>
        </w:trPr>
        <w:tc>
          <w:tcPr>
            <w:tcW w:w="10490" w:type="dxa"/>
            <w:gridSpan w:val="5"/>
          </w:tcPr>
          <w:p w:rsidR="00671F08" w:rsidRDefault="00671F08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במשנה שמונה מקרים אם תוסיף את המקרים הירוקים 12 ואם תוס</w:t>
            </w:r>
            <w:bookmarkStart w:id="0" w:name="_GoBack"/>
            <w:bookmarkEnd w:id="0"/>
            <w:r>
              <w:rPr>
                <w:rFonts w:hint="cs"/>
                <w:rtl/>
              </w:rPr>
              <w:t xml:space="preserve">יף את התכלת יהיה 16 </w:t>
            </w:r>
          </w:p>
          <w:p w:rsidR="00671F08" w:rsidRDefault="00671F08" w:rsidP="00C70FC0">
            <w:pPr>
              <w:jc w:val="center"/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מדוע לא שנו </w:t>
            </w:r>
            <w:r>
              <w:rPr>
                <w:rFonts w:hint="cs"/>
                <w:rtl/>
              </w:rPr>
              <w:t xml:space="preserve">יציאת השבת 16 </w:t>
            </w:r>
            <w:r>
              <w:rPr>
                <w:rFonts w:hint="cs"/>
                <w:rtl/>
              </w:rPr>
              <w:t xml:space="preserve"> ?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המקרה </w:t>
            </w:r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261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הדין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1.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הכנסה </w:t>
            </w:r>
            <w:proofErr w:type="spellStart"/>
            <w:r>
              <w:rPr>
                <w:rFonts w:hint="cs"/>
                <w:rtl/>
              </w:rPr>
              <w:t>דעני</w:t>
            </w:r>
            <w:proofErr w:type="spellEnd"/>
            <w:r>
              <w:rPr>
                <w:rFonts w:hint="cs"/>
                <w:rtl/>
              </w:rPr>
              <w:t xml:space="preserve"> </w:t>
            </w:r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עקר והניח </w:t>
            </w:r>
          </w:p>
        </w:tc>
        <w:tc>
          <w:tcPr>
            <w:tcW w:w="3261" w:type="dxa"/>
          </w:tcPr>
          <w:p w:rsidR="00671F08" w:rsidRPr="00413FAD" w:rsidRDefault="00671F08" w:rsidP="00C70FC0">
            <w:pPr>
              <w:rPr>
                <w:highlight w:val="cyan"/>
                <w:rtl/>
              </w:rPr>
            </w:pPr>
            <w:r w:rsidRPr="00413FAD">
              <w:rPr>
                <w:rFonts w:hint="cs"/>
                <w:highlight w:val="cyan"/>
                <w:rtl/>
              </w:rPr>
              <w:t>בעל הבית פטור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הוצאה </w:t>
            </w:r>
            <w:proofErr w:type="spellStart"/>
            <w:r>
              <w:rPr>
                <w:rFonts w:hint="cs"/>
                <w:rtl/>
              </w:rPr>
              <w:t>דעני</w:t>
            </w:r>
            <w:proofErr w:type="spellEnd"/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עקר והניח </w:t>
            </w:r>
          </w:p>
        </w:tc>
        <w:tc>
          <w:tcPr>
            <w:tcW w:w="3261" w:type="dxa"/>
          </w:tcPr>
          <w:p w:rsidR="00671F08" w:rsidRPr="00413FAD" w:rsidRDefault="00671F08" w:rsidP="00C70FC0">
            <w:pPr>
              <w:rPr>
                <w:highlight w:val="cyan"/>
                <w:rtl/>
              </w:rPr>
            </w:pPr>
            <w:r w:rsidRPr="00413FAD">
              <w:rPr>
                <w:rFonts w:hint="cs"/>
                <w:highlight w:val="cyan"/>
                <w:rtl/>
              </w:rPr>
              <w:t>בעל הבית פטור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הוצאה </w:t>
            </w:r>
            <w:proofErr w:type="spellStart"/>
            <w:r>
              <w:rPr>
                <w:rFonts w:hint="cs"/>
                <w:rtl/>
              </w:rPr>
              <w:t>דבעל</w:t>
            </w:r>
            <w:proofErr w:type="spellEnd"/>
            <w:r>
              <w:rPr>
                <w:rFonts w:hint="cs"/>
                <w:rtl/>
              </w:rPr>
              <w:t xml:space="preserve"> הבית </w:t>
            </w:r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עקר והניח</w:t>
            </w:r>
          </w:p>
        </w:tc>
        <w:tc>
          <w:tcPr>
            <w:tcW w:w="3261" w:type="dxa"/>
          </w:tcPr>
          <w:p w:rsidR="00671F08" w:rsidRPr="00413FAD" w:rsidRDefault="00671F08" w:rsidP="00C70FC0">
            <w:pPr>
              <w:rPr>
                <w:highlight w:val="cyan"/>
                <w:rtl/>
              </w:rPr>
            </w:pPr>
            <w:r w:rsidRPr="00413FAD">
              <w:rPr>
                <w:rFonts w:hint="cs"/>
                <w:highlight w:val="cyan"/>
                <w:rtl/>
              </w:rPr>
              <w:t>עני פטור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הכנסה </w:t>
            </w:r>
            <w:proofErr w:type="spellStart"/>
            <w:r>
              <w:rPr>
                <w:rFonts w:hint="cs"/>
                <w:rtl/>
              </w:rPr>
              <w:t>דבעל</w:t>
            </w:r>
            <w:proofErr w:type="spellEnd"/>
            <w:r>
              <w:rPr>
                <w:rFonts w:hint="cs"/>
                <w:rtl/>
              </w:rPr>
              <w:t xml:space="preserve"> הבית </w:t>
            </w:r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עקר והניח</w:t>
            </w:r>
          </w:p>
        </w:tc>
        <w:tc>
          <w:tcPr>
            <w:tcW w:w="3261" w:type="dxa"/>
          </w:tcPr>
          <w:p w:rsidR="00671F08" w:rsidRPr="00413FAD" w:rsidRDefault="00671F08" w:rsidP="00C70FC0">
            <w:pPr>
              <w:rPr>
                <w:highlight w:val="cyan"/>
                <w:rtl/>
              </w:rPr>
            </w:pPr>
            <w:r w:rsidRPr="00413FAD">
              <w:rPr>
                <w:rFonts w:hint="cs"/>
                <w:highlight w:val="cyan"/>
                <w:rtl/>
              </w:rPr>
              <w:t>עני פטור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5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עני עקר והכניס </w:t>
            </w:r>
          </w:p>
        </w:tc>
        <w:tc>
          <w:tcPr>
            <w:tcW w:w="3021" w:type="dxa"/>
            <w:gridSpan w:val="2"/>
          </w:tcPr>
          <w:p w:rsidR="00671F08" w:rsidRPr="00413FAD" w:rsidRDefault="00671F08" w:rsidP="00C70FC0">
            <w:pPr>
              <w:rPr>
                <w:highlight w:val="green"/>
                <w:rtl/>
              </w:rPr>
            </w:pPr>
            <w:r w:rsidRPr="00413FAD">
              <w:rPr>
                <w:rFonts w:hint="cs"/>
                <w:highlight w:val="green"/>
                <w:rtl/>
              </w:rPr>
              <w:t>בעל הניח</w:t>
            </w:r>
          </w:p>
        </w:tc>
        <w:tc>
          <w:tcPr>
            <w:tcW w:w="3261" w:type="dxa"/>
            <w:vMerge w:val="restart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מכיוון שמקרים אלו שלא עשו מעשה הם פטורים ומותרים ולכן אין צורך למנות אותם</w:t>
            </w: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6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בעל הבית עקר (ברשותו)</w:t>
            </w:r>
          </w:p>
        </w:tc>
        <w:tc>
          <w:tcPr>
            <w:tcW w:w="3021" w:type="dxa"/>
            <w:gridSpan w:val="2"/>
          </w:tcPr>
          <w:p w:rsidR="00671F08" w:rsidRPr="00413FAD" w:rsidRDefault="00671F08" w:rsidP="00C70FC0">
            <w:pPr>
              <w:rPr>
                <w:highlight w:val="green"/>
                <w:rtl/>
              </w:rPr>
            </w:pPr>
            <w:r w:rsidRPr="00413FAD">
              <w:rPr>
                <w:rFonts w:hint="cs"/>
                <w:highlight w:val="green"/>
                <w:rtl/>
              </w:rPr>
              <w:t xml:space="preserve">עני הניח </w:t>
            </w:r>
          </w:p>
        </w:tc>
        <w:tc>
          <w:tcPr>
            <w:tcW w:w="3261" w:type="dxa"/>
            <w:vMerge/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7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בעל הבית עקר והוציא</w:t>
            </w:r>
          </w:p>
        </w:tc>
        <w:tc>
          <w:tcPr>
            <w:tcW w:w="3021" w:type="dxa"/>
            <w:gridSpan w:val="2"/>
          </w:tcPr>
          <w:p w:rsidR="00671F08" w:rsidRPr="00413FAD" w:rsidRDefault="00671F08" w:rsidP="00C70FC0">
            <w:pPr>
              <w:rPr>
                <w:highlight w:val="green"/>
                <w:rtl/>
              </w:rPr>
            </w:pPr>
            <w:r w:rsidRPr="00413FAD">
              <w:rPr>
                <w:rFonts w:hint="cs"/>
                <w:highlight w:val="green"/>
                <w:rtl/>
              </w:rPr>
              <w:t xml:space="preserve">עני הניח </w:t>
            </w:r>
          </w:p>
        </w:tc>
        <w:tc>
          <w:tcPr>
            <w:tcW w:w="3261" w:type="dxa"/>
            <w:vMerge/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671F08" w:rsidTr="00C70FC0">
        <w:tc>
          <w:tcPr>
            <w:tcW w:w="425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8</w:t>
            </w:r>
          </w:p>
        </w:tc>
        <w:tc>
          <w:tcPr>
            <w:tcW w:w="3783" w:type="dxa"/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עני עקר (ברשותו)</w:t>
            </w:r>
          </w:p>
        </w:tc>
        <w:tc>
          <w:tcPr>
            <w:tcW w:w="3021" w:type="dxa"/>
            <w:gridSpan w:val="2"/>
          </w:tcPr>
          <w:p w:rsidR="00671F08" w:rsidRPr="00413FAD" w:rsidRDefault="00671F08" w:rsidP="00C70FC0">
            <w:pPr>
              <w:rPr>
                <w:highlight w:val="green"/>
                <w:rtl/>
              </w:rPr>
            </w:pPr>
            <w:r w:rsidRPr="00413FAD">
              <w:rPr>
                <w:rFonts w:hint="cs"/>
                <w:highlight w:val="green"/>
                <w:rtl/>
              </w:rPr>
              <w:t xml:space="preserve">בעל הבית הניח </w:t>
            </w:r>
          </w:p>
        </w:tc>
        <w:tc>
          <w:tcPr>
            <w:tcW w:w="3261" w:type="dxa"/>
            <w:vMerge/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671F08" w:rsidTr="00C70FC0">
        <w:tc>
          <w:tcPr>
            <w:tcW w:w="425" w:type="dxa"/>
            <w:tcBorders>
              <w:bottom w:val="single" w:sz="4" w:space="0" w:color="auto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783" w:type="dxa"/>
            <w:tcBorders>
              <w:bottom w:val="single" w:sz="4" w:space="0" w:color="auto"/>
            </w:tcBorders>
          </w:tcPr>
          <w:p w:rsidR="00671F08" w:rsidRDefault="00671F08" w:rsidP="00C70FC0">
            <w:pPr>
              <w:rPr>
                <w:rtl/>
              </w:rPr>
            </w:pPr>
            <w:r>
              <w:rPr>
                <w:rFonts w:hint="cs"/>
                <w:rtl/>
              </w:rPr>
              <w:t>במקרים אלו יכול להגיע לידי חיוב חטאת ולכן רק אותם מנה</w:t>
            </w:r>
          </w:p>
        </w:tc>
        <w:tc>
          <w:tcPr>
            <w:tcW w:w="3021" w:type="dxa"/>
            <w:gridSpan w:val="2"/>
          </w:tcPr>
          <w:p w:rsidR="00671F08" w:rsidRDefault="00671F08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במקרים אלו לא יגיע לידי חיוב חטאת ולכן לא מנה אותם.</w:t>
            </w:r>
          </w:p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261" w:type="dxa"/>
            <w:vMerge/>
            <w:tcBorders>
              <w:bottom w:val="single" w:sz="4" w:space="0" w:color="auto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671F08" w:rsidTr="00C70FC0">
        <w:tc>
          <w:tcPr>
            <w:tcW w:w="425" w:type="dxa"/>
            <w:tcBorders>
              <w:left w:val="nil"/>
              <w:bottom w:val="nil"/>
              <w:right w:val="nil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783" w:type="dxa"/>
            <w:tcBorders>
              <w:left w:val="nil"/>
              <w:bottom w:val="nil"/>
            </w:tcBorders>
          </w:tcPr>
          <w:p w:rsidR="00671F08" w:rsidRDefault="00671F08" w:rsidP="00C70FC0">
            <w:pPr>
              <w:rPr>
                <w:rFonts w:hint="cs"/>
                <w:rtl/>
              </w:rPr>
            </w:pPr>
          </w:p>
        </w:tc>
        <w:tc>
          <w:tcPr>
            <w:tcW w:w="3021" w:type="dxa"/>
            <w:gridSpan w:val="2"/>
            <w:tcBorders>
              <w:bottom w:val="single" w:sz="4" w:space="0" w:color="auto"/>
            </w:tcBorders>
          </w:tcPr>
          <w:p w:rsidR="00671F08" w:rsidRDefault="00671F08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ששנים שעשו מלאכה פטורים מחטאת שנאמר מעם הארץ בעשותה</w:t>
            </w:r>
            <w:r>
              <w:rPr>
                <w:rFonts w:hint="cs"/>
                <w:rtl/>
              </w:rPr>
              <w:t>(בעשות אותה כולה)</w:t>
            </w:r>
            <w:r>
              <w:rPr>
                <w:rFonts w:hint="cs"/>
                <w:rtl/>
              </w:rPr>
              <w:t xml:space="preserve"> דווקא בעושה את כולה</w:t>
            </w:r>
            <w:r>
              <w:rPr>
                <w:rFonts w:hint="cs"/>
                <w:rtl/>
              </w:rPr>
              <w:t>.</w:t>
            </w:r>
          </w:p>
        </w:tc>
        <w:tc>
          <w:tcPr>
            <w:tcW w:w="3261" w:type="dxa"/>
            <w:tcBorders>
              <w:bottom w:val="nil"/>
              <w:right w:val="nil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671F08" w:rsidTr="00C70FC0">
        <w:tc>
          <w:tcPr>
            <w:tcW w:w="425" w:type="dxa"/>
            <w:tcBorders>
              <w:top w:val="nil"/>
              <w:left w:val="nil"/>
              <w:right w:val="nil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  <w:tc>
          <w:tcPr>
            <w:tcW w:w="3783" w:type="dxa"/>
            <w:tcBorders>
              <w:top w:val="nil"/>
              <w:left w:val="nil"/>
              <w:right w:val="nil"/>
            </w:tcBorders>
          </w:tcPr>
          <w:p w:rsidR="00671F08" w:rsidRDefault="00671F08" w:rsidP="00C70FC0">
            <w:pPr>
              <w:rPr>
                <w:rFonts w:hint="cs"/>
                <w:rtl/>
              </w:rPr>
            </w:pPr>
          </w:p>
        </w:tc>
        <w:tc>
          <w:tcPr>
            <w:tcW w:w="3021" w:type="dxa"/>
            <w:gridSpan w:val="2"/>
            <w:tcBorders>
              <w:left w:val="nil"/>
              <w:right w:val="nil"/>
            </w:tcBorders>
          </w:tcPr>
          <w:p w:rsidR="00671F08" w:rsidRDefault="00671F08" w:rsidP="00C70FC0">
            <w:pPr>
              <w:rPr>
                <w:rFonts w:hint="cs"/>
                <w:rtl/>
              </w:rPr>
            </w:pPr>
          </w:p>
        </w:tc>
        <w:tc>
          <w:tcPr>
            <w:tcW w:w="3261" w:type="dxa"/>
            <w:tcBorders>
              <w:top w:val="nil"/>
              <w:left w:val="nil"/>
              <w:right w:val="nil"/>
            </w:tcBorders>
          </w:tcPr>
          <w:p w:rsidR="00671F08" w:rsidRDefault="00671F08" w:rsidP="00C70FC0">
            <w:pPr>
              <w:rPr>
                <w:rtl/>
              </w:rPr>
            </w:pPr>
          </w:p>
        </w:tc>
      </w:tr>
      <w:tr w:rsidR="007802AC" w:rsidTr="00C70FC0">
        <w:tc>
          <w:tcPr>
            <w:tcW w:w="10490" w:type="dxa"/>
            <w:gridSpan w:val="5"/>
          </w:tcPr>
          <w:p w:rsidR="00FE17C3" w:rsidRDefault="00FE17C3" w:rsidP="00C70FC0">
            <w:pP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</w:pP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לעיל ראינו שאם הטעין בעל הבית את יד העני בחפץ והעני הניח ברשותו לא נחשב לו הדבר כעקירה אלא רק כהנחה </w:t>
            </w:r>
          </w:p>
          <w:p w:rsidR="007802AC" w:rsidRDefault="007802AC" w:rsidP="00C70FC0">
            <w:pPr>
              <w:rPr>
                <w:rtl/>
              </w:rPr>
            </w:pPr>
          </w:p>
        </w:tc>
      </w:tr>
      <w:tr w:rsidR="00FE17C3" w:rsidTr="00C70FC0">
        <w:tc>
          <w:tcPr>
            <w:tcW w:w="10490" w:type="dxa"/>
            <w:gridSpan w:val="5"/>
          </w:tcPr>
          <w:p w:rsidR="00FE17C3" w:rsidRDefault="00FE17C3" w:rsidP="00C70FC0">
            <w:pPr>
              <w:jc w:val="center"/>
              <w:rPr>
                <w:rtl/>
              </w:rPr>
            </w:pP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שאל 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רבי הטעינו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חבירו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אוכלין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ומשקין והוציאן לחוץ מהו</w:t>
            </w:r>
            <w:r>
              <w:rPr>
                <w:rFonts w:hint="cs"/>
                <w:rtl/>
              </w:rPr>
              <w:t>? האם דינו כיד ולא נחשב שעקר או שנחשב שעקר</w:t>
            </w:r>
            <w:r>
              <w:rPr>
                <w:rFonts w:hint="cs"/>
                <w:rtl/>
              </w:rPr>
              <w:t>?</w:t>
            </w:r>
          </w:p>
        </w:tc>
      </w:tr>
      <w:tr w:rsidR="00FE17C3" w:rsidTr="00C70FC0">
        <w:tc>
          <w:tcPr>
            <w:tcW w:w="10490" w:type="dxa"/>
            <w:gridSpan w:val="5"/>
          </w:tcPr>
          <w:p w:rsidR="00FE17C3" w:rsidRDefault="00FE17C3" w:rsidP="00C70FC0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רבי ענה שנחשב שעקר כיוון שגופו נח על גבי קרקע , ולכן נחשב שעקר ורבי </w:t>
            </w:r>
            <w:proofErr w:type="spellStart"/>
            <w:r>
              <w:rPr>
                <w:rFonts w:hint="cs"/>
                <w:rtl/>
              </w:rPr>
              <w:t>חייא</w:t>
            </w:r>
            <w:proofErr w:type="spellEnd"/>
            <w:r>
              <w:rPr>
                <w:rFonts w:hint="cs"/>
                <w:rtl/>
              </w:rPr>
              <w:t xml:space="preserve"> הביא ברייתא שכותבת כך בפירוש.</w:t>
            </w:r>
          </w:p>
        </w:tc>
      </w:tr>
      <w:tr w:rsidR="00FE17C3" w:rsidTr="00C70FC0">
        <w:tc>
          <w:tcPr>
            <w:tcW w:w="10490" w:type="dxa"/>
            <w:gridSpan w:val="5"/>
          </w:tcPr>
          <w:p w:rsidR="00FE17C3" w:rsidRDefault="00FE17C3" w:rsidP="00C70FC0">
            <w:pPr>
              <w:rPr>
                <w:rFonts w:hint="cs"/>
                <w:rtl/>
              </w:rPr>
            </w:pPr>
          </w:p>
        </w:tc>
      </w:tr>
      <w:tr w:rsidR="00FE17C3" w:rsidTr="00C70FC0">
        <w:tc>
          <w:tcPr>
            <w:tcW w:w="10490" w:type="dxa"/>
            <w:gridSpan w:val="5"/>
          </w:tcPr>
          <w:p w:rsidR="00FE17C3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מכיוון שמהמשנה עולה שידו של אדם אינה כרשות היחיד ואינה כרשות הרבים </w:t>
            </w:r>
            <w:proofErr w:type="spellStart"/>
            <w:r w:rsidR="00924BD1">
              <w:rPr>
                <w:rFonts w:hint="cs"/>
                <w:rtl/>
              </w:rPr>
              <w:t>אביי</w:t>
            </w:r>
            <w:proofErr w:type="spellEnd"/>
            <w:r w:rsidR="00924BD1"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 xml:space="preserve">הסתפק האם היא קנסו את האדם שתחשב ככרמלית </w:t>
            </w:r>
          </w:p>
        </w:tc>
      </w:tr>
      <w:tr w:rsidR="00924BD1" w:rsidTr="00C70FC0">
        <w:tc>
          <w:tcPr>
            <w:tcW w:w="10490" w:type="dxa"/>
            <w:gridSpan w:val="5"/>
          </w:tcPr>
          <w:p w:rsidR="00924BD1" w:rsidRDefault="00924BD1" w:rsidP="00C70FC0">
            <w:pPr>
              <w:rPr>
                <w:rFonts w:ascii="Arial" w:hAnsi="Arial" w:cs="Arial"/>
                <w:color w:val="000000"/>
                <w:sz w:val="23"/>
                <w:szCs w:val="23"/>
                <w:rtl/>
              </w:rPr>
            </w:pP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אביי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מביא ברייתות חולקות ומנסה להעמיד את המחלוקת הזאת במחלוקת </w:t>
            </w:r>
            <w:proofErr w:type="spellStart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הברייתו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אך אחר כך מוכח שניתן להעמיד את מחלוקת הברייתות בעניין אחר כך שאין </w:t>
            </w:r>
            <w:r w:rsidR="00C70FC0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תשובה לספקו של </w:t>
            </w:r>
            <w:proofErr w:type="spellStart"/>
            <w:r w:rsidR="00C70FC0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אביי</w:t>
            </w:r>
            <w:proofErr w:type="spellEnd"/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r w:rsidR="00C70FC0"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.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</w:p>
        </w:tc>
      </w:tr>
      <w:tr w:rsidR="00FA2F6C" w:rsidTr="00C70FC0">
        <w:tc>
          <w:tcPr>
            <w:tcW w:w="5245" w:type="dxa"/>
            <w:gridSpan w:val="3"/>
          </w:tcPr>
          <w:p w:rsidR="00FA2F6C" w:rsidRDefault="00C70FC0" w:rsidP="00C70FC0">
            <w:pPr>
              <w:rPr>
                <w:rFonts w:hint="cs"/>
                <w:rtl/>
              </w:rPr>
            </w:pPr>
            <w:r w:rsidRPr="00C70FC0">
              <w:rPr>
                <w:rFonts w:ascii="Arial" w:hAnsi="Arial" w:cs="Arial" w:hint="cs"/>
                <w:color w:val="000000"/>
                <w:sz w:val="23"/>
                <w:szCs w:val="23"/>
                <w:highlight w:val="cyan"/>
                <w:rtl/>
              </w:rPr>
              <w:t>הברייתות  :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 xml:space="preserve"> </w:t>
            </w:r>
            <w:proofErr w:type="spellStart"/>
            <w:r w:rsidR="00FA2F6C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היתה</w:t>
            </w:r>
            <w:proofErr w:type="spellEnd"/>
            <w:r w:rsidR="00FA2F6C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ידו מלאה פירות והוציאה לחוץ</w:t>
            </w:r>
            <w:r w:rsidR="00FA2F6C"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</w:t>
            </w:r>
            <w:r w:rsidR="00FA2F6C">
              <w:rPr>
                <w:rFonts w:ascii="Arial" w:hAnsi="Arial" w:cs="Arial"/>
                <w:color w:val="000000"/>
                <w:sz w:val="23"/>
                <w:szCs w:val="23"/>
                <w:rtl/>
              </w:rPr>
              <w:t>מותר להחזירה</w:t>
            </w:r>
          </w:p>
        </w:tc>
        <w:tc>
          <w:tcPr>
            <w:tcW w:w="5245" w:type="dxa"/>
            <w:gridSpan w:val="2"/>
          </w:tcPr>
          <w:p w:rsidR="00FA2F6C" w:rsidRDefault="00FA2F6C" w:rsidP="00C70FC0">
            <w:pPr>
              <w:rPr>
                <w:rFonts w:hint="cs"/>
                <w:rtl/>
              </w:rPr>
            </w:pPr>
            <w:proofErr w:type="spellStart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>היתה</w:t>
            </w:r>
            <w:proofErr w:type="spellEnd"/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ידו מלאה פירות והוציאה לחוץ </w:t>
            </w:r>
            <w:r>
              <w:rPr>
                <w:rFonts w:ascii="Arial" w:hAnsi="Arial" w:cs="Arial" w:hint="cs"/>
                <w:color w:val="000000"/>
                <w:sz w:val="23"/>
                <w:szCs w:val="23"/>
                <w:rtl/>
              </w:rPr>
              <w:t>אסור</w:t>
            </w:r>
            <w:r>
              <w:rPr>
                <w:rFonts w:ascii="Arial" w:hAnsi="Arial" w:cs="Arial"/>
                <w:color w:val="000000"/>
                <w:sz w:val="23"/>
                <w:szCs w:val="23"/>
                <w:rtl/>
              </w:rPr>
              <w:t xml:space="preserve"> להחזירה</w:t>
            </w:r>
          </w:p>
        </w:tc>
      </w:tr>
      <w:tr w:rsidR="00FA2F6C" w:rsidTr="00C70FC0">
        <w:tc>
          <w:tcPr>
            <w:tcW w:w="5245" w:type="dxa"/>
            <w:gridSpan w:val="3"/>
          </w:tcPr>
          <w:p w:rsidR="00FA2F6C" w:rsidRDefault="00C70FC0" w:rsidP="00C70FC0">
            <w:pPr>
              <w:rPr>
                <w:rFonts w:hint="cs"/>
                <w:rtl/>
              </w:rPr>
            </w:pPr>
            <w:r w:rsidRPr="00C70FC0">
              <w:rPr>
                <w:rFonts w:hint="cs"/>
                <w:highlight w:val="cyan"/>
                <w:rtl/>
              </w:rPr>
              <w:t>אפשרויות ההעמדה :</w:t>
            </w:r>
            <w:r>
              <w:rPr>
                <w:rFonts w:hint="cs"/>
                <w:rtl/>
              </w:rPr>
              <w:t xml:space="preserve"> </w:t>
            </w:r>
            <w:r w:rsidR="00FA2F6C">
              <w:rPr>
                <w:rFonts w:hint="cs"/>
                <w:rtl/>
              </w:rPr>
              <w:t xml:space="preserve">אינה ככרמלית </w:t>
            </w:r>
          </w:p>
        </w:tc>
        <w:tc>
          <w:tcPr>
            <w:tcW w:w="5245" w:type="dxa"/>
            <w:gridSpan w:val="2"/>
          </w:tcPr>
          <w:p w:rsidR="00FA2F6C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ככרמלית</w:t>
            </w:r>
          </w:p>
        </w:tc>
      </w:tr>
      <w:tr w:rsidR="00FA2F6C" w:rsidTr="00C70FC0">
        <w:tc>
          <w:tcPr>
            <w:tcW w:w="5245" w:type="dxa"/>
            <w:gridSpan w:val="3"/>
          </w:tcPr>
          <w:p w:rsidR="00FA2F6C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ידו ככרמלית שהושיט למעלה מעשרה טפחים (מקום פטור)</w:t>
            </w:r>
          </w:p>
        </w:tc>
        <w:tc>
          <w:tcPr>
            <w:tcW w:w="5245" w:type="dxa"/>
            <w:gridSpan w:val="2"/>
          </w:tcPr>
          <w:p w:rsidR="00FA2F6C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ידו ככרמלית</w:t>
            </w:r>
            <w:r>
              <w:rPr>
                <w:rFonts w:hint="cs"/>
                <w:rtl/>
              </w:rPr>
              <w:t xml:space="preserve"> הושיט מתחת לעשרה טפחים (רשות הרבים)</w:t>
            </w:r>
          </w:p>
        </w:tc>
      </w:tr>
      <w:tr w:rsidR="00FA2F6C" w:rsidTr="00C70FC0">
        <w:tc>
          <w:tcPr>
            <w:tcW w:w="5245" w:type="dxa"/>
            <w:gridSpan w:val="3"/>
          </w:tcPr>
          <w:p w:rsidR="00FA2F6C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ידו אינה ככרמלית ולמטה מעשרה </w:t>
            </w:r>
            <w:r w:rsidR="00924BD1">
              <w:rPr>
                <w:rFonts w:hint="cs"/>
                <w:rtl/>
              </w:rPr>
              <w:t xml:space="preserve">(רשות הרבים) הוציאה מבעוד יום ולכן לא קנסו </w:t>
            </w:r>
          </w:p>
        </w:tc>
        <w:tc>
          <w:tcPr>
            <w:tcW w:w="5245" w:type="dxa"/>
            <w:gridSpan w:val="2"/>
          </w:tcPr>
          <w:p w:rsidR="00FA2F6C" w:rsidRDefault="00FA2F6C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ידו אינה ככרמלית</w:t>
            </w:r>
            <w:r>
              <w:rPr>
                <w:rFonts w:hint="cs"/>
                <w:rtl/>
              </w:rPr>
              <w:t xml:space="preserve"> </w:t>
            </w:r>
            <w:r>
              <w:rPr>
                <w:rFonts w:hint="cs"/>
                <w:rtl/>
              </w:rPr>
              <w:t>ולמטה מעשרה</w:t>
            </w:r>
            <w:r w:rsidR="00924BD1">
              <w:rPr>
                <w:rFonts w:hint="cs"/>
                <w:rtl/>
              </w:rPr>
              <w:t xml:space="preserve"> </w:t>
            </w:r>
            <w:r w:rsidR="00924BD1">
              <w:rPr>
                <w:rFonts w:hint="cs"/>
                <w:rtl/>
              </w:rPr>
              <w:t xml:space="preserve">(רשות הרבים) </w:t>
            </w:r>
            <w:r w:rsidR="00924BD1">
              <w:rPr>
                <w:rFonts w:hint="cs"/>
                <w:rtl/>
              </w:rPr>
              <w:t xml:space="preserve"> הוציאה משחשיכה ולכן קנסו ולמרות שיכול להגיע לידי חטאת קנסו. </w:t>
            </w:r>
          </w:p>
        </w:tc>
      </w:tr>
      <w:tr w:rsidR="00FA2F6C" w:rsidTr="00C70FC0">
        <w:tc>
          <w:tcPr>
            <w:tcW w:w="5245" w:type="dxa"/>
            <w:gridSpan w:val="3"/>
          </w:tcPr>
          <w:p w:rsidR="00FA2F6C" w:rsidRDefault="00924BD1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הוציא את היד בשוגג ולא קנסו </w:t>
            </w:r>
          </w:p>
        </w:tc>
        <w:tc>
          <w:tcPr>
            <w:tcW w:w="5245" w:type="dxa"/>
            <w:gridSpan w:val="2"/>
          </w:tcPr>
          <w:p w:rsidR="00FA2F6C" w:rsidRDefault="00924BD1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>הוציא את היד במזיד וקנסו</w:t>
            </w:r>
          </w:p>
        </w:tc>
      </w:tr>
      <w:tr w:rsidR="00924BD1" w:rsidTr="00C70FC0">
        <w:tc>
          <w:tcPr>
            <w:tcW w:w="5245" w:type="dxa"/>
            <w:gridSpan w:val="3"/>
          </w:tcPr>
          <w:p w:rsidR="00924BD1" w:rsidRDefault="00C70FC0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הוציא את היד </w:t>
            </w:r>
            <w:r w:rsidR="00924BD1">
              <w:rPr>
                <w:rFonts w:hint="cs"/>
                <w:rtl/>
              </w:rPr>
              <w:t xml:space="preserve">בשוגג  </w:t>
            </w:r>
            <w:r>
              <w:rPr>
                <w:rFonts w:hint="cs"/>
                <w:rtl/>
              </w:rPr>
              <w:t>ו</w:t>
            </w:r>
            <w:r w:rsidR="00924BD1">
              <w:rPr>
                <w:rFonts w:hint="cs"/>
                <w:rtl/>
              </w:rPr>
              <w:t>לא קנסו שוגג אטו מזיד</w:t>
            </w:r>
          </w:p>
        </w:tc>
        <w:tc>
          <w:tcPr>
            <w:tcW w:w="5245" w:type="dxa"/>
            <w:gridSpan w:val="2"/>
          </w:tcPr>
          <w:p w:rsidR="00924BD1" w:rsidRDefault="00C70FC0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הוציא את היד </w:t>
            </w:r>
            <w:r w:rsidR="00924BD1">
              <w:rPr>
                <w:rFonts w:hint="cs"/>
                <w:rtl/>
              </w:rPr>
              <w:t xml:space="preserve">בשוגג </w:t>
            </w:r>
            <w:r>
              <w:rPr>
                <w:rFonts w:hint="cs"/>
                <w:rtl/>
              </w:rPr>
              <w:t>ו</w:t>
            </w:r>
            <w:r w:rsidR="00924BD1">
              <w:rPr>
                <w:rFonts w:hint="cs"/>
                <w:rtl/>
              </w:rPr>
              <w:t>קנסו שוגג אטו מזיד</w:t>
            </w:r>
          </w:p>
        </w:tc>
      </w:tr>
      <w:tr w:rsidR="00924BD1" w:rsidTr="00C70FC0">
        <w:tc>
          <w:tcPr>
            <w:tcW w:w="5245" w:type="dxa"/>
            <w:gridSpan w:val="3"/>
          </w:tcPr>
          <w:p w:rsidR="00924BD1" w:rsidRDefault="00924BD1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מותר להחזיר לאותה חצר שמחשבתו לא מתקיימת </w:t>
            </w:r>
          </w:p>
        </w:tc>
        <w:tc>
          <w:tcPr>
            <w:tcW w:w="5245" w:type="dxa"/>
            <w:gridSpan w:val="2"/>
          </w:tcPr>
          <w:p w:rsidR="00924BD1" w:rsidRDefault="00924BD1" w:rsidP="00C70FC0">
            <w:pPr>
              <w:rPr>
                <w:rFonts w:hint="cs"/>
                <w:rtl/>
              </w:rPr>
            </w:pPr>
            <w:r>
              <w:rPr>
                <w:rFonts w:hint="cs"/>
                <w:rtl/>
              </w:rPr>
              <w:t xml:space="preserve">אסור להחזיר לחצר אחרת שאז מחשבתו לפנות את חצרו </w:t>
            </w:r>
            <w:proofErr w:type="spellStart"/>
            <w:r>
              <w:rPr>
                <w:rFonts w:hint="cs"/>
                <w:rtl/>
              </w:rPr>
              <w:t>מתייקמת</w:t>
            </w:r>
            <w:proofErr w:type="spellEnd"/>
            <w:r>
              <w:rPr>
                <w:rFonts w:hint="cs"/>
                <w:rtl/>
              </w:rPr>
              <w:t xml:space="preserve"> </w:t>
            </w:r>
            <w:r w:rsidR="00C70FC0">
              <w:rPr>
                <w:rFonts w:hint="cs"/>
                <w:rtl/>
              </w:rPr>
              <w:t>.</w:t>
            </w:r>
          </w:p>
        </w:tc>
      </w:tr>
    </w:tbl>
    <w:p w:rsidR="00C70FC0" w:rsidRDefault="00C70FC0" w:rsidP="00C70FC0">
      <w:pPr>
        <w:spacing w:line="240" w:lineRule="auto"/>
        <w:rPr>
          <w:rFonts w:ascii="Times New Roman" w:eastAsia="Times New Roman" w:hAnsi="Times New Roman" w:cs="David"/>
          <w:sz w:val="38"/>
          <w:szCs w:val="38"/>
          <w:rtl/>
        </w:rPr>
      </w:pPr>
      <w:r w:rsidRPr="00186A7A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טבלאות עזר של מסקנות הגמרא </w:t>
      </w:r>
      <w:proofErr w:type="spellStart"/>
      <w:r w:rsidRPr="00C70FC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ללימודשבת</w:t>
      </w:r>
      <w:proofErr w:type="spellEnd"/>
      <w:r w:rsidRPr="00C70FC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 xml:space="preserve"> דף </w:t>
      </w:r>
      <w:r w:rsidRPr="00C70FC0">
        <w:rPr>
          <w:rFonts w:ascii="Times New Roman" w:eastAsia="Times New Roman" w:hAnsi="Times New Roman" w:cs="David" w:hint="cs"/>
          <w:sz w:val="38"/>
          <w:szCs w:val="38"/>
          <w:highlight w:val="magenta"/>
          <w:rtl/>
        </w:rPr>
        <w:t>ג</w:t>
      </w:r>
      <w:r>
        <w:rPr>
          <w:rFonts w:ascii="Times New Roman" w:eastAsia="Times New Roman" w:hAnsi="Times New Roman" w:cs="David" w:hint="cs"/>
          <w:sz w:val="38"/>
          <w:szCs w:val="38"/>
          <w:rtl/>
        </w:rPr>
        <w:t xml:space="preserve"> </w:t>
      </w:r>
    </w:p>
    <w:p w:rsidR="00261B94" w:rsidRDefault="00261B94">
      <w:pPr>
        <w:rPr>
          <w:rFonts w:hint="cs"/>
          <w:rtl/>
        </w:rPr>
      </w:pPr>
    </w:p>
    <w:p w:rsidR="00FA2F6C" w:rsidRDefault="00FA2F6C" w:rsidP="00FA2F6C"/>
    <w:sectPr w:rsidR="00FA2F6C" w:rsidSect="00C615BF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F08"/>
    <w:rsid w:val="00261B94"/>
    <w:rsid w:val="00671F08"/>
    <w:rsid w:val="007802AC"/>
    <w:rsid w:val="00924BD1"/>
    <w:rsid w:val="00C615BF"/>
    <w:rsid w:val="00C70FC0"/>
    <w:rsid w:val="00FA2F6C"/>
    <w:rsid w:val="00FE17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1F08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F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330</Words>
  <Characters>1655</Characters>
  <Application>Microsoft Office Word</Application>
  <DocSecurity>0</DocSecurity>
  <Lines>13</Lines>
  <Paragraphs>3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2012-10-05T00:03:00Z</dcterms:created>
  <dcterms:modified xsi:type="dcterms:W3CDTF">2012-10-05T00:57:00Z</dcterms:modified>
</cp:coreProperties>
</file>