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63" w:rsidRPr="00DC4757" w:rsidRDefault="00EC382B" w:rsidP="00DC4757">
      <w:pPr>
        <w:spacing w:line="240" w:lineRule="auto"/>
        <w:rPr>
          <w:rFonts w:ascii="Times New Roman" w:eastAsia="Times New Roman" w:hAnsi="Times New Roman" w:cs="David"/>
          <w:sz w:val="38"/>
          <w:szCs w:val="38"/>
          <w:rtl/>
        </w:rPr>
      </w:pPr>
      <w:r w:rsidRPr="005E6C6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</w:t>
      </w:r>
      <w:r w:rsidRPr="00AD0D03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ללימודשבת </w:t>
      </w:r>
      <w:r w:rsidRPr="00DC4757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דף</w:t>
      </w:r>
      <w:r w:rsidR="00DC4757" w:rsidRPr="00DC4757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יח</w:t>
      </w:r>
      <w:r w:rsidR="00DC4757">
        <w:rPr>
          <w:rFonts w:ascii="Times New Roman" w:eastAsia="Times New Roman" w:hAnsi="Times New Roman" w:cs="David" w:hint="cs"/>
          <w:sz w:val="38"/>
          <w:szCs w:val="38"/>
          <w:rtl/>
        </w:rPr>
        <w:t xml:space="preserve"> </w:t>
      </w:r>
    </w:p>
    <w:tbl>
      <w:tblPr>
        <w:tblStyle w:val="a3"/>
        <w:tblpPr w:leftFromText="180" w:rightFromText="180" w:vertAnchor="page" w:horzAnchor="margin" w:tblpXSpec="center" w:tblpY="1391"/>
        <w:bidiVisual/>
        <w:tblW w:w="9515" w:type="dxa"/>
        <w:tblLook w:val="04A0" w:firstRow="1" w:lastRow="0" w:firstColumn="1" w:lastColumn="0" w:noHBand="0" w:noVBand="1"/>
      </w:tblPr>
      <w:tblGrid>
        <w:gridCol w:w="1292"/>
        <w:gridCol w:w="1418"/>
        <w:gridCol w:w="142"/>
        <w:gridCol w:w="141"/>
        <w:gridCol w:w="415"/>
        <w:gridCol w:w="861"/>
        <w:gridCol w:w="236"/>
        <w:gridCol w:w="189"/>
        <w:gridCol w:w="709"/>
        <w:gridCol w:w="4112"/>
      </w:tblGrid>
      <w:tr w:rsidR="00DC4757" w:rsidTr="00DC4757">
        <w:tc>
          <w:tcPr>
            <w:tcW w:w="9515" w:type="dxa"/>
            <w:gridSpan w:val="10"/>
          </w:tcPr>
          <w:p w:rsidR="00DC4757" w:rsidRDefault="00DC4757" w:rsidP="00DC4757">
            <w:pPr>
              <w:rPr>
                <w:rtl/>
              </w:rPr>
            </w:pPr>
            <w:r w:rsidRPr="00FB012A">
              <w:rPr>
                <w:rFonts w:hint="cs"/>
                <w:highlight w:val="yellow"/>
                <w:rtl/>
              </w:rPr>
              <w:t xml:space="preserve">הנושא: מי סובר שנתינת דיו לסיר זו שרייתן וחייב על מלאכת גיבול </w:t>
            </w:r>
            <w:r w:rsidRPr="00FB012A">
              <w:rPr>
                <w:highlight w:val="yellow"/>
                <w:rtl/>
              </w:rPr>
              <w:t>–</w:t>
            </w:r>
            <w:r w:rsidRPr="00FB012A">
              <w:rPr>
                <w:rFonts w:hint="cs"/>
                <w:highlight w:val="yellow"/>
                <w:rtl/>
              </w:rPr>
              <w:t xml:space="preserve"> לש,  גם בלי שגיבל בידיו?</w:t>
            </w:r>
          </w:p>
        </w:tc>
      </w:tr>
      <w:tr w:rsidR="00DC4757" w:rsidTr="00DC4757">
        <w:tc>
          <w:tcPr>
            <w:tcW w:w="2710" w:type="dxa"/>
            <w:gridSpan w:val="2"/>
          </w:tcPr>
          <w:p w:rsidR="00DC4757" w:rsidRPr="00D95EE9" w:rsidRDefault="00DC4757" w:rsidP="00DC4757">
            <w:pPr>
              <w:rPr>
                <w:rtl/>
              </w:rPr>
            </w:pPr>
          </w:p>
        </w:tc>
        <w:tc>
          <w:tcPr>
            <w:tcW w:w="1559" w:type="dxa"/>
            <w:gridSpan w:val="4"/>
          </w:tcPr>
          <w:p w:rsidR="00DC4757" w:rsidRDefault="00DC4757" w:rsidP="00DC4757">
            <w:pPr>
              <w:rPr>
                <w:rtl/>
              </w:rPr>
            </w:pPr>
            <w:r>
              <w:rPr>
                <w:rFonts w:hint="cs"/>
                <w:rtl/>
              </w:rPr>
              <w:t>רבי</w:t>
            </w:r>
          </w:p>
        </w:tc>
        <w:tc>
          <w:tcPr>
            <w:tcW w:w="5246" w:type="dxa"/>
            <w:gridSpan w:val="4"/>
          </w:tcPr>
          <w:p w:rsidR="00DC4757" w:rsidRDefault="00DC4757" w:rsidP="00DC475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רבי יוסי </w:t>
            </w:r>
          </w:p>
        </w:tc>
      </w:tr>
      <w:tr w:rsidR="00DC4757" w:rsidTr="00DC4757">
        <w:tc>
          <w:tcPr>
            <w:tcW w:w="2710" w:type="dxa"/>
            <w:gridSpan w:val="2"/>
          </w:tcPr>
          <w:p w:rsidR="00DC4757" w:rsidRDefault="00DC4757" w:rsidP="00DC4757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אחד נותן את הקמח וא' נותן את המים </w:t>
            </w:r>
          </w:p>
        </w:tc>
        <w:tc>
          <w:tcPr>
            <w:tcW w:w="1559" w:type="dxa"/>
            <w:gridSpan w:val="4"/>
          </w:tcPr>
          <w:p w:rsidR="00DC4757" w:rsidRDefault="00DC4757" w:rsidP="00DC4757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האחרון חייב</w:t>
            </w:r>
            <w:r>
              <w:rPr>
                <w:rFonts w:hint="cs"/>
                <w:rtl/>
              </w:rPr>
              <w:t>, חייב גם בלי שיגבל</w:t>
            </w:r>
          </w:p>
        </w:tc>
        <w:tc>
          <w:tcPr>
            <w:tcW w:w="5246" w:type="dxa"/>
            <w:gridSpan w:val="4"/>
          </w:tcPr>
          <w:p w:rsidR="00DC4757" w:rsidRDefault="00DC4757" w:rsidP="00DC4757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אינו חייב עד שיגבל</w:t>
            </w:r>
            <w:r>
              <w:rPr>
                <w:rFonts w:hint="cs"/>
                <w:rtl/>
              </w:rPr>
              <w:t xml:space="preserve"> </w:t>
            </w:r>
          </w:p>
          <w:p w:rsidR="00DC4757" w:rsidRDefault="00DC4757" w:rsidP="00DC4757">
            <w:pPr>
              <w:rPr>
                <w:rtl/>
              </w:rPr>
            </w:pPr>
            <w:r>
              <w:rPr>
                <w:rFonts w:hint="cs"/>
                <w:rtl/>
              </w:rPr>
              <w:t>(קמח בר גיבול).</w:t>
            </w:r>
          </w:p>
        </w:tc>
      </w:tr>
      <w:tr w:rsidR="00DC4757" w:rsidTr="00DC4757">
        <w:tc>
          <w:tcPr>
            <w:tcW w:w="2710" w:type="dxa"/>
            <w:gridSpan w:val="2"/>
          </w:tcPr>
          <w:p w:rsidR="00DC4757" w:rsidRDefault="00DC4757" w:rsidP="00DC4757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אחד נותן את האפר ואחד נותן את המים דברי רבי </w:t>
            </w:r>
          </w:p>
        </w:tc>
        <w:tc>
          <w:tcPr>
            <w:tcW w:w="1559" w:type="dxa"/>
            <w:gridSpan w:val="4"/>
          </w:tcPr>
          <w:p w:rsidR="00DC4757" w:rsidRDefault="00DC4757" w:rsidP="00DC4757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האחרון חייב</w:t>
            </w:r>
          </w:p>
          <w:p w:rsidR="00DC4757" w:rsidRDefault="00DC4757" w:rsidP="00DC4757">
            <w:pPr>
              <w:rPr>
                <w:rtl/>
              </w:rPr>
            </w:pPr>
            <w:r>
              <w:rPr>
                <w:rFonts w:hint="cs"/>
                <w:rtl/>
              </w:rPr>
              <w:t>גם בלי שיגבל</w:t>
            </w:r>
          </w:p>
        </w:tc>
        <w:tc>
          <w:tcPr>
            <w:tcW w:w="5246" w:type="dxa"/>
            <w:gridSpan w:val="4"/>
          </w:tcPr>
          <w:p w:rsidR="00DC4757" w:rsidRDefault="00DC4757" w:rsidP="00DC4757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אינו חייב עד שיגבל</w:t>
            </w:r>
            <w:r>
              <w:rPr>
                <w:rFonts w:hint="cs"/>
                <w:rtl/>
              </w:rPr>
              <w:t xml:space="preserve"> </w:t>
            </w:r>
          </w:p>
          <w:p w:rsidR="00DC4757" w:rsidRDefault="00DC4757" w:rsidP="00DC4757">
            <w:pPr>
              <w:rPr>
                <w:rtl/>
              </w:rPr>
            </w:pPr>
            <w:r>
              <w:rPr>
                <w:rFonts w:hint="cs"/>
                <w:rtl/>
              </w:rPr>
              <w:t>(אפר לאו בר גיבול).</w:t>
            </w:r>
          </w:p>
        </w:tc>
      </w:tr>
      <w:tr w:rsidR="00DC4757" w:rsidTr="00DC4757">
        <w:tc>
          <w:tcPr>
            <w:tcW w:w="2710" w:type="dxa"/>
            <w:gridSpan w:val="2"/>
            <w:tcBorders>
              <w:bottom w:val="single" w:sz="4" w:space="0" w:color="auto"/>
            </w:tcBorders>
          </w:tcPr>
          <w:p w:rsidR="00DC4757" w:rsidRDefault="00DC4757" w:rsidP="00DC475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מי סובר דיו לסיר  זו שרייתן וחייב על מלאכת גיבול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לש,  גם בלי שגיבל בידיו?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DC4757" w:rsidRDefault="00DC4757" w:rsidP="00DC4757">
            <w:pPr>
              <w:rPr>
                <w:rtl/>
              </w:rPr>
            </w:pPr>
            <w:r>
              <w:rPr>
                <w:rFonts w:hint="cs"/>
                <w:rtl/>
              </w:rPr>
              <w:t>בתחילה הגמרא רוצה להעמיד שהמשנה  היא רק כרבי</w:t>
            </w:r>
          </w:p>
        </w:tc>
        <w:tc>
          <w:tcPr>
            <w:tcW w:w="5246" w:type="dxa"/>
            <w:gridSpan w:val="4"/>
            <w:tcBorders>
              <w:bottom w:val="single" w:sz="4" w:space="0" w:color="auto"/>
            </w:tcBorders>
          </w:tcPr>
          <w:p w:rsidR="00DC4757" w:rsidRDefault="00DC4757" w:rsidP="00DC4757">
            <w:pPr>
              <w:rPr>
                <w:rtl/>
              </w:rPr>
            </w:pPr>
            <w:r>
              <w:rPr>
                <w:rFonts w:hint="cs"/>
                <w:rtl/>
              </w:rPr>
              <w:t>הגמרא דוחה אולי רבי יוסי הצריך שיגבל רק בדבר שהוא בר גיבול  ( ואל תגרוס אפר אלא עפר שהוא בר גיבול)</w:t>
            </w:r>
          </w:p>
          <w:p w:rsidR="00DC4757" w:rsidRDefault="00DC4757" w:rsidP="00DC4757">
            <w:pPr>
              <w:rPr>
                <w:rtl/>
              </w:rPr>
            </w:pPr>
            <w:r>
              <w:rPr>
                <w:rFonts w:hint="cs"/>
                <w:rtl/>
              </w:rPr>
              <w:t>אבל בדיו שהוא לאו בר גיבול  גם רבי  יוסי מסכים ששרייתו זו היא גיבולו</w:t>
            </w:r>
          </w:p>
        </w:tc>
      </w:tr>
      <w:tr w:rsidR="00DC4757" w:rsidTr="00DC4757">
        <w:tc>
          <w:tcPr>
            <w:tcW w:w="2710" w:type="dxa"/>
            <w:gridSpan w:val="2"/>
            <w:tcBorders>
              <w:left w:val="nil"/>
              <w:right w:val="nil"/>
            </w:tcBorders>
          </w:tcPr>
          <w:p w:rsidR="00DC4757" w:rsidRDefault="00DC4757" w:rsidP="00DC4757">
            <w:pPr>
              <w:rPr>
                <w:rtl/>
              </w:rPr>
            </w:pPr>
          </w:p>
        </w:tc>
        <w:tc>
          <w:tcPr>
            <w:tcW w:w="698" w:type="dxa"/>
            <w:gridSpan w:val="3"/>
            <w:tcBorders>
              <w:left w:val="nil"/>
              <w:right w:val="nil"/>
            </w:tcBorders>
          </w:tcPr>
          <w:p w:rsidR="00DC4757" w:rsidRDefault="00DC4757" w:rsidP="00DC4757">
            <w:pPr>
              <w:rPr>
                <w:rtl/>
              </w:rPr>
            </w:pPr>
          </w:p>
        </w:tc>
        <w:tc>
          <w:tcPr>
            <w:tcW w:w="861" w:type="dxa"/>
            <w:tcBorders>
              <w:left w:val="nil"/>
              <w:right w:val="nil"/>
            </w:tcBorders>
          </w:tcPr>
          <w:p w:rsidR="00DC4757" w:rsidRDefault="00DC4757" w:rsidP="00DC4757">
            <w:pPr>
              <w:rPr>
                <w:rtl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DC4757" w:rsidRDefault="00DC4757" w:rsidP="00DC4757">
            <w:pPr>
              <w:rPr>
                <w:rtl/>
              </w:rPr>
            </w:pPr>
          </w:p>
        </w:tc>
        <w:tc>
          <w:tcPr>
            <w:tcW w:w="5010" w:type="dxa"/>
            <w:gridSpan w:val="3"/>
            <w:tcBorders>
              <w:left w:val="nil"/>
              <w:right w:val="nil"/>
            </w:tcBorders>
          </w:tcPr>
          <w:p w:rsidR="00DC4757" w:rsidRDefault="00DC4757" w:rsidP="00DC4757">
            <w:pPr>
              <w:rPr>
                <w:rtl/>
              </w:rPr>
            </w:pPr>
          </w:p>
        </w:tc>
      </w:tr>
      <w:tr w:rsidR="00DC4757" w:rsidTr="00DC4757">
        <w:tc>
          <w:tcPr>
            <w:tcW w:w="9515" w:type="dxa"/>
            <w:gridSpan w:val="10"/>
          </w:tcPr>
          <w:p w:rsidR="00DC4757" w:rsidRDefault="00DC4757" w:rsidP="00DC4757">
            <w:pPr>
              <w:jc w:val="center"/>
              <w:rPr>
                <w:rtl/>
              </w:rPr>
            </w:pPr>
            <w:r w:rsidRPr="00FB012A">
              <w:rPr>
                <w:rFonts w:hint="cs"/>
                <w:highlight w:val="yellow"/>
                <w:rtl/>
              </w:rPr>
              <w:t>שביתת כלים</w:t>
            </w:r>
          </w:p>
        </w:tc>
      </w:tr>
      <w:tr w:rsidR="00DC4757" w:rsidTr="00DC4757">
        <w:tc>
          <w:tcPr>
            <w:tcW w:w="4269" w:type="dxa"/>
            <w:gridSpan w:val="6"/>
          </w:tcPr>
          <w:p w:rsidR="00DC4757" w:rsidRDefault="00DC4757" w:rsidP="00DC4757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רב יוסף 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לב"ה יש חובת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שביתת כלים</w:t>
            </w:r>
          </w:p>
        </w:tc>
        <w:tc>
          <w:tcPr>
            <w:tcW w:w="5246" w:type="dxa"/>
            <w:gridSpan w:val="4"/>
          </w:tcPr>
          <w:p w:rsidR="00DC4757" w:rsidRDefault="00DC4757" w:rsidP="00DC4757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רב אושעיא אמר רב אסי 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יש שביתת כלים לבית שמאי גם אם הם לא עושים מעשה </w:t>
            </w:r>
          </w:p>
        </w:tc>
      </w:tr>
      <w:tr w:rsidR="00DC4757" w:rsidTr="00DC4757">
        <w:tc>
          <w:tcPr>
            <w:tcW w:w="4269" w:type="dxa"/>
            <w:gridSpan w:val="6"/>
          </w:tcPr>
          <w:p w:rsidR="00DC4757" w:rsidRDefault="00DC4757" w:rsidP="00DC475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ודווקא כלים שעושים מעשה כמו ריחים של חיטים 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 ולכן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אין נותנין חטין לתוך הריחים של מים אלא בכדי שיטחנו מבעוד יום</w:t>
            </w:r>
          </w:p>
        </w:tc>
        <w:tc>
          <w:tcPr>
            <w:tcW w:w="5246" w:type="dxa"/>
            <w:gridSpan w:val="4"/>
          </w:tcPr>
          <w:p w:rsidR="00DC4757" w:rsidRDefault="00DC4757" w:rsidP="00DC475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והברייתא שהתירה לשים  מוגמר וגופרית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הכוונה תחת בגדים וכלים שלא שמו אותם בכלים</w:t>
            </w:r>
          </w:p>
        </w:tc>
      </w:tr>
      <w:tr w:rsidR="00DC4757" w:rsidTr="00DC4757">
        <w:tc>
          <w:tcPr>
            <w:tcW w:w="4269" w:type="dxa"/>
            <w:gridSpan w:val="6"/>
          </w:tcPr>
          <w:p w:rsidR="00DC4757" w:rsidRDefault="00DC4757" w:rsidP="00DC475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אבל מוגמר וגופרית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ו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אונין של פשתן </w:t>
            </w:r>
            <w:r>
              <w:rPr>
                <w:rFonts w:hint="cs"/>
                <w:rtl/>
              </w:rPr>
              <w:t xml:space="preserve">הכלים עצמם לא עושים מעשה   וגם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מצודת חיה ועוף ודגים</w:t>
            </w:r>
            <w:r>
              <w:rPr>
                <w:rFonts w:hint="cs"/>
                <w:rtl/>
              </w:rPr>
              <w:t xml:space="preserve"> שהתירו להניחן מבעוד יום מדובר בכאלו שלא עושות מעשה.</w:t>
            </w:r>
          </w:p>
        </w:tc>
        <w:tc>
          <w:tcPr>
            <w:tcW w:w="5246" w:type="dxa"/>
            <w:gridSpan w:val="4"/>
          </w:tcPr>
          <w:p w:rsidR="00DC4757" w:rsidRDefault="00DC4757" w:rsidP="00DC475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ושאר כלים בשבת שאדם משתמש בהם כמו נר צריך שיפקירם מבעוד יום. </w:t>
            </w:r>
          </w:p>
        </w:tc>
      </w:tr>
      <w:tr w:rsidR="00DC4757" w:rsidTr="00DC4757">
        <w:tc>
          <w:tcPr>
            <w:tcW w:w="4269" w:type="dxa"/>
            <w:gridSpan w:val="6"/>
            <w:tcBorders>
              <w:bottom w:val="single" w:sz="4" w:space="0" w:color="auto"/>
            </w:tcBorders>
          </w:tcPr>
          <w:p w:rsidR="00DC4757" w:rsidRDefault="00DC4757" w:rsidP="00DC475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אישה ונחתום לא ישהו אוכלין כל השבת בכלי שצריכין בישול ארוך עד מוצ"ש </w:t>
            </w:r>
            <w:r w:rsidRPr="00FB012A">
              <w:rPr>
                <w:rFonts w:hint="cs"/>
                <w:highlight w:val="yellow"/>
                <w:rtl/>
              </w:rPr>
              <w:t>בגלל החשש שמא יחתה.</w:t>
            </w:r>
            <w:r>
              <w:rPr>
                <w:rFonts w:hint="cs"/>
                <w:rtl/>
              </w:rPr>
              <w:t xml:space="preserve">   אבל במוגמר וגופרית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ו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אונין של פשתן</w:t>
            </w:r>
            <w:r>
              <w:rPr>
                <w:rFonts w:hint="cs"/>
                <w:rtl/>
              </w:rPr>
              <w:t xml:space="preserve"> לא החיתוי לא טוב לתהליך שהם עושים ולכן אין חשש שמא יחתה </w:t>
            </w:r>
          </w:p>
        </w:tc>
        <w:tc>
          <w:tcPr>
            <w:tcW w:w="5246" w:type="dxa"/>
            <w:gridSpan w:val="4"/>
            <w:tcBorders>
              <w:bottom w:val="single" w:sz="4" w:space="0" w:color="auto"/>
            </w:tcBorders>
          </w:tcPr>
          <w:p w:rsidR="00DC4757" w:rsidRDefault="00DC4757" w:rsidP="00DC475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אישה ונחתום לא ישהו אוכלין כל השבת בכלי שצריכין בישול ארוך עד מוצ"ש </w:t>
            </w:r>
            <w:r w:rsidRPr="00FB012A">
              <w:rPr>
                <w:rFonts w:hint="cs"/>
                <w:highlight w:val="yellow"/>
                <w:rtl/>
              </w:rPr>
              <w:t>בגלל שביתת כלים.</w:t>
            </w:r>
          </w:p>
        </w:tc>
      </w:tr>
      <w:tr w:rsidR="00DC4757" w:rsidTr="00DC4757">
        <w:tc>
          <w:tcPr>
            <w:tcW w:w="2710" w:type="dxa"/>
            <w:gridSpan w:val="2"/>
            <w:tcBorders>
              <w:left w:val="nil"/>
              <w:right w:val="nil"/>
            </w:tcBorders>
          </w:tcPr>
          <w:p w:rsidR="00DC4757" w:rsidRDefault="00DC4757" w:rsidP="00DC4757">
            <w:pPr>
              <w:rPr>
                <w:rtl/>
              </w:rPr>
            </w:pPr>
          </w:p>
        </w:tc>
        <w:tc>
          <w:tcPr>
            <w:tcW w:w="698" w:type="dxa"/>
            <w:gridSpan w:val="3"/>
            <w:tcBorders>
              <w:left w:val="nil"/>
              <w:right w:val="nil"/>
            </w:tcBorders>
          </w:tcPr>
          <w:p w:rsidR="00DC4757" w:rsidRDefault="00DC4757" w:rsidP="00DC4757">
            <w:pPr>
              <w:rPr>
                <w:rtl/>
              </w:rPr>
            </w:pPr>
          </w:p>
        </w:tc>
        <w:tc>
          <w:tcPr>
            <w:tcW w:w="861" w:type="dxa"/>
            <w:tcBorders>
              <w:left w:val="nil"/>
              <w:right w:val="nil"/>
            </w:tcBorders>
          </w:tcPr>
          <w:p w:rsidR="00DC4757" w:rsidRDefault="00DC4757" w:rsidP="00DC4757">
            <w:pPr>
              <w:rPr>
                <w:rtl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DC4757" w:rsidRDefault="00DC4757" w:rsidP="00DC4757">
            <w:pPr>
              <w:rPr>
                <w:rtl/>
              </w:rPr>
            </w:pPr>
          </w:p>
        </w:tc>
        <w:tc>
          <w:tcPr>
            <w:tcW w:w="5010" w:type="dxa"/>
            <w:gridSpan w:val="3"/>
            <w:tcBorders>
              <w:left w:val="nil"/>
              <w:right w:val="nil"/>
            </w:tcBorders>
          </w:tcPr>
          <w:p w:rsidR="00DC4757" w:rsidRDefault="00DC4757" w:rsidP="00DC4757">
            <w:pPr>
              <w:rPr>
                <w:rtl/>
              </w:rPr>
            </w:pPr>
          </w:p>
        </w:tc>
      </w:tr>
      <w:tr w:rsidR="00DC4757" w:rsidTr="00DC4757">
        <w:tc>
          <w:tcPr>
            <w:tcW w:w="9515" w:type="dxa"/>
            <w:gridSpan w:val="10"/>
          </w:tcPr>
          <w:p w:rsidR="00DC4757" w:rsidRDefault="00DC4757" w:rsidP="00DC4757">
            <w:pPr>
              <w:jc w:val="center"/>
              <w:rPr>
                <w:rtl/>
              </w:rPr>
            </w:pPr>
            <w:r w:rsidRPr="00FB012A">
              <w:rPr>
                <w:rFonts w:hint="cs"/>
                <w:highlight w:val="yellow"/>
                <w:rtl/>
              </w:rPr>
              <w:t>דיני שהיה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מותר להשהות שאין חשש שמא יחתה מסיבה כל שהיא</w:t>
            </w:r>
          </w:p>
        </w:tc>
      </w:tr>
      <w:tr w:rsidR="00DC4757" w:rsidTr="00DC4757">
        <w:tc>
          <w:tcPr>
            <w:tcW w:w="2993" w:type="dxa"/>
            <w:gridSpan w:val="4"/>
          </w:tcPr>
          <w:p w:rsidR="00DC4757" w:rsidRDefault="00DC4757" w:rsidP="00DC4757">
            <w:pPr>
              <w:rPr>
                <w:rtl/>
              </w:rPr>
            </w:pPr>
            <w:r>
              <w:rPr>
                <w:rFonts w:hint="cs"/>
                <w:rtl/>
              </w:rPr>
              <w:t>קדרה חיה (לא מבושלת)</w:t>
            </w:r>
          </w:p>
        </w:tc>
        <w:tc>
          <w:tcPr>
            <w:tcW w:w="6522" w:type="dxa"/>
            <w:gridSpan w:val="6"/>
          </w:tcPr>
          <w:p w:rsidR="00DC4757" w:rsidRDefault="00DC4757" w:rsidP="00DC4757">
            <w:pPr>
              <w:rPr>
                <w:rtl/>
              </w:rPr>
            </w:pPr>
            <w:r>
              <w:rPr>
                <w:rFonts w:hint="cs"/>
                <w:rtl/>
              </w:rPr>
              <w:t>לא יחתה כי בערב לא תתבשל ועד הבוקר ודאי תתבשל</w:t>
            </w:r>
          </w:p>
        </w:tc>
      </w:tr>
      <w:tr w:rsidR="00DC4757" w:rsidTr="00DC4757">
        <w:tc>
          <w:tcPr>
            <w:tcW w:w="2993" w:type="dxa"/>
            <w:gridSpan w:val="4"/>
          </w:tcPr>
          <w:p w:rsidR="00DC4757" w:rsidRDefault="00DC4757" w:rsidP="00DC4757">
            <w:pPr>
              <w:rPr>
                <w:rtl/>
              </w:rPr>
            </w:pPr>
            <w:r>
              <w:rPr>
                <w:rFonts w:hint="cs"/>
                <w:rtl/>
              </w:rPr>
              <w:t>בשיל (מבושל כל צורכו)</w:t>
            </w:r>
          </w:p>
        </w:tc>
        <w:tc>
          <w:tcPr>
            <w:tcW w:w="6522" w:type="dxa"/>
            <w:gridSpan w:val="6"/>
          </w:tcPr>
          <w:p w:rsidR="00DC4757" w:rsidRDefault="00DC4757" w:rsidP="00DC475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לא יחתה כי כבר מבושל </w:t>
            </w:r>
          </w:p>
        </w:tc>
      </w:tr>
      <w:tr w:rsidR="00DC4757" w:rsidTr="00DC4757">
        <w:tc>
          <w:tcPr>
            <w:tcW w:w="2993" w:type="dxa"/>
            <w:gridSpan w:val="4"/>
          </w:tcPr>
          <w:p w:rsidR="00DC4757" w:rsidRDefault="00DC4757" w:rsidP="00DC4757">
            <w:pPr>
              <w:rPr>
                <w:rtl/>
              </w:rPr>
            </w:pPr>
            <w:r>
              <w:rPr>
                <w:rFonts w:hint="cs"/>
                <w:rtl/>
              </w:rPr>
              <w:t>בשיל ולא בשיל (לא מבושל כל צורכו)</w:t>
            </w:r>
          </w:p>
        </w:tc>
        <w:tc>
          <w:tcPr>
            <w:tcW w:w="6522" w:type="dxa"/>
            <w:gridSpan w:val="6"/>
          </w:tcPr>
          <w:p w:rsidR="00DC4757" w:rsidRDefault="00DC4757" w:rsidP="00DC4757">
            <w:pPr>
              <w:rPr>
                <w:rtl/>
              </w:rPr>
            </w:pPr>
            <w:r>
              <w:rPr>
                <w:rFonts w:hint="cs"/>
                <w:rtl/>
              </w:rPr>
              <w:t>יש חשש שמא יחתה למהר בישולו ולכן אסור להשהותו מערב שבת</w:t>
            </w:r>
          </w:p>
        </w:tc>
      </w:tr>
      <w:tr w:rsidR="00DC4757" w:rsidTr="00DC4757">
        <w:tc>
          <w:tcPr>
            <w:tcW w:w="2993" w:type="dxa"/>
            <w:gridSpan w:val="4"/>
            <w:tcBorders>
              <w:bottom w:val="single" w:sz="4" w:space="0" w:color="auto"/>
            </w:tcBorders>
          </w:tcPr>
          <w:p w:rsidR="00DC4757" w:rsidRDefault="00DC4757" w:rsidP="00DC4757">
            <w:pPr>
              <w:rPr>
                <w:rtl/>
              </w:rPr>
            </w:pPr>
            <w:r>
              <w:rPr>
                <w:rFonts w:hint="cs"/>
                <w:rtl/>
              </w:rPr>
              <w:t>בשיל ולא בשיל (לא מבושל כל צורכו) ששם בו אבר אחד חי</w:t>
            </w:r>
          </w:p>
        </w:tc>
        <w:tc>
          <w:tcPr>
            <w:tcW w:w="6522" w:type="dxa"/>
            <w:gridSpan w:val="6"/>
            <w:tcBorders>
              <w:bottom w:val="single" w:sz="4" w:space="0" w:color="auto"/>
            </w:tcBorders>
          </w:tcPr>
          <w:p w:rsidR="00DC4757" w:rsidRDefault="00DC4757" w:rsidP="00DC4757">
            <w:pPr>
              <w:rPr>
                <w:rtl/>
              </w:rPr>
            </w:pPr>
            <w:r>
              <w:rPr>
                <w:rFonts w:hint="cs"/>
                <w:rtl/>
              </w:rPr>
              <w:t>לא יחתה כי בערב לא תתבשל ועד הבוקר ודאי תתבשל</w:t>
            </w:r>
          </w:p>
        </w:tc>
      </w:tr>
      <w:tr w:rsidR="00DC4757" w:rsidTr="00DC4757">
        <w:tc>
          <w:tcPr>
            <w:tcW w:w="2993" w:type="dxa"/>
            <w:gridSpan w:val="4"/>
            <w:tcBorders>
              <w:left w:val="nil"/>
              <w:right w:val="nil"/>
            </w:tcBorders>
          </w:tcPr>
          <w:p w:rsidR="00DC4757" w:rsidRDefault="00DC4757" w:rsidP="00DC4757">
            <w:pPr>
              <w:rPr>
                <w:rtl/>
              </w:rPr>
            </w:pPr>
          </w:p>
        </w:tc>
        <w:tc>
          <w:tcPr>
            <w:tcW w:w="415" w:type="dxa"/>
            <w:tcBorders>
              <w:left w:val="nil"/>
              <w:right w:val="nil"/>
            </w:tcBorders>
          </w:tcPr>
          <w:p w:rsidR="00DC4757" w:rsidRDefault="00DC4757" w:rsidP="00DC4757">
            <w:pPr>
              <w:rPr>
                <w:rtl/>
              </w:rPr>
            </w:pPr>
          </w:p>
        </w:tc>
        <w:tc>
          <w:tcPr>
            <w:tcW w:w="861" w:type="dxa"/>
            <w:tcBorders>
              <w:left w:val="nil"/>
              <w:right w:val="nil"/>
            </w:tcBorders>
          </w:tcPr>
          <w:p w:rsidR="00DC4757" w:rsidRDefault="00DC4757" w:rsidP="00DC4757">
            <w:pPr>
              <w:rPr>
                <w:rtl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DC4757" w:rsidRDefault="00DC4757" w:rsidP="00DC4757">
            <w:pPr>
              <w:rPr>
                <w:rtl/>
              </w:rPr>
            </w:pPr>
          </w:p>
        </w:tc>
        <w:tc>
          <w:tcPr>
            <w:tcW w:w="5010" w:type="dxa"/>
            <w:gridSpan w:val="3"/>
            <w:tcBorders>
              <w:left w:val="nil"/>
              <w:right w:val="nil"/>
            </w:tcBorders>
          </w:tcPr>
          <w:p w:rsidR="00DC4757" w:rsidRDefault="00DC4757" w:rsidP="00DC4757">
            <w:pPr>
              <w:rPr>
                <w:rtl/>
              </w:rPr>
            </w:pPr>
          </w:p>
        </w:tc>
      </w:tr>
      <w:tr w:rsidR="00DC4757" w:rsidTr="00DC4757">
        <w:tc>
          <w:tcPr>
            <w:tcW w:w="9515" w:type="dxa"/>
            <w:gridSpan w:val="10"/>
          </w:tcPr>
          <w:p w:rsidR="00DC4757" w:rsidRDefault="00DC4757" w:rsidP="00DC4757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 w:rsidRPr="001212EE">
              <w:rPr>
                <w:rFonts w:ascii="Arial" w:hAnsi="Arial" w:cs="Arial" w:hint="cs"/>
                <w:color w:val="000000"/>
                <w:sz w:val="23"/>
                <w:szCs w:val="23"/>
                <w:highlight w:val="yellow"/>
                <w:rtl/>
              </w:rPr>
              <w:t>להשהות דברים שהרוח מזיקה להם</w:t>
            </w:r>
          </w:p>
        </w:tc>
      </w:tr>
      <w:tr w:rsidR="00DC4757" w:rsidTr="00DC4757">
        <w:tc>
          <w:tcPr>
            <w:tcW w:w="9515" w:type="dxa"/>
            <w:gridSpan w:val="10"/>
          </w:tcPr>
          <w:p w:rsidR="00DC4757" w:rsidRDefault="00DC4757" w:rsidP="00DC4757">
            <w:pPr>
              <w:rPr>
                <w:rtl/>
              </w:rPr>
            </w:pP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מותר לשם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אונין של פשתן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  בע"ש ואין חשש שמא יחתה וכיוון שקשה להם הרוח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שתיכנס בעת החיתוי</w:t>
            </w:r>
          </w:p>
        </w:tc>
      </w:tr>
      <w:tr w:rsidR="00DC4757" w:rsidTr="00DC4757">
        <w:tc>
          <w:tcPr>
            <w:tcW w:w="1292" w:type="dxa"/>
          </w:tcPr>
          <w:p w:rsidR="00DC4757" w:rsidRDefault="00DC4757" w:rsidP="00DC4757">
            <w:pPr>
              <w:rPr>
                <w:rtl/>
              </w:rPr>
            </w:pPr>
            <w:r>
              <w:rPr>
                <w:rFonts w:hint="cs"/>
                <w:rtl/>
              </w:rPr>
              <w:t>בשר גדי</w:t>
            </w:r>
          </w:p>
        </w:tc>
        <w:tc>
          <w:tcPr>
            <w:tcW w:w="1560" w:type="dxa"/>
            <w:gridSpan w:val="2"/>
          </w:tcPr>
          <w:p w:rsidR="00DC4757" w:rsidRDefault="00DC4757" w:rsidP="00DC4757">
            <w:pPr>
              <w:rPr>
                <w:rtl/>
              </w:rPr>
            </w:pPr>
            <w:r>
              <w:rPr>
                <w:rFonts w:hint="cs"/>
                <w:rtl/>
              </w:rPr>
              <w:t>טעמים להיתר</w:t>
            </w:r>
          </w:p>
        </w:tc>
        <w:tc>
          <w:tcPr>
            <w:tcW w:w="1842" w:type="dxa"/>
            <w:gridSpan w:val="5"/>
          </w:tcPr>
          <w:p w:rsidR="00DC4757" w:rsidRDefault="00DC4757" w:rsidP="00DC475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הרוח מזיקה לו </w:t>
            </w:r>
          </w:p>
        </w:tc>
        <w:tc>
          <w:tcPr>
            <w:tcW w:w="4821" w:type="dxa"/>
            <w:gridSpan w:val="2"/>
          </w:tcPr>
          <w:p w:rsidR="00DC4757" w:rsidRDefault="00DC4757" w:rsidP="00DC4757">
            <w:pPr>
              <w:rPr>
                <w:rtl/>
              </w:rPr>
            </w:pPr>
            <w:r>
              <w:rPr>
                <w:rFonts w:hint="cs"/>
                <w:rtl/>
              </w:rPr>
              <w:t>טח בטיט (שריק) ועד שיפתח יזכר</w:t>
            </w:r>
          </w:p>
        </w:tc>
      </w:tr>
      <w:tr w:rsidR="00DC4757" w:rsidTr="00DC4757">
        <w:tc>
          <w:tcPr>
            <w:tcW w:w="1292" w:type="dxa"/>
          </w:tcPr>
          <w:p w:rsidR="00DC4757" w:rsidRDefault="00DC4757" w:rsidP="00DC4757">
            <w:pPr>
              <w:rPr>
                <w:rtl/>
              </w:rPr>
            </w:pPr>
            <w:r>
              <w:rPr>
                <w:rFonts w:hint="cs"/>
                <w:rtl/>
              </w:rPr>
              <w:t>בשר איל</w:t>
            </w:r>
          </w:p>
        </w:tc>
        <w:tc>
          <w:tcPr>
            <w:tcW w:w="1560" w:type="dxa"/>
            <w:gridSpan w:val="2"/>
          </w:tcPr>
          <w:p w:rsidR="00DC4757" w:rsidRDefault="00DC4757" w:rsidP="00DC4757">
            <w:pPr>
              <w:rPr>
                <w:rtl/>
              </w:rPr>
            </w:pPr>
            <w:r>
              <w:rPr>
                <w:rFonts w:hint="cs"/>
                <w:rtl/>
              </w:rPr>
              <w:t>טעמים לאסור</w:t>
            </w:r>
          </w:p>
        </w:tc>
        <w:tc>
          <w:tcPr>
            <w:tcW w:w="1842" w:type="dxa"/>
            <w:gridSpan w:val="5"/>
          </w:tcPr>
          <w:p w:rsidR="00DC4757" w:rsidRDefault="00DC4757" w:rsidP="00DC475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הרוח לא מזיק לו </w:t>
            </w:r>
          </w:p>
        </w:tc>
        <w:tc>
          <w:tcPr>
            <w:tcW w:w="4821" w:type="dxa"/>
            <w:gridSpan w:val="2"/>
          </w:tcPr>
          <w:p w:rsidR="00DC4757" w:rsidRDefault="00DC4757" w:rsidP="00DC475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לא טח בטיט </w:t>
            </w:r>
          </w:p>
        </w:tc>
      </w:tr>
      <w:tr w:rsidR="00DC4757" w:rsidTr="00DC4757">
        <w:tc>
          <w:tcPr>
            <w:tcW w:w="9515" w:type="dxa"/>
            <w:gridSpan w:val="10"/>
          </w:tcPr>
          <w:p w:rsidR="00DC4757" w:rsidRDefault="00DC4757" w:rsidP="00DC475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מה הדין שיש טעם להתיר וטעם לאסור</w:t>
            </w:r>
          </w:p>
        </w:tc>
      </w:tr>
      <w:tr w:rsidR="00DC4757" w:rsidTr="00DC4757">
        <w:tc>
          <w:tcPr>
            <w:tcW w:w="1292" w:type="dxa"/>
          </w:tcPr>
          <w:p w:rsidR="00DC4757" w:rsidRDefault="00DC4757" w:rsidP="00DC4757">
            <w:pPr>
              <w:rPr>
                <w:rtl/>
              </w:rPr>
            </w:pPr>
            <w:r>
              <w:rPr>
                <w:rFonts w:hint="cs"/>
                <w:rtl/>
              </w:rPr>
              <w:t>בשר גדי</w:t>
            </w:r>
          </w:p>
        </w:tc>
        <w:tc>
          <w:tcPr>
            <w:tcW w:w="1560" w:type="dxa"/>
            <w:gridSpan w:val="2"/>
            <w:vMerge w:val="restart"/>
          </w:tcPr>
          <w:p w:rsidR="00DC4757" w:rsidRDefault="00DC4757" w:rsidP="00DC4757">
            <w:pPr>
              <w:rPr>
                <w:rtl/>
              </w:rPr>
            </w:pPr>
            <w:r>
              <w:rPr>
                <w:rFonts w:hint="cs"/>
                <w:rtl/>
              </w:rPr>
              <w:t>טעם לכאן ולכאן</w:t>
            </w:r>
            <w:r w:rsidRPr="00D918D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1842" w:type="dxa"/>
            <w:gridSpan w:val="5"/>
          </w:tcPr>
          <w:p w:rsidR="00DC4757" w:rsidRDefault="00DC4757" w:rsidP="00DC4757">
            <w:pPr>
              <w:rPr>
                <w:rtl/>
              </w:rPr>
            </w:pPr>
            <w:r>
              <w:rPr>
                <w:rFonts w:hint="cs"/>
                <w:rtl/>
              </w:rPr>
              <w:t>הרוח מזיקה לו</w:t>
            </w:r>
          </w:p>
        </w:tc>
        <w:tc>
          <w:tcPr>
            <w:tcW w:w="4821" w:type="dxa"/>
            <w:gridSpan w:val="2"/>
          </w:tcPr>
          <w:p w:rsidR="00DC4757" w:rsidRDefault="00DC4757" w:rsidP="00DC4757">
            <w:pPr>
              <w:rPr>
                <w:rtl/>
              </w:rPr>
            </w:pPr>
            <w:r>
              <w:rPr>
                <w:rFonts w:hint="cs"/>
                <w:rtl/>
              </w:rPr>
              <w:t>לא טח בטיט</w:t>
            </w:r>
          </w:p>
        </w:tc>
      </w:tr>
      <w:tr w:rsidR="00DC4757" w:rsidTr="00DC4757">
        <w:tc>
          <w:tcPr>
            <w:tcW w:w="1292" w:type="dxa"/>
          </w:tcPr>
          <w:p w:rsidR="00DC4757" w:rsidRDefault="00DC4757" w:rsidP="00DC4757">
            <w:pPr>
              <w:rPr>
                <w:rtl/>
              </w:rPr>
            </w:pPr>
            <w:r>
              <w:rPr>
                <w:rFonts w:hint="cs"/>
                <w:rtl/>
              </w:rPr>
              <w:t>בשר איל</w:t>
            </w:r>
          </w:p>
        </w:tc>
        <w:tc>
          <w:tcPr>
            <w:tcW w:w="1560" w:type="dxa"/>
            <w:gridSpan w:val="2"/>
            <w:vMerge/>
          </w:tcPr>
          <w:p w:rsidR="00DC4757" w:rsidRDefault="00DC4757" w:rsidP="00DC4757">
            <w:pPr>
              <w:rPr>
                <w:rtl/>
              </w:rPr>
            </w:pPr>
          </w:p>
        </w:tc>
        <w:tc>
          <w:tcPr>
            <w:tcW w:w="1842" w:type="dxa"/>
            <w:gridSpan w:val="5"/>
          </w:tcPr>
          <w:p w:rsidR="00DC4757" w:rsidRDefault="00DC4757" w:rsidP="00DC4757">
            <w:pPr>
              <w:rPr>
                <w:rtl/>
              </w:rPr>
            </w:pPr>
            <w:r>
              <w:rPr>
                <w:rFonts w:hint="cs"/>
                <w:rtl/>
              </w:rPr>
              <w:t>הרוח לא מזיק לו</w:t>
            </w:r>
          </w:p>
        </w:tc>
        <w:tc>
          <w:tcPr>
            <w:tcW w:w="4821" w:type="dxa"/>
            <w:gridSpan w:val="2"/>
          </w:tcPr>
          <w:p w:rsidR="00DC4757" w:rsidRDefault="00DC4757" w:rsidP="00DC4757">
            <w:pPr>
              <w:rPr>
                <w:rtl/>
              </w:rPr>
            </w:pPr>
            <w:r>
              <w:rPr>
                <w:rFonts w:hint="cs"/>
                <w:rtl/>
              </w:rPr>
              <w:t>טח בטיט (שריק) ועד שיפתח יזכר</w:t>
            </w:r>
          </w:p>
        </w:tc>
      </w:tr>
      <w:tr w:rsidR="00DC4757" w:rsidTr="00DC4757">
        <w:tc>
          <w:tcPr>
            <w:tcW w:w="1292" w:type="dxa"/>
            <w:tcBorders>
              <w:bottom w:val="single" w:sz="4" w:space="0" w:color="auto"/>
            </w:tcBorders>
          </w:tcPr>
          <w:p w:rsidR="00DC4757" w:rsidRDefault="00DC4757" w:rsidP="00DC4757">
            <w:pPr>
              <w:rPr>
                <w:rtl/>
              </w:rPr>
            </w:pPr>
          </w:p>
        </w:tc>
        <w:tc>
          <w:tcPr>
            <w:tcW w:w="8223" w:type="dxa"/>
            <w:gridSpan w:val="9"/>
            <w:tcBorders>
              <w:bottom w:val="single" w:sz="4" w:space="0" w:color="auto"/>
            </w:tcBorders>
          </w:tcPr>
          <w:p w:rsidR="00DC4757" w:rsidRDefault="00DC4757" w:rsidP="00DC4757">
            <w:pPr>
              <w:rPr>
                <w:rtl/>
              </w:rPr>
            </w:pPr>
            <w:r w:rsidRPr="00D918D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רב אשי שרי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 (והמשנה ש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אמרה </w:t>
            </w:r>
            <w:bookmarkStart w:id="0" w:name="_GoBack"/>
            <w:bookmarkEnd w:id="0"/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שאסור לצלות בשר מבעוד יום דברה במקרה שיש 2 טעמים לאסור הרוח לא מזיקה לו ולא טח בטיט)</w:t>
            </w:r>
            <w:r w:rsidRPr="00D918D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ורב ירמיה מדיפתי אסיר</w:t>
            </w:r>
          </w:p>
        </w:tc>
      </w:tr>
      <w:tr w:rsidR="00DC4757" w:rsidTr="00DC4757">
        <w:tc>
          <w:tcPr>
            <w:tcW w:w="9515" w:type="dxa"/>
            <w:gridSpan w:val="10"/>
            <w:tcBorders>
              <w:bottom w:val="single" w:sz="4" w:space="0" w:color="auto"/>
            </w:tcBorders>
          </w:tcPr>
          <w:p w:rsidR="00DC4757" w:rsidRPr="00DC4757" w:rsidRDefault="00DC4757" w:rsidP="00DC4757">
            <w:pPr>
              <w:jc w:val="center"/>
              <w:rPr>
                <w:rFonts w:hint="cs"/>
                <w:highlight w:val="yellow"/>
                <w:rtl/>
              </w:rPr>
            </w:pPr>
          </w:p>
        </w:tc>
      </w:tr>
      <w:tr w:rsidR="00DC4757" w:rsidTr="00DC4757">
        <w:tc>
          <w:tcPr>
            <w:tcW w:w="9515" w:type="dxa"/>
            <w:gridSpan w:val="10"/>
            <w:tcBorders>
              <w:bottom w:val="single" w:sz="4" w:space="0" w:color="auto"/>
            </w:tcBorders>
          </w:tcPr>
          <w:p w:rsidR="00DC4757" w:rsidRDefault="00DC4757" w:rsidP="00DC4757">
            <w:pPr>
              <w:jc w:val="center"/>
              <w:rPr>
                <w:rFonts w:hint="cs"/>
                <w:rtl/>
              </w:rPr>
            </w:pPr>
            <w:r w:rsidRPr="00DC4757">
              <w:rPr>
                <w:rFonts w:hint="cs"/>
                <w:highlight w:val="yellow"/>
                <w:rtl/>
              </w:rPr>
              <w:t>איכא דאמרי</w:t>
            </w:r>
          </w:p>
        </w:tc>
      </w:tr>
      <w:tr w:rsidR="00DC4757" w:rsidTr="00DC4757">
        <w:tc>
          <w:tcPr>
            <w:tcW w:w="1292" w:type="dxa"/>
            <w:tcBorders>
              <w:bottom w:val="single" w:sz="4" w:space="0" w:color="auto"/>
            </w:tcBorders>
          </w:tcPr>
          <w:p w:rsidR="00DC4757" w:rsidRDefault="00DC4757" w:rsidP="00DC4757">
            <w:pPr>
              <w:rPr>
                <w:rtl/>
              </w:rPr>
            </w:pPr>
            <w:r>
              <w:rPr>
                <w:rFonts w:hint="cs"/>
                <w:rtl/>
              </w:rPr>
              <w:t>בשר גדי</w:t>
            </w:r>
          </w:p>
        </w:tc>
        <w:tc>
          <w:tcPr>
            <w:tcW w:w="4111" w:type="dxa"/>
            <w:gridSpan w:val="8"/>
            <w:tcBorders>
              <w:bottom w:val="single" w:sz="4" w:space="0" w:color="auto"/>
            </w:tcBorders>
          </w:tcPr>
          <w:p w:rsidR="00DC4757" w:rsidRDefault="00DC4757" w:rsidP="00DC4757">
            <w:pPr>
              <w:rPr>
                <w:rtl/>
              </w:rPr>
            </w:pPr>
            <w:r>
              <w:rPr>
                <w:rFonts w:hint="cs"/>
                <w:rtl/>
              </w:rPr>
              <w:t>טעם אחד להיתר מספיק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DC4757" w:rsidRDefault="00DC4757" w:rsidP="00DC475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הרוח מזיקה לו </w:t>
            </w:r>
          </w:p>
        </w:tc>
      </w:tr>
      <w:tr w:rsidR="00DC4757" w:rsidTr="00DC4757">
        <w:tc>
          <w:tcPr>
            <w:tcW w:w="1292" w:type="dxa"/>
            <w:tcBorders>
              <w:bottom w:val="single" w:sz="4" w:space="0" w:color="auto"/>
            </w:tcBorders>
          </w:tcPr>
          <w:p w:rsidR="00DC4757" w:rsidRDefault="00DC4757" w:rsidP="00DC4757">
            <w:pPr>
              <w:rPr>
                <w:rtl/>
              </w:rPr>
            </w:pPr>
            <w:r>
              <w:rPr>
                <w:rFonts w:hint="cs"/>
                <w:rtl/>
              </w:rPr>
              <w:t>בשר איל</w:t>
            </w:r>
          </w:p>
        </w:tc>
        <w:tc>
          <w:tcPr>
            <w:tcW w:w="4111" w:type="dxa"/>
            <w:gridSpan w:val="8"/>
            <w:tcBorders>
              <w:bottom w:val="single" w:sz="4" w:space="0" w:color="auto"/>
            </w:tcBorders>
          </w:tcPr>
          <w:p w:rsidR="00DC4757" w:rsidRDefault="00DC4757" w:rsidP="00DC4757">
            <w:pPr>
              <w:rPr>
                <w:rtl/>
              </w:rPr>
            </w:pPr>
            <w:r>
              <w:rPr>
                <w:rFonts w:hint="cs"/>
                <w:rtl/>
              </w:rPr>
              <w:t>טעם אחד להיתר מספיק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DC4757" w:rsidRDefault="00DC4757" w:rsidP="00DC475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טח בטיט</w:t>
            </w:r>
          </w:p>
        </w:tc>
      </w:tr>
      <w:tr w:rsidR="00DC4757" w:rsidTr="00DC4757">
        <w:tc>
          <w:tcPr>
            <w:tcW w:w="9515" w:type="dxa"/>
            <w:gridSpan w:val="10"/>
            <w:tcBorders>
              <w:bottom w:val="single" w:sz="4" w:space="0" w:color="auto"/>
            </w:tcBorders>
          </w:tcPr>
          <w:p w:rsidR="00DC4757" w:rsidRPr="00DC4757" w:rsidRDefault="00DC4757" w:rsidP="00DC4757">
            <w:pPr>
              <w:rPr>
                <w:rtl/>
              </w:rPr>
            </w:pPr>
            <w:r>
              <w:rPr>
                <w:rFonts w:hint="cs"/>
                <w:rtl/>
              </w:rPr>
              <w:t>באיל שאין אף טעם  להיתר  הרוח לא מזיק לו לא טח בטיט</w:t>
            </w:r>
          </w:p>
        </w:tc>
      </w:tr>
      <w:tr w:rsidR="00DC4757" w:rsidTr="00DC4757">
        <w:tc>
          <w:tcPr>
            <w:tcW w:w="9515" w:type="dxa"/>
            <w:gridSpan w:val="10"/>
            <w:tcBorders>
              <w:bottom w:val="single" w:sz="4" w:space="0" w:color="auto"/>
            </w:tcBorders>
          </w:tcPr>
          <w:p w:rsidR="00DC4757" w:rsidRPr="00D918DE" w:rsidRDefault="00DC4757" w:rsidP="00DC475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 w:rsidRPr="00D918D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רב אשי שרי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 (והמשנה שאמר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ה שאסור לצלות בשר מבעוד יום דברה בבשר שמונח על גחלים בארץ שיש חשש ויבא לחתות בל שמונח בתנור קשה לחתות ולכן מותר)  </w:t>
            </w:r>
            <w:r w:rsidRPr="00D918DE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ורב ירמיה מדיפתי אסיר</w:t>
            </w:r>
          </w:p>
        </w:tc>
      </w:tr>
    </w:tbl>
    <w:p w:rsidR="00DC4757" w:rsidRPr="008F7016" w:rsidRDefault="00DC4757">
      <w:pPr>
        <w:shd w:val="clear" w:color="auto" w:fill="FDFBF4"/>
        <w:spacing w:after="10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sectPr w:rsidR="00DC4757" w:rsidRPr="008F7016" w:rsidSect="00DC475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AC"/>
    <w:rsid w:val="001212EE"/>
    <w:rsid w:val="001B22BD"/>
    <w:rsid w:val="001F5DAC"/>
    <w:rsid w:val="004369DB"/>
    <w:rsid w:val="00457FBA"/>
    <w:rsid w:val="005F3AA3"/>
    <w:rsid w:val="008F7016"/>
    <w:rsid w:val="00B02ECB"/>
    <w:rsid w:val="00C615BF"/>
    <w:rsid w:val="00D918DE"/>
    <w:rsid w:val="00D95EE9"/>
    <w:rsid w:val="00DC4757"/>
    <w:rsid w:val="00EC382B"/>
    <w:rsid w:val="00F42363"/>
    <w:rsid w:val="00FB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918DE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D918DE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918DE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D918DE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11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9129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33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793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2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0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2012-10-20T23:05:00Z</dcterms:created>
  <dcterms:modified xsi:type="dcterms:W3CDTF">2012-10-21T00:12:00Z</dcterms:modified>
</cp:coreProperties>
</file>