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885AA7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885AA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proofErr w:type="spellStart"/>
      <w:r w:rsidR="00AB300C" w:rsidRPr="00885AA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</w:t>
      </w:r>
      <w:r w:rsidR="00885AA7" w:rsidRPr="00885AA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ז</w:t>
      </w:r>
      <w:proofErr w:type="spellEnd"/>
    </w:p>
    <w:p w:rsidR="002D5F58" w:rsidRDefault="002D5F58" w:rsidP="002D5F58">
      <w:pPr>
        <w:rPr>
          <w:rtl/>
        </w:rPr>
      </w:pPr>
    </w:p>
    <w:tbl>
      <w:tblPr>
        <w:tblStyle w:val="a3"/>
        <w:bidiVisual/>
        <w:tblW w:w="9548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2731"/>
      </w:tblGrid>
      <w:tr w:rsidR="005A1E2E" w:rsidTr="00D13C29">
        <w:tc>
          <w:tcPr>
            <w:tcW w:w="9548" w:type="dxa"/>
            <w:gridSpan w:val="5"/>
          </w:tcPr>
          <w:p w:rsidR="005A1E2E" w:rsidRDefault="005A1E2E" w:rsidP="00C2335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בגפת ובעצים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 w:rsidRPr="009B0B84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לא </w:t>
            </w:r>
            <w:proofErr w:type="spellStart"/>
            <w:r w:rsidRPr="009B0B84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יתן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עד שיגרוף או עד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שיתן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את האפר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 (מה הכוונה לא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יתן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?) (האם שיטת חנניה או חכמים)</w:t>
            </w:r>
          </w:p>
          <w:p w:rsidR="005A1E2E" w:rsidRDefault="005A1E2E" w:rsidP="00C23354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A1E2E" w:rsidTr="00D13C29">
        <w:tc>
          <w:tcPr>
            <w:tcW w:w="5112" w:type="dxa"/>
            <w:gridSpan w:val="3"/>
            <w:tcBorders>
              <w:bottom w:val="single" w:sz="4" w:space="0" w:color="auto"/>
            </w:tcBorders>
          </w:tcPr>
          <w:p w:rsidR="005A1E2E" w:rsidRDefault="005A1E2E" w:rsidP="00C2335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אפשרות א כחנניה מותר להשהות  (להחזיר תנן</w:t>
            </w:r>
            <w:r w:rsidR="00D13C29">
              <w:rPr>
                <w:rFonts w:cs="David" w:hint="cs"/>
                <w:sz w:val="24"/>
                <w:szCs w:val="24"/>
                <w:rtl/>
              </w:rPr>
              <w:t xml:space="preserve"> שאסור</w:t>
            </w:r>
            <w:r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4436" w:type="dxa"/>
            <w:gridSpan w:val="2"/>
          </w:tcPr>
          <w:p w:rsidR="005A1E2E" w:rsidRDefault="005A1E2E" w:rsidP="00C2335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אפשרות ב  כחכמים אסור גם להשהות  (</w:t>
            </w:r>
            <w:r w:rsidR="00D13C29">
              <w:rPr>
                <w:rFonts w:cs="David" w:hint="cs"/>
                <w:sz w:val="24"/>
                <w:szCs w:val="24"/>
                <w:rtl/>
              </w:rPr>
              <w:t xml:space="preserve"> שגם </w:t>
            </w:r>
            <w:r>
              <w:rPr>
                <w:rFonts w:cs="David" w:hint="cs"/>
                <w:sz w:val="24"/>
                <w:szCs w:val="24"/>
                <w:rtl/>
              </w:rPr>
              <w:t>להשהות תנן</w:t>
            </w:r>
            <w:r w:rsidR="00D13C29">
              <w:rPr>
                <w:rFonts w:cs="David" w:hint="cs"/>
                <w:sz w:val="24"/>
                <w:szCs w:val="24"/>
                <w:rtl/>
              </w:rPr>
              <w:t xml:space="preserve"> שאסור </w:t>
            </w:r>
            <w:r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5A1E2E" w:rsidTr="00D13C29">
        <w:tc>
          <w:tcPr>
            <w:tcW w:w="5112" w:type="dxa"/>
            <w:gridSpan w:val="3"/>
            <w:tcBorders>
              <w:bottom w:val="single" w:sz="4" w:space="0" w:color="auto"/>
            </w:tcBorders>
          </w:tcPr>
          <w:p w:rsidR="005A1E2E" w:rsidRDefault="005A1E2E" w:rsidP="00C2335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לא יחזיר כיוון שאינה (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) אבל להשהות מותר כחנניה שכל שהוא כמאכל בן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דורסאי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מותר להשהות ואין חשש חיתוי</w:t>
            </w:r>
          </w:p>
        </w:tc>
        <w:tc>
          <w:tcPr>
            <w:tcW w:w="4436" w:type="dxa"/>
            <w:gridSpan w:val="2"/>
          </w:tcPr>
          <w:p w:rsidR="005A1E2E" w:rsidRDefault="005A1E2E" w:rsidP="00C2335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לא ישהה אם אינה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וכל שכן שאסור להחזיר אם אינה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5A1E2E" w:rsidRDefault="005A1E2E" w:rsidP="00C2335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5A1E2E" w:rsidTr="00D13C29"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E2E" w:rsidRDefault="005A1E2E" w:rsidP="00C2335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אפשר להסביר כחנניה שמותר להשהות על כירה שאינה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ובסיפא הם חוזרים להסביר את הרישא</w:t>
            </w:r>
            <w:r w:rsidR="00D13C29">
              <w:rPr>
                <w:rFonts w:cs="David" w:hint="cs"/>
                <w:sz w:val="24"/>
                <w:szCs w:val="24"/>
                <w:rtl/>
              </w:rPr>
              <w:t xml:space="preserve"> בעניין </w:t>
            </w:r>
            <w:proofErr w:type="spellStart"/>
            <w:r w:rsidR="00D13C29">
              <w:rPr>
                <w:rFonts w:cs="David" w:hint="cs"/>
                <w:sz w:val="24"/>
                <w:szCs w:val="24"/>
                <w:rtl/>
              </w:rPr>
              <w:t>החחזרה</w:t>
            </w:r>
            <w:proofErr w:type="spellEnd"/>
            <w:r w:rsidR="00D13C29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436" w:type="dxa"/>
            <w:gridSpan w:val="2"/>
          </w:tcPr>
          <w:p w:rsidR="005A1E2E" w:rsidRDefault="005A1E2E" w:rsidP="00C2335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חייב להסביר כך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שאל"כ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מחלוקת ב"ה וב"ש בסיפא מיותרת . </w:t>
            </w:r>
          </w:p>
        </w:tc>
      </w:tr>
      <w:tr w:rsidR="00D13C29" w:rsidTr="00606098">
        <w:tc>
          <w:tcPr>
            <w:tcW w:w="1704" w:type="dxa"/>
          </w:tcPr>
          <w:p w:rsidR="00D13C29" w:rsidRDefault="00D13C29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ר' חלבו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חמא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בר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גוריא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אמר רב לא שנו אלא על גבה אבל לתוכה אסור</w:t>
            </w:r>
          </w:p>
        </w:tc>
        <w:tc>
          <w:tcPr>
            <w:tcW w:w="3408" w:type="dxa"/>
            <w:gridSpan w:val="2"/>
          </w:tcPr>
          <w:p w:rsidR="00D13C29" w:rsidRDefault="00D13C2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יתפרש טוב שמותר להשהות גם שאינו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 דווקא ע"ג כירה, אבל בתוך כירה תהיה בעיית </w:t>
            </w:r>
            <w:r w:rsidRPr="00D13C29">
              <w:rPr>
                <w:rFonts w:cs="David" w:hint="cs"/>
                <w:b/>
                <w:bCs/>
                <w:sz w:val="24"/>
                <w:szCs w:val="24"/>
                <w:rtl/>
              </w:rPr>
              <w:t>שנראה כהטמנה בגחלים.</w:t>
            </w:r>
          </w:p>
        </w:tc>
        <w:tc>
          <w:tcPr>
            <w:tcW w:w="4436" w:type="dxa"/>
            <w:gridSpan w:val="2"/>
          </w:tcPr>
          <w:p w:rsidR="00D13C29" w:rsidRDefault="00D13C29" w:rsidP="00D13C2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ניתן לומר שגורסים שגם להשהות אסור וברי רבי חלבו  לגבי החזרה  נאמרו שב"ה שהתירו להחזיר רק לגבה אבל לתוכה </w:t>
            </w:r>
            <w:r w:rsidRPr="00D13C29">
              <w:rPr>
                <w:rFonts w:cs="David" w:hint="cs"/>
                <w:b/>
                <w:bCs/>
                <w:sz w:val="24"/>
                <w:szCs w:val="24"/>
                <w:rtl/>
              </w:rPr>
              <w:t>נראה כמבשל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.</w:t>
            </w:r>
          </w:p>
        </w:tc>
      </w:tr>
      <w:tr w:rsidR="00F86DB9" w:rsidTr="00F01B61">
        <w:tc>
          <w:tcPr>
            <w:tcW w:w="1704" w:type="dxa"/>
          </w:tcPr>
          <w:p w:rsidR="00F86DB9" w:rsidRDefault="00F86DB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קושיה על מ"ד להחזיר תנן אבל להשהות מותר גם על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7844" w:type="dxa"/>
            <w:gridSpan w:val="4"/>
          </w:tcPr>
          <w:p w:rsidR="00F86DB9" w:rsidRDefault="00F86DB9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ב' כירות המתאימות אחת גרופה וקטומה ואחת שאינה גרופה ואינה קטומה </w:t>
            </w:r>
            <w:r w:rsidRPr="00A544B5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משהין על גבי גרופה וקטומה</w:t>
            </w: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ואין משהין על שאינה גרופה ואינה קטומה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F86DB9" w:rsidTr="006E6603">
        <w:tc>
          <w:tcPr>
            <w:tcW w:w="1704" w:type="dxa"/>
            <w:tcBorders>
              <w:bottom w:val="single" w:sz="4" w:space="0" w:color="auto"/>
            </w:tcBorders>
          </w:tcPr>
          <w:p w:rsidR="00F86DB9" w:rsidRDefault="00F86DB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תרוץ </w:t>
            </w:r>
          </w:p>
        </w:tc>
        <w:tc>
          <w:tcPr>
            <w:tcW w:w="7844" w:type="dxa"/>
            <w:gridSpan w:val="4"/>
            <w:tcBorders>
              <w:bottom w:val="single" w:sz="4" w:space="0" w:color="auto"/>
            </w:tcBorders>
          </w:tcPr>
          <w:p w:rsidR="00F86DB9" w:rsidRDefault="00F86DB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המשניות חלוקות בעניין זה.</w:t>
            </w:r>
          </w:p>
        </w:tc>
      </w:tr>
      <w:tr w:rsidR="00BB7970" w:rsidTr="006E6603">
        <w:trPr>
          <w:trHeight w:val="77"/>
        </w:trPr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>
            <w:pPr>
              <w:rPr>
                <w:rFonts w:cs="David"/>
                <w:sz w:val="24"/>
                <w:szCs w:val="24"/>
                <w:rtl/>
              </w:rPr>
            </w:pPr>
            <w:bookmarkStart w:id="0" w:name="_GoBack"/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BB7970" w:rsidRDefault="00BB797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BB7970" w:rsidRDefault="00BB797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bookmarkEnd w:id="0"/>
      <w:tr w:rsidR="00F86DB9" w:rsidTr="002548A1">
        <w:tc>
          <w:tcPr>
            <w:tcW w:w="9548" w:type="dxa"/>
            <w:gridSpan w:val="5"/>
          </w:tcPr>
          <w:p w:rsidR="00F86DB9" w:rsidRDefault="00F86DB9" w:rsidP="003D75B3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האם מותר להשהות </w:t>
            </w:r>
            <w:r w:rsidR="003D75B3">
              <w:rPr>
                <w:rFonts w:cs="David" w:hint="cs"/>
                <w:sz w:val="24"/>
                <w:szCs w:val="24"/>
                <w:rtl/>
              </w:rPr>
              <w:t xml:space="preserve">קדרה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סמוך לכירה שאינה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</w:p>
        </w:tc>
      </w:tr>
      <w:tr w:rsidR="003D75B3" w:rsidTr="002631D7">
        <w:tc>
          <w:tcPr>
            <w:tcW w:w="1704" w:type="dxa"/>
          </w:tcPr>
          <w:p w:rsidR="003D75B3" w:rsidRDefault="003D75B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שלב א ראיה שאפשר</w:t>
            </w:r>
          </w:p>
        </w:tc>
        <w:tc>
          <w:tcPr>
            <w:tcW w:w="7844" w:type="dxa"/>
            <w:gridSpan w:val="4"/>
          </w:tcPr>
          <w:p w:rsidR="003D75B3" w:rsidRDefault="003D75B3" w:rsidP="003D75B3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ב' כירות המתאימות אחת גרופה וקטומה ואחת שאינה גרופה ואינה קטומה </w:t>
            </w:r>
            <w:r w:rsidRPr="00A544B5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משהין על גבי גרופה וקטומה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(וכל שכן שסמכה לכירה)</w:t>
            </w: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3D75B3" w:rsidTr="00A6048C">
        <w:tc>
          <w:tcPr>
            <w:tcW w:w="1704" w:type="dxa"/>
          </w:tcPr>
          <w:p w:rsidR="003D75B3" w:rsidRDefault="003D75B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דחיה </w:t>
            </w:r>
          </w:p>
        </w:tc>
        <w:tc>
          <w:tcPr>
            <w:tcW w:w="7844" w:type="dxa"/>
            <w:gridSpan w:val="4"/>
          </w:tcPr>
          <w:p w:rsidR="003D75B3" w:rsidRDefault="003D75B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יש הפסק אויר בין הגחלים לקדרה מה שאין כן בסמוכה לכירה</w:t>
            </w:r>
          </w:p>
        </w:tc>
      </w:tr>
      <w:tr w:rsidR="003D75B3" w:rsidTr="00A07A59">
        <w:tc>
          <w:tcPr>
            <w:tcW w:w="1704" w:type="dxa"/>
          </w:tcPr>
          <w:p w:rsidR="003D75B3" w:rsidRDefault="003D75B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שלב ב  ראיה שאי אפשר </w:t>
            </w:r>
          </w:p>
        </w:tc>
        <w:tc>
          <w:tcPr>
            <w:tcW w:w="7844" w:type="dxa"/>
            <w:gridSpan w:val="4"/>
          </w:tcPr>
          <w:p w:rsidR="003D75B3" w:rsidRDefault="003D75B3" w:rsidP="003D75B3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ספרא אמר רב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חייא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3D75B3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קטמה</w:t>
            </w: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ונתלבתה </w:t>
            </w:r>
            <w:proofErr w:type="spellStart"/>
            <w:r w:rsidRPr="003D75B3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סומכין</w:t>
            </w:r>
            <w:proofErr w:type="spellEnd"/>
            <w:r w:rsidRPr="003D75B3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לה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 משמע שרק בקטמה אפשר.</w:t>
            </w:r>
          </w:p>
        </w:tc>
      </w:tr>
      <w:tr w:rsidR="003D75B3" w:rsidTr="001D02FE">
        <w:tc>
          <w:tcPr>
            <w:tcW w:w="1704" w:type="dxa"/>
          </w:tcPr>
          <w:p w:rsidR="003D75B3" w:rsidRDefault="003D75B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דחיה </w:t>
            </w:r>
          </w:p>
        </w:tc>
        <w:tc>
          <w:tcPr>
            <w:tcW w:w="7844" w:type="dxa"/>
            <w:gridSpan w:val="4"/>
          </w:tcPr>
          <w:p w:rsidR="003D75B3" w:rsidRDefault="003D75B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מלשון הברייתא אפשר להבין שניתן לסמוך גם בלא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3D75B3" w:rsidTr="006E6603">
        <w:tc>
          <w:tcPr>
            <w:tcW w:w="1704" w:type="dxa"/>
            <w:tcBorders>
              <w:bottom w:val="single" w:sz="4" w:space="0" w:color="auto"/>
            </w:tcBorders>
          </w:tcPr>
          <w:p w:rsidR="003D75B3" w:rsidRPr="003D75B3" w:rsidRDefault="003D75B3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שלב ג </w:t>
            </w:r>
          </w:p>
        </w:tc>
        <w:tc>
          <w:tcPr>
            <w:tcW w:w="7844" w:type="dxa"/>
            <w:gridSpan w:val="4"/>
            <w:tcBorders>
              <w:bottom w:val="single" w:sz="4" w:space="0" w:color="auto"/>
            </w:tcBorders>
          </w:tcPr>
          <w:p w:rsidR="003D75B3" w:rsidRDefault="003D75B3" w:rsidP="003D75B3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כירה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שהסיקוה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בגפת ובעצים </w:t>
            </w:r>
            <w:proofErr w:type="spellStart"/>
            <w:r w:rsidRPr="003D75B3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סומכין</w:t>
            </w:r>
            <w:proofErr w:type="spellEnd"/>
            <w:r w:rsidRPr="003D75B3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לה</w:t>
            </w: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BB7970" w:rsidTr="006E6603"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15C36" w:rsidTr="0020620C">
        <w:tc>
          <w:tcPr>
            <w:tcW w:w="9548" w:type="dxa"/>
            <w:gridSpan w:val="5"/>
          </w:tcPr>
          <w:p w:rsidR="00315C36" w:rsidRDefault="00D06E73" w:rsidP="00D06E73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קטמה והובערה</w:t>
            </w:r>
          </w:p>
        </w:tc>
      </w:tr>
      <w:tr w:rsidR="00315C36" w:rsidTr="00F74841">
        <w:tc>
          <w:tcPr>
            <w:tcW w:w="5112" w:type="dxa"/>
            <w:gridSpan w:val="3"/>
          </w:tcPr>
          <w:p w:rsidR="00315C36" w:rsidRDefault="00315C36" w:rsidP="008E63A0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ר' יצחק בר נחמני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אושעיא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קטמה והובערה משהין עליה חמין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כל צורכן ותבשיל שבישל כל צורכו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D06E73">
              <w:rPr>
                <w:rFonts w:cs="David" w:hint="cs"/>
                <w:b/>
                <w:bCs/>
                <w:sz w:val="24"/>
                <w:szCs w:val="24"/>
                <w:rtl/>
              </w:rPr>
              <w:t>ורבי יוחנן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הוסיף גם אם הגחלים של רותם</w:t>
            </w:r>
          </w:p>
        </w:tc>
        <w:tc>
          <w:tcPr>
            <w:tcW w:w="4436" w:type="dxa"/>
            <w:gridSpan w:val="2"/>
          </w:tcPr>
          <w:p w:rsidR="00315C36" w:rsidRDefault="00315C36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ודווקא שקטמה אבל להשהות על גבי אינה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אסור</w:t>
            </w:r>
          </w:p>
        </w:tc>
      </w:tr>
      <w:tr w:rsidR="00D06E73" w:rsidTr="00EE3E6E">
        <w:tc>
          <w:tcPr>
            <w:tcW w:w="1704" w:type="dxa"/>
          </w:tcPr>
          <w:p w:rsidR="00D06E73" w:rsidRDefault="00D06E73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ולרב ששת בדעת רבי יוחנן</w:t>
            </w:r>
          </w:p>
        </w:tc>
        <w:tc>
          <w:tcPr>
            <w:tcW w:w="7844" w:type="dxa"/>
            <w:gridSpan w:val="4"/>
          </w:tcPr>
          <w:p w:rsidR="00D06E73" w:rsidRDefault="00D06E73" w:rsidP="0044770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מותר להשהות על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6E6603">
              <w:rPr>
                <w:rFonts w:cs="David" w:hint="cs"/>
                <w:sz w:val="24"/>
                <w:szCs w:val="24"/>
                <w:rtl/>
              </w:rPr>
              <w:t xml:space="preserve"> שהגיעו </w:t>
            </w:r>
            <w:proofErr w:type="spellStart"/>
            <w:r w:rsidR="006E6603">
              <w:rPr>
                <w:rFonts w:cs="David" w:hint="cs"/>
                <w:sz w:val="24"/>
                <w:szCs w:val="24"/>
                <w:rtl/>
              </w:rPr>
              <w:t>למאב"ד</w:t>
            </w:r>
            <w:proofErr w:type="spellEnd"/>
            <w:r w:rsidR="006E6603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וראייתו "</w:t>
            </w: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אין </w:t>
            </w:r>
            <w:proofErr w:type="spellStart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נותנין</w:t>
            </w:r>
            <w:proofErr w:type="spellEnd"/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את הפת בתוך התנור עם חשיכה ולא חררה על גבי גחלים אלא כדי שיקרמו פניה הא קרמו פניה שרי להחזיר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" וסתם תנורים אינם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6E6603" w:rsidTr="0092554B">
        <w:tc>
          <w:tcPr>
            <w:tcW w:w="1704" w:type="dxa"/>
          </w:tcPr>
          <w:p w:rsidR="006E6603" w:rsidRDefault="006E6603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ולפי ההוא תלמיד  בדעת רבי יוחנן </w:t>
            </w:r>
          </w:p>
        </w:tc>
        <w:tc>
          <w:tcPr>
            <w:tcW w:w="7844" w:type="dxa"/>
            <w:gridSpan w:val="4"/>
          </w:tcPr>
          <w:p w:rsidR="006E6603" w:rsidRDefault="006E6603" w:rsidP="0044770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מותר להשהות על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גם. במצטמק ויפה לו.</w:t>
            </w:r>
          </w:p>
        </w:tc>
      </w:tr>
      <w:tr w:rsidR="006E6603" w:rsidTr="007365D8">
        <w:tc>
          <w:tcPr>
            <w:tcW w:w="1704" w:type="dxa"/>
          </w:tcPr>
          <w:p w:rsidR="006E6603" w:rsidRDefault="006E6603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6E6603" w:rsidRDefault="006E6603" w:rsidP="006E6603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יהודה אמר שמואל </w:t>
            </w:r>
          </w:p>
        </w:tc>
        <w:tc>
          <w:tcPr>
            <w:tcW w:w="6140" w:type="dxa"/>
            <w:gridSpan w:val="3"/>
          </w:tcPr>
          <w:p w:rsidR="006E6603" w:rsidRDefault="006E6603" w:rsidP="00447707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מצטמק ויפה לו אסור</w:t>
            </w:r>
          </w:p>
        </w:tc>
      </w:tr>
      <w:tr w:rsidR="006E6603" w:rsidTr="006E6603">
        <w:tc>
          <w:tcPr>
            <w:tcW w:w="1704" w:type="dxa"/>
            <w:tcBorders>
              <w:bottom w:val="single" w:sz="4" w:space="0" w:color="auto"/>
            </w:tcBorders>
          </w:tcPr>
          <w:p w:rsidR="006E6603" w:rsidRDefault="006E6603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E6603" w:rsidRDefault="006E6603" w:rsidP="008E63A0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 נחמן</w:t>
            </w:r>
          </w:p>
        </w:tc>
        <w:tc>
          <w:tcPr>
            <w:tcW w:w="6140" w:type="dxa"/>
            <w:gridSpan w:val="3"/>
            <w:tcBorders>
              <w:bottom w:val="single" w:sz="4" w:space="0" w:color="auto"/>
            </w:tcBorders>
          </w:tcPr>
          <w:p w:rsidR="006E6603" w:rsidRDefault="006E6603" w:rsidP="00447707">
            <w:pPr>
              <w:rPr>
                <w:rFonts w:cs="David"/>
                <w:sz w:val="24"/>
                <w:szCs w:val="24"/>
                <w:rtl/>
              </w:rPr>
            </w:pPr>
            <w:r w:rsidRPr="00885A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מצטמק ויפה לו אסור מצטמק ורע לו מותר</w:t>
            </w:r>
          </w:p>
        </w:tc>
      </w:tr>
      <w:tr w:rsidR="00BB7970" w:rsidTr="006E6603"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BB7970" w:rsidRDefault="00BB7970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6E6603" w:rsidTr="00243BB0">
        <w:tc>
          <w:tcPr>
            <w:tcW w:w="9548" w:type="dxa"/>
            <w:gridSpan w:val="5"/>
          </w:tcPr>
          <w:p w:rsidR="006E6603" w:rsidRDefault="006E6603" w:rsidP="006E660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הגדרת מצטמק ורע לו  </w:t>
            </w:r>
            <w:r>
              <w:rPr>
                <w:rFonts w:cs="David" w:hint="cs"/>
                <w:sz w:val="24"/>
                <w:szCs w:val="24"/>
                <w:rtl/>
              </w:rPr>
              <w:t>שיש לו קמח</w:t>
            </w:r>
          </w:p>
        </w:tc>
      </w:tr>
      <w:tr w:rsidR="006E6603" w:rsidTr="001E63A9">
        <w:tc>
          <w:tcPr>
            <w:tcW w:w="1704" w:type="dxa"/>
          </w:tcPr>
          <w:p w:rsidR="006E6603" w:rsidRDefault="006E6603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44" w:type="dxa"/>
            <w:gridSpan w:val="4"/>
          </w:tcPr>
          <w:p w:rsidR="006E6603" w:rsidRDefault="006E6603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יוצא דופן </w:t>
            </w:r>
          </w:p>
          <w:p w:rsidR="006E6603" w:rsidRDefault="006E6603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לפת מצטמק ויפה לו למרות קמח (כשיש בשר )</w:t>
            </w:r>
          </w:p>
        </w:tc>
      </w:tr>
    </w:tbl>
    <w:p w:rsidR="00ED01C2" w:rsidRPr="006E6603" w:rsidRDefault="00ED01C2" w:rsidP="006E6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</w:rPr>
      </w:pPr>
    </w:p>
    <w:sectPr w:rsidR="00ED01C2" w:rsidRPr="006E6603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2D5F58"/>
    <w:rsid w:val="00315C36"/>
    <w:rsid w:val="003D75B3"/>
    <w:rsid w:val="004A7C18"/>
    <w:rsid w:val="005A1E2E"/>
    <w:rsid w:val="006E6603"/>
    <w:rsid w:val="00885AA7"/>
    <w:rsid w:val="00A544B5"/>
    <w:rsid w:val="00AB300C"/>
    <w:rsid w:val="00BB7970"/>
    <w:rsid w:val="00C615BF"/>
    <w:rsid w:val="00D06E73"/>
    <w:rsid w:val="00D13C29"/>
    <w:rsid w:val="00ED01C2"/>
    <w:rsid w:val="00F15280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2012-11-09T09:53:00Z</dcterms:created>
  <dcterms:modified xsi:type="dcterms:W3CDTF">2012-11-09T09:53:00Z</dcterms:modified>
</cp:coreProperties>
</file>