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57" w:rsidRDefault="00ED6A57" w:rsidP="00ED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</w:pPr>
    </w:p>
    <w:p w:rsidR="004824E9" w:rsidRPr="00530898" w:rsidRDefault="004824E9" w:rsidP="004824E9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Pr="004824E9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דף </w:t>
      </w:r>
      <w:r w:rsidRPr="004824E9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מח</w:t>
      </w:r>
    </w:p>
    <w:p w:rsidR="00ED6A57" w:rsidRPr="004824E9" w:rsidRDefault="004824E9" w:rsidP="00ED6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להצלחת </w:t>
      </w:r>
      <w:r w:rsidR="00CE44D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חיילי צה"ל כהודאה </w:t>
      </w:r>
      <w:proofErr w:type="spellStart"/>
      <w:r w:rsidR="00CE44D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להשי"ת</w:t>
      </w:r>
      <w:proofErr w:type="spellEnd"/>
      <w:r w:rsidR="00CE44DC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על נסיו שבכל יום ויום באזור הדרום במבצע עמוד ענן.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3298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824E9" w:rsidRPr="004824E9" w:rsidTr="004824E9"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אסור להטמין בגפת של זיתים ושל </w:t>
            </w:r>
            <w:proofErr w:type="spellStart"/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שומשומין</w:t>
            </w:r>
            <w:proofErr w:type="spellEnd"/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וגפת של זיתים מוסיפה הבל.</w:t>
            </w:r>
          </w:p>
        </w:tc>
      </w:tr>
      <w:tr w:rsidR="004824E9" w:rsidRPr="004824E9" w:rsidTr="004824E9"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824E9" w:rsidRPr="004824E9" w:rsidTr="004824E9">
        <w:tc>
          <w:tcPr>
            <w:tcW w:w="8522" w:type="dxa"/>
            <w:gridSpan w:val="5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רבה גער בעבדו של ראש הגלות </w:t>
            </w:r>
          </w:p>
        </w:tc>
      </w:tr>
      <w:tr w:rsidR="004824E9" w:rsidRPr="004824E9" w:rsidTr="004824E9">
        <w:tc>
          <w:tcPr>
            <w:tcW w:w="8522" w:type="dxa"/>
            <w:gridSpan w:val="5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על שהניח כוס מים על פי קומקום, מכיוון שמוליד חום.</w:t>
            </w:r>
          </w:p>
        </w:tc>
      </w:tr>
      <w:tr w:rsidR="004824E9" w:rsidRPr="004824E9" w:rsidTr="004824E9"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על שפרס סודר על פי הקנקן והניח על </w:t>
            </w:r>
            <w:proofErr w:type="spellStart"/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נטלא</w:t>
            </w:r>
            <w:proofErr w:type="spellEnd"/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עם מים, מכיוון שעתיד </w:t>
            </w:r>
            <w:proofErr w:type="spellStart"/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להשפך</w:t>
            </w:r>
            <w:proofErr w:type="spellEnd"/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מיים</w:t>
            </w:r>
            <w:proofErr w:type="spellEnd"/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מהנטלא</w:t>
            </w:r>
            <w:proofErr w:type="spellEnd"/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ויבא לסחוט את הסודר שמקפיד עליו.</w:t>
            </w:r>
          </w:p>
        </w:tc>
      </w:tr>
      <w:tr w:rsidR="004824E9" w:rsidRPr="004824E9" w:rsidTr="004824E9"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824E9" w:rsidRPr="004824E9" w:rsidTr="004824E9">
        <w:tc>
          <w:tcPr>
            <w:tcW w:w="8522" w:type="dxa"/>
            <w:gridSpan w:val="5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האם מותר לטלטל מוכין  שהטמין בהם (שעומדים למלאכה לעשות מהם לבד ואמורים להיות מוקצה) ? אם נאמר שייחד אותם לכך ואינם מוקצה .</w:t>
            </w:r>
          </w:p>
        </w:tc>
      </w:tr>
      <w:tr w:rsidR="004824E9" w:rsidRPr="004824E9" w:rsidTr="004824E9">
        <w:trPr>
          <w:trHeight w:hRule="exact" w:val="325"/>
        </w:trPr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אביי</w:t>
            </w:r>
            <w:proofErr w:type="spellEnd"/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אין נקרא ייחוד ,והראיה שניסה להביא נדחתה.</w:t>
            </w:r>
          </w:p>
        </w:tc>
      </w:tr>
      <w:tr w:rsidR="004824E9" w:rsidRPr="004824E9" w:rsidTr="004824E9"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824E9" w:rsidRPr="004824E9" w:rsidTr="004824E9">
        <w:tc>
          <w:tcPr>
            <w:tcW w:w="8522" w:type="dxa"/>
            <w:gridSpan w:val="5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החזרת מוכין לכרית בשבת </w:t>
            </w:r>
          </w:p>
        </w:tc>
      </w:tr>
      <w:tr w:rsidR="004824E9" w:rsidRPr="004824E9" w:rsidTr="004824E9"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רב </w:t>
            </w:r>
            <w:proofErr w:type="spellStart"/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חסדא</w:t>
            </w:r>
            <w:proofErr w:type="spellEnd"/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התיר  והגמרא סייגה שדווקא בישן מותר אבל בחדש עושה כלי . ואסור משום גמר מלאכה ויש </w:t>
            </w:r>
            <w:proofErr w:type="spellStart"/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רייתא</w:t>
            </w:r>
            <w:proofErr w:type="spellEnd"/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מפורשת כך.</w:t>
            </w:r>
          </w:p>
        </w:tc>
      </w:tr>
      <w:tr w:rsidR="004824E9" w:rsidRPr="004824E9" w:rsidTr="004824E9"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824E9" w:rsidRPr="004824E9" w:rsidTr="004824E9">
        <w:tc>
          <w:tcPr>
            <w:tcW w:w="5112" w:type="dxa"/>
            <w:gridSpan w:val="3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פתיחת בית צוואר בשבת </w:t>
            </w:r>
          </w:p>
        </w:tc>
        <w:tc>
          <w:tcPr>
            <w:tcW w:w="3410" w:type="dxa"/>
            <w:gridSpan w:val="2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פתיחת מגופת חבית</w:t>
            </w:r>
          </w:p>
        </w:tc>
      </w:tr>
      <w:tr w:rsidR="004824E9" w:rsidRPr="004824E9" w:rsidTr="004824E9">
        <w:tc>
          <w:tcPr>
            <w:tcW w:w="5112" w:type="dxa"/>
            <w:gridSpan w:val="3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 xml:space="preserve">רב יהודה אמר רב הפותח בית </w:t>
            </w:r>
            <w:proofErr w:type="spellStart"/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>הצואר</w:t>
            </w:r>
            <w:proofErr w:type="spellEnd"/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 xml:space="preserve"> בשבת חייב חטאת</w:t>
            </w:r>
          </w:p>
        </w:tc>
        <w:tc>
          <w:tcPr>
            <w:tcW w:w="3410" w:type="dxa"/>
            <w:gridSpan w:val="2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מותר</w:t>
            </w:r>
          </w:p>
        </w:tc>
      </w:tr>
      <w:tr w:rsidR="004824E9" w:rsidRPr="004824E9" w:rsidTr="004824E9">
        <w:tc>
          <w:tcPr>
            <w:tcW w:w="1704" w:type="dxa"/>
            <w:tcBorders>
              <w:bottom w:val="single" w:sz="4" w:space="0" w:color="auto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הסיבה להבדל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נחשבת מחוברת</w:t>
            </w: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לא נחשבת חיבור</w:t>
            </w:r>
          </w:p>
        </w:tc>
      </w:tr>
      <w:tr w:rsidR="004824E9" w:rsidRPr="004824E9" w:rsidTr="004824E9"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824E9" w:rsidRPr="004824E9" w:rsidTr="004824E9">
        <w:tc>
          <w:tcPr>
            <w:tcW w:w="5112" w:type="dxa"/>
            <w:gridSpan w:val="3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 xml:space="preserve">שלל של </w:t>
            </w:r>
            <w:proofErr w:type="spellStart"/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>כובסין</w:t>
            </w:r>
            <w:proofErr w:type="spellEnd"/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 xml:space="preserve"> ושלשלת של מפתחו' והבגד שהוא תפור בכלאים חיבור לטומאה</w:t>
            </w: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גם שלא בשעת מלאכה</w:t>
            </w:r>
          </w:p>
        </w:tc>
        <w:tc>
          <w:tcPr>
            <w:tcW w:w="3410" w:type="dxa"/>
            <w:gridSpan w:val="2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 xml:space="preserve">מקל שעשה יד </w:t>
            </w:r>
            <w:proofErr w:type="spellStart"/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>לקורדום</w:t>
            </w:r>
            <w:proofErr w:type="spellEnd"/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 xml:space="preserve"> חיבור לטומאה </w:t>
            </w: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רק בשעת מלאכה</w:t>
            </w:r>
          </w:p>
        </w:tc>
      </w:tr>
      <w:tr w:rsidR="004824E9" w:rsidRPr="004824E9" w:rsidTr="004824E9">
        <w:trPr>
          <w:trHeight w:hRule="exact" w:val="680"/>
        </w:trPr>
        <w:tc>
          <w:tcPr>
            <w:tcW w:w="5112" w:type="dxa"/>
            <w:gridSpan w:val="3"/>
            <w:tcBorders>
              <w:bottom w:val="single" w:sz="4" w:space="0" w:color="auto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החיבור נוח לו גם שלא בשעת מלאכה </w:t>
            </w: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לא צריך את החיבור שלא בשעת מלאכה</w:t>
            </w:r>
          </w:p>
        </w:tc>
      </w:tr>
      <w:tr w:rsidR="004824E9" w:rsidRPr="004824E9" w:rsidTr="004824E9"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824E9" w:rsidRPr="004824E9" w:rsidTr="004824E9">
        <w:tc>
          <w:tcPr>
            <w:tcW w:w="8522" w:type="dxa"/>
            <w:gridSpan w:val="5"/>
          </w:tcPr>
          <w:p w:rsidR="004824E9" w:rsidRPr="004824E9" w:rsidRDefault="004824E9" w:rsidP="004824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>כל המחובר לו הרי הוא כמוהו</w:t>
            </w:r>
          </w:p>
        </w:tc>
      </w:tr>
      <w:tr w:rsidR="004824E9" w:rsidRPr="004824E9" w:rsidTr="004824E9">
        <w:tc>
          <w:tcPr>
            <w:tcW w:w="1704" w:type="dxa"/>
            <w:tcBorders>
              <w:bottom w:val="single" w:sz="4" w:space="0" w:color="auto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>ר"מ</w:t>
            </w:r>
          </w:p>
        </w:tc>
        <w:tc>
          <w:tcPr>
            <w:tcW w:w="6818" w:type="dxa"/>
            <w:gridSpan w:val="4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 xml:space="preserve">בית הפך ובית התבלין ובית הנר שבכירה </w:t>
            </w:r>
          </w:p>
        </w:tc>
      </w:tr>
      <w:tr w:rsidR="004824E9" w:rsidRPr="004824E9" w:rsidTr="004824E9">
        <w:tc>
          <w:tcPr>
            <w:tcW w:w="1704" w:type="dxa"/>
            <w:tcBorders>
              <w:left w:val="nil"/>
              <w:bottom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>מטמאין</w:t>
            </w:r>
            <w:proofErr w:type="spellEnd"/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 xml:space="preserve"> במגע </w:t>
            </w:r>
          </w:p>
        </w:tc>
        <w:tc>
          <w:tcPr>
            <w:tcW w:w="5114" w:type="dxa"/>
            <w:gridSpan w:val="3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אינם ככירה עצמה וחכמים גזרו שיהיו ככירה ויטמאו</w:t>
            </w:r>
          </w:p>
        </w:tc>
      </w:tr>
      <w:tr w:rsidR="004824E9" w:rsidRPr="004824E9" w:rsidTr="004824E9">
        <w:tc>
          <w:tcPr>
            <w:tcW w:w="1704" w:type="dxa"/>
            <w:tcBorders>
              <w:top w:val="nil"/>
              <w:left w:val="nil"/>
              <w:bottom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 xml:space="preserve">ואין </w:t>
            </w:r>
            <w:proofErr w:type="spellStart"/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>מטמאין</w:t>
            </w:r>
            <w:proofErr w:type="spellEnd"/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>באויר</w:t>
            </w:r>
            <w:proofErr w:type="spellEnd"/>
          </w:p>
        </w:tc>
        <w:tc>
          <w:tcPr>
            <w:tcW w:w="5114" w:type="dxa"/>
            <w:gridSpan w:val="3"/>
            <w:tcBorders>
              <w:bottom w:val="single" w:sz="4" w:space="0" w:color="auto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חכמים לגזרו בטומאת אויר כדי לעשות היכר שלא שורפים תרומה  וקודשים על טומאה כזו.</w:t>
            </w:r>
          </w:p>
        </w:tc>
      </w:tr>
      <w:tr w:rsidR="004824E9" w:rsidRPr="004824E9" w:rsidTr="004824E9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824E9" w:rsidRPr="004824E9" w:rsidTr="004824E9">
        <w:tc>
          <w:tcPr>
            <w:tcW w:w="8522" w:type="dxa"/>
            <w:gridSpan w:val="5"/>
          </w:tcPr>
          <w:p w:rsidR="004824E9" w:rsidRPr="004824E9" w:rsidRDefault="004824E9" w:rsidP="004824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>מספורת</w:t>
            </w:r>
            <w:proofErr w:type="spellEnd"/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 xml:space="preserve"> של פרקים </w:t>
            </w:r>
            <w:proofErr w:type="spellStart"/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>ואיזמל</w:t>
            </w:r>
            <w:proofErr w:type="spellEnd"/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 xml:space="preserve"> של </w:t>
            </w:r>
            <w:proofErr w:type="spellStart"/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>רהיטני</w:t>
            </w:r>
            <w:proofErr w:type="spellEnd"/>
          </w:p>
        </w:tc>
      </w:tr>
      <w:tr w:rsidR="004824E9" w:rsidRPr="004824E9" w:rsidTr="004824E9">
        <w:tc>
          <w:tcPr>
            <w:tcW w:w="1704" w:type="dxa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מהתורה </w:t>
            </w:r>
          </w:p>
        </w:tc>
        <w:tc>
          <w:tcPr>
            <w:tcW w:w="6818" w:type="dxa"/>
            <w:gridSpan w:val="4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highlight w:val="yellow"/>
                <w:rtl/>
              </w:rPr>
              <w:t>בשעת מלאכה</w:t>
            </w:r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 xml:space="preserve"> חיבור בין לטומאה בין להזאה</w:t>
            </w:r>
          </w:p>
        </w:tc>
      </w:tr>
      <w:tr w:rsidR="004824E9" w:rsidRPr="004824E9" w:rsidTr="004824E9">
        <w:tc>
          <w:tcPr>
            <w:tcW w:w="1704" w:type="dxa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818" w:type="dxa"/>
            <w:gridSpan w:val="4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highlight w:val="yellow"/>
                <w:rtl/>
              </w:rPr>
              <w:t>ושלא בשעת מלאכה</w:t>
            </w:r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 xml:space="preserve"> אינו חיבור לא לטומאה ולא להזאה</w:t>
            </w:r>
          </w:p>
        </w:tc>
      </w:tr>
      <w:tr w:rsidR="004824E9" w:rsidRPr="004824E9" w:rsidTr="004824E9">
        <w:tc>
          <w:tcPr>
            <w:tcW w:w="1704" w:type="dxa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מדרבנן </w:t>
            </w:r>
          </w:p>
        </w:tc>
        <w:tc>
          <w:tcPr>
            <w:tcW w:w="3408" w:type="dxa"/>
            <w:gridSpan w:val="2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>חיבור לטומאה</w:t>
            </w: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שלא בשעת מלאכה</w:t>
            </w:r>
          </w:p>
        </w:tc>
        <w:tc>
          <w:tcPr>
            <w:tcW w:w="3410" w:type="dxa"/>
            <w:gridSpan w:val="2"/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color w:val="000000"/>
                <w:sz w:val="28"/>
                <w:szCs w:val="28"/>
                <w:rtl/>
              </w:rPr>
              <w:t>ואין חיבור להזאה</w:t>
            </w: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בשעת מלאכה </w:t>
            </w:r>
          </w:p>
        </w:tc>
      </w:tr>
      <w:tr w:rsidR="004824E9" w:rsidRPr="004824E9" w:rsidTr="004824E9">
        <w:tc>
          <w:tcPr>
            <w:tcW w:w="1704" w:type="dxa"/>
            <w:tcBorders>
              <w:bottom w:val="single" w:sz="4" w:space="0" w:color="auto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משום טומאה שבשעת מלאכה</w:t>
            </w: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4824E9" w:rsidRPr="004824E9" w:rsidRDefault="004824E9" w:rsidP="004824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</w:pPr>
            <w:r w:rsidRPr="004824E9">
              <w:rPr>
                <w:rFonts w:ascii="Times New Roman" w:eastAsia="Times New Roman" w:hAnsi="Times New Roman" w:cs="David" w:hint="cs"/>
                <w:b/>
                <w:bCs/>
                <w:color w:val="000000"/>
                <w:sz w:val="28"/>
                <w:szCs w:val="28"/>
                <w:rtl/>
              </w:rPr>
              <w:t>משום הזאה שלא בשעת מלאכה</w:t>
            </w:r>
          </w:p>
        </w:tc>
      </w:tr>
    </w:tbl>
    <w:p w:rsidR="00266003" w:rsidRPr="004824E9" w:rsidRDefault="00266003" w:rsidP="00482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/>
          <w:color w:val="000000"/>
          <w:sz w:val="24"/>
          <w:szCs w:val="24"/>
        </w:rPr>
      </w:pPr>
    </w:p>
    <w:sectPr w:rsidR="00266003" w:rsidRPr="004824E9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57"/>
    <w:rsid w:val="00266003"/>
    <w:rsid w:val="004824E9"/>
    <w:rsid w:val="00C615BF"/>
    <w:rsid w:val="00CE44DC"/>
    <w:rsid w:val="00E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2012-11-20T03:14:00Z</dcterms:created>
  <dcterms:modified xsi:type="dcterms:W3CDTF">2012-11-20T03:45:00Z</dcterms:modified>
</cp:coreProperties>
</file>