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771" w:rsidRDefault="00FF6771" w:rsidP="00FF6771">
      <w:pPr>
        <w:pStyle w:val="3"/>
        <w:jc w:val="left"/>
        <w:rPr>
          <w:rFonts w:cs="Narkisim" w:hint="cs"/>
          <w:sz w:val="36"/>
          <w:szCs w:val="32"/>
          <w:rtl/>
        </w:rPr>
      </w:pPr>
      <w:bookmarkStart w:id="0" w:name="_GoBack"/>
      <w:bookmarkEnd w:id="0"/>
      <w:r>
        <w:rPr>
          <w:rFonts w:cs="Narkisim" w:hint="cs"/>
          <w:sz w:val="36"/>
          <w:szCs w:val="32"/>
          <w:rtl/>
        </w:rPr>
        <w:t>מתוך הספר: מגילה במוקפות חומה, ירושלים תשע"ג, עמ' 290-279</w:t>
      </w:r>
    </w:p>
    <w:p w:rsidR="00FF6771" w:rsidRPr="00FF6771" w:rsidRDefault="00FF6771" w:rsidP="00FF6771">
      <w:pPr>
        <w:pStyle w:val="3"/>
        <w:jc w:val="right"/>
        <w:rPr>
          <w:rFonts w:cs="Narkisim" w:hint="cs"/>
          <w:b/>
          <w:bCs/>
          <w:sz w:val="36"/>
          <w:szCs w:val="32"/>
          <w:rtl/>
        </w:rPr>
      </w:pPr>
      <w:r w:rsidRPr="00FF6771">
        <w:rPr>
          <w:rFonts w:cs="Narkisim" w:hint="cs"/>
          <w:b/>
          <w:bCs/>
          <w:sz w:val="36"/>
          <w:szCs w:val="32"/>
          <w:rtl/>
        </w:rPr>
        <w:t>הרב יהודה זולדן</w:t>
      </w:r>
    </w:p>
    <w:p w:rsidR="00FF6771" w:rsidRPr="00FF6771" w:rsidRDefault="00FF6771" w:rsidP="00FF6771">
      <w:pPr>
        <w:pStyle w:val="3"/>
        <w:jc w:val="center"/>
        <w:rPr>
          <w:rFonts w:cs="Narkisim" w:hint="cs"/>
          <w:sz w:val="40"/>
          <w:szCs w:val="40"/>
          <w:rtl/>
        </w:rPr>
      </w:pPr>
      <w:r w:rsidRPr="00FF6771">
        <w:rPr>
          <w:rFonts w:cs="Narkisim" w:hint="cs"/>
          <w:sz w:val="40"/>
          <w:szCs w:val="40"/>
          <w:rtl/>
        </w:rPr>
        <w:t>יפו</w:t>
      </w:r>
      <w:r w:rsidRPr="00FF6771">
        <w:rPr>
          <w:rFonts w:cs="Narkisim" w:hint="cs"/>
          <w:sz w:val="40"/>
          <w:szCs w:val="40"/>
          <w:rtl/>
        </w:rPr>
        <w:t xml:space="preserve"> </w:t>
      </w:r>
      <w:r w:rsidRPr="00FF6771">
        <w:rPr>
          <w:rFonts w:cs="Narkisim"/>
          <w:sz w:val="40"/>
          <w:szCs w:val="40"/>
          <w:rtl/>
        </w:rPr>
        <w:t>–</w:t>
      </w:r>
      <w:r>
        <w:rPr>
          <w:rFonts w:cs="Narkisim" w:hint="cs"/>
          <w:sz w:val="40"/>
          <w:szCs w:val="40"/>
          <w:rtl/>
        </w:rPr>
        <w:t xml:space="preserve"> </w:t>
      </w:r>
      <w:r w:rsidRPr="00FF6771">
        <w:rPr>
          <w:rFonts w:cs="Narkisim" w:hint="cs"/>
          <w:sz w:val="40"/>
          <w:szCs w:val="40"/>
          <w:rtl/>
        </w:rPr>
        <w:t>עיר מוקפת חומה?</w:t>
      </w:r>
    </w:p>
    <w:p w:rsidR="00FF6771" w:rsidRPr="00FF6771" w:rsidRDefault="00FF6771" w:rsidP="00FF6771">
      <w:pPr>
        <w:jc w:val="center"/>
        <w:rPr>
          <w:sz w:val="32"/>
          <w:szCs w:val="32"/>
          <w:rtl/>
        </w:rPr>
      </w:pPr>
      <w:r w:rsidRPr="00FF6771">
        <w:rPr>
          <w:rFonts w:hint="cs"/>
          <w:sz w:val="32"/>
          <w:szCs w:val="32"/>
          <w:rtl/>
        </w:rPr>
        <w:t xml:space="preserve">(קידושין </w:t>
      </w:r>
      <w:proofErr w:type="spellStart"/>
      <w:r w:rsidRPr="00FF6771">
        <w:rPr>
          <w:rFonts w:hint="cs"/>
          <w:sz w:val="32"/>
          <w:szCs w:val="32"/>
          <w:rtl/>
        </w:rPr>
        <w:t>נז</w:t>
      </w:r>
      <w:proofErr w:type="spellEnd"/>
      <w:r w:rsidRPr="00FF6771">
        <w:rPr>
          <w:rFonts w:hint="cs"/>
          <w:sz w:val="32"/>
          <w:szCs w:val="32"/>
          <w:rtl/>
        </w:rPr>
        <w:t xml:space="preserve"> ע"ב)</w:t>
      </w:r>
    </w:p>
    <w:p w:rsidR="00FF6771" w:rsidRDefault="00FF6771" w:rsidP="00FF6771">
      <w:pPr>
        <w:pStyle w:val="a3"/>
        <w:rPr>
          <w:rtl/>
        </w:rPr>
      </w:pPr>
      <w:r>
        <w:rPr>
          <w:rFonts w:hint="cs"/>
          <w:rtl/>
        </w:rPr>
        <w:t xml:space="preserve">יפו נזכרת בספר יהושע בנחלת שבט דן: "ומי הירקון והרקון מול יפו" (יהושע </w:t>
      </w:r>
      <w:proofErr w:type="spellStart"/>
      <w:r>
        <w:rPr>
          <w:rFonts w:hint="cs"/>
          <w:rtl/>
        </w:rPr>
        <w:t>יט</w:t>
      </w:r>
      <w:proofErr w:type="spellEnd"/>
      <w:r>
        <w:rPr>
          <w:rFonts w:hint="cs"/>
          <w:rtl/>
        </w:rPr>
        <w:t>, מו), והיא נזכרת במקרא כמה פעמים בספרי בית ראשון ובספרי בית שני.</w:t>
      </w:r>
      <w:r>
        <w:rPr>
          <w:rStyle w:val="a4"/>
          <w:rtl/>
        </w:rPr>
        <w:footnoteReference w:id="1"/>
      </w:r>
    </w:p>
    <w:p w:rsidR="00FF6771" w:rsidRDefault="00FF6771" w:rsidP="00FF6771">
      <w:pPr>
        <w:rPr>
          <w:rtl/>
        </w:rPr>
      </w:pPr>
      <w:r>
        <w:rPr>
          <w:rFonts w:hint="cs"/>
          <w:rtl/>
        </w:rPr>
        <w:t xml:space="preserve">ממדרש הלכה ניתן ללמוד שיפו היא עיר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 xml:space="preserve">. נושא המדרש הוא בהלכות טהרת מצורע. מצורע משולח ממקום מגוריו: "טמא הוא בדד ישב מחוץ למחנה מושבו" (ויקרא </w:t>
      </w:r>
      <w:proofErr w:type="spellStart"/>
      <w:r>
        <w:rPr>
          <w:rFonts w:hint="cs"/>
          <w:rtl/>
        </w:rPr>
        <w:t>יג</w:t>
      </w:r>
      <w:proofErr w:type="spellEnd"/>
      <w:r>
        <w:rPr>
          <w:rFonts w:hint="cs"/>
          <w:rtl/>
        </w:rPr>
        <w:t xml:space="preserve">, מו). במשנה נאמר שהמצורע משולח רק מעיר מוקפת חומה: "עיירות המוקפות חומה מקודשות ממנה </w:t>
      </w:r>
      <w:proofErr w:type="spellStart"/>
      <w:r>
        <w:rPr>
          <w:rFonts w:hint="cs"/>
          <w:rtl/>
        </w:rPr>
        <w:t>שמשלחין</w:t>
      </w:r>
      <w:proofErr w:type="spellEnd"/>
      <w:r>
        <w:rPr>
          <w:rFonts w:hint="cs"/>
          <w:rtl/>
        </w:rPr>
        <w:t xml:space="preserve"> מתוכן את המצורעים" (משנה כלים א, ז), אם כי בתורה לא נאמר דבר על כך ש"מחנה מושבו" של המצורע המשולח הוא עיר מוקפת חומה.</w:t>
      </w:r>
      <w:r>
        <w:rPr>
          <w:rStyle w:val="a4"/>
          <w:rtl/>
        </w:rPr>
        <w:footnoteReference w:id="2"/>
      </w:r>
      <w:r>
        <w:rPr>
          <w:rFonts w:hint="cs"/>
          <w:rtl/>
        </w:rPr>
        <w:t xml:space="preserve"> כשהמצורע נטהר עליו להביא שתי ציפורים. האחת נשחטת, ועל הציפור החיה נאמר: "ושלח את הציפור החיה על פני השדה" (ויקרא יד, ז). מי משלח את הציפור, מהיכן יש לשלח אותה, ולאיזה כיוון? על כך נדרש במדרש ההלכה:</w:t>
      </w:r>
    </w:p>
    <w:p w:rsidR="00FF6771" w:rsidRDefault="00FF6771" w:rsidP="00FF6771">
      <w:pPr>
        <w:pStyle w:val="2"/>
        <w:rPr>
          <w:rtl/>
        </w:rPr>
      </w:pPr>
      <w:r>
        <w:rPr>
          <w:rFonts w:hint="cs"/>
          <w:rtl/>
        </w:rPr>
        <w:t xml:space="preserve">"ושלח את הציפור החיה" – שלא יעמוד ביפו </w:t>
      </w:r>
      <w:proofErr w:type="spellStart"/>
      <w:r>
        <w:rPr>
          <w:rFonts w:hint="cs"/>
          <w:rtl/>
        </w:rPr>
        <w:t>וישלחנה</w:t>
      </w:r>
      <w:proofErr w:type="spellEnd"/>
      <w:r>
        <w:rPr>
          <w:rFonts w:hint="cs"/>
          <w:rtl/>
        </w:rPr>
        <w:t xml:space="preserve"> לים. שלא יעמוד בגבת </w:t>
      </w:r>
      <w:proofErr w:type="spellStart"/>
      <w:r>
        <w:rPr>
          <w:rFonts w:hint="cs"/>
          <w:rtl/>
        </w:rPr>
        <w:t>וישלחנה</w:t>
      </w:r>
      <w:proofErr w:type="spellEnd"/>
      <w:r>
        <w:rPr>
          <w:rFonts w:hint="cs"/>
          <w:rtl/>
        </w:rPr>
        <w:t xml:space="preserve"> למדבר. שלא יעמוד חוץ לעיר </w:t>
      </w:r>
      <w:proofErr w:type="spellStart"/>
      <w:r>
        <w:rPr>
          <w:rFonts w:hint="cs"/>
          <w:rtl/>
        </w:rPr>
        <w:t>וישלחנה</w:t>
      </w:r>
      <w:proofErr w:type="spellEnd"/>
      <w:r>
        <w:rPr>
          <w:rFonts w:hint="cs"/>
          <w:rtl/>
        </w:rPr>
        <w:t xml:space="preserve"> כלפי העיר.</w:t>
      </w:r>
      <w:r>
        <w:rPr>
          <w:rStyle w:val="a4"/>
          <w:rtl/>
        </w:rPr>
        <w:footnoteReference w:id="3"/>
      </w:r>
    </w:p>
    <w:p w:rsidR="00FF6771" w:rsidRDefault="00FF6771" w:rsidP="00FF6771">
      <w:pPr>
        <w:rPr>
          <w:rtl/>
        </w:rPr>
      </w:pPr>
      <w:r>
        <w:rPr>
          <w:rFonts w:hint="cs"/>
          <w:rtl/>
        </w:rPr>
        <w:t xml:space="preserve">על יפו הנזכרת במדרש זה כתב רש"י (קידושין </w:t>
      </w:r>
      <w:proofErr w:type="spellStart"/>
      <w:r>
        <w:rPr>
          <w:rFonts w:hint="cs"/>
          <w:rtl/>
        </w:rPr>
        <w:t>נז</w:t>
      </w:r>
      <w:proofErr w:type="spellEnd"/>
      <w:r>
        <w:rPr>
          <w:rFonts w:hint="cs"/>
          <w:rtl/>
        </w:rPr>
        <w:t xml:space="preserve"> ע"ב): "יפו – חומתה על הים". מהדגמת הלכה זו על העיר יפו, ניתן ללמוד שההנחה היא שיפו היא עיר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w:t>
      </w:r>
      <w:r>
        <w:rPr>
          <w:rStyle w:val="a4"/>
          <w:rtl/>
        </w:rPr>
        <w:footnoteReference w:id="4"/>
      </w:r>
    </w:p>
    <w:p w:rsidR="00FF6771" w:rsidRDefault="00FF6771" w:rsidP="00FF6771">
      <w:pPr>
        <w:rPr>
          <w:rtl/>
        </w:rPr>
      </w:pPr>
      <w:r>
        <w:rPr>
          <w:rFonts w:hint="cs"/>
          <w:rtl/>
        </w:rPr>
        <w:t xml:space="preserve">הרב מאיר שמחה הכהן </w:t>
      </w:r>
      <w:proofErr w:type="spellStart"/>
      <w:r>
        <w:rPr>
          <w:rFonts w:hint="cs"/>
          <w:rtl/>
        </w:rPr>
        <w:t>מדוינסק</w:t>
      </w:r>
      <w:proofErr w:type="spellEnd"/>
      <w:r>
        <w:rPr>
          <w:rFonts w:hint="cs"/>
          <w:rtl/>
        </w:rPr>
        <w:t xml:space="preserve"> ציין למדרש הלכה נוסף שניתן ללמוד ממנו שהמצורע עצמו נכנס לעיר </w:t>
      </w:r>
      <w:proofErr w:type="spellStart"/>
      <w:r>
        <w:rPr>
          <w:rFonts w:hint="cs"/>
          <w:rtl/>
        </w:rPr>
        <w:t>מוק"ח</w:t>
      </w:r>
      <w:proofErr w:type="spellEnd"/>
      <w:r>
        <w:rPr>
          <w:rFonts w:hint="cs"/>
          <w:rtl/>
        </w:rPr>
        <w:t xml:space="preserve"> לאחר טהרתו ומשם משלח את הציפור: </w:t>
      </w:r>
    </w:p>
    <w:p w:rsidR="00FF6771" w:rsidRDefault="00FF6771" w:rsidP="00FF6771">
      <w:pPr>
        <w:pStyle w:val="2"/>
        <w:rPr>
          <w:rtl/>
        </w:rPr>
      </w:pPr>
      <w:r>
        <w:rPr>
          <w:rFonts w:hint="cs"/>
          <w:rtl/>
        </w:rPr>
        <w:t xml:space="preserve">"והשליכו </w:t>
      </w:r>
      <w:proofErr w:type="spellStart"/>
      <w:r>
        <w:rPr>
          <w:rFonts w:hint="cs"/>
          <w:rtl/>
        </w:rPr>
        <w:t>אתהן</w:t>
      </w:r>
      <w:proofErr w:type="spellEnd"/>
      <w:r>
        <w:rPr>
          <w:rFonts w:hint="cs"/>
          <w:rtl/>
        </w:rPr>
        <w:t xml:space="preserve"> אל מחוץ לעיר" – "</w:t>
      </w:r>
      <w:proofErr w:type="spellStart"/>
      <w:r>
        <w:rPr>
          <w:rFonts w:hint="cs"/>
          <w:rtl/>
        </w:rPr>
        <w:t>אתהן</w:t>
      </w:r>
      <w:proofErr w:type="spellEnd"/>
      <w:r>
        <w:rPr>
          <w:rFonts w:hint="cs"/>
          <w:rtl/>
        </w:rPr>
        <w:t>" חוץ לכל העיר, אין אדם חוץ לכל העיר אלא חוץ לעיירות המוקפות חומה בלבד.</w:t>
      </w:r>
      <w:r>
        <w:rPr>
          <w:rStyle w:val="a4"/>
          <w:rtl/>
        </w:rPr>
        <w:footnoteReference w:id="5"/>
      </w:r>
    </w:p>
    <w:p w:rsidR="00FF6771" w:rsidRDefault="00FF6771" w:rsidP="00FF6771">
      <w:pPr>
        <w:rPr>
          <w:rtl/>
        </w:rPr>
      </w:pPr>
      <w:r>
        <w:rPr>
          <w:rFonts w:hint="cs"/>
          <w:rtl/>
        </w:rPr>
        <w:t xml:space="preserve">הפסוק עוסק בהשלכת האבנים של בית מנוגע מחוץ לעיר, ולדברי הרב מאיר שמחה הכהן </w:t>
      </w:r>
      <w:proofErr w:type="spellStart"/>
      <w:r>
        <w:rPr>
          <w:rFonts w:hint="cs"/>
          <w:rtl/>
        </w:rPr>
        <w:t>מדוינסק</w:t>
      </w:r>
      <w:proofErr w:type="spellEnd"/>
      <w:r>
        <w:rPr>
          <w:rFonts w:hint="cs"/>
          <w:rtl/>
        </w:rPr>
        <w:t>, כוונת המדרש היא שכשם שהאבן המנוגעת מושלכת מהמקום שנטמאה בו, כך על המצורע שנרפא ונטהר לשלח את הציפור מהעיר שחזר אליה לאחר שהוצא ממנה בשל צרעתו.</w:t>
      </w:r>
      <w:r>
        <w:rPr>
          <w:rStyle w:val="a4"/>
          <w:rtl/>
        </w:rPr>
        <w:footnoteReference w:id="6"/>
      </w:r>
      <w:r>
        <w:rPr>
          <w:rFonts w:hint="cs"/>
          <w:rtl/>
        </w:rPr>
        <w:t xml:space="preserve"> על פי דבריו, "שלא יעמוד ביפו" הכוונה היא שהמצורע שנטהר, לא יעמוד ביפו </w:t>
      </w:r>
      <w:proofErr w:type="spellStart"/>
      <w:r>
        <w:rPr>
          <w:rFonts w:hint="cs"/>
          <w:rtl/>
        </w:rPr>
        <w:t>המוק"ח</w:t>
      </w:r>
      <w:proofErr w:type="spellEnd"/>
      <w:r>
        <w:rPr>
          <w:rFonts w:hint="cs"/>
          <w:rtl/>
        </w:rPr>
        <w:t xml:space="preserve"> מימות </w:t>
      </w:r>
      <w:proofErr w:type="spellStart"/>
      <w:r>
        <w:rPr>
          <w:rFonts w:hint="cs"/>
          <w:rtl/>
        </w:rPr>
        <w:t>יב"ן</w:t>
      </w:r>
      <w:proofErr w:type="spellEnd"/>
      <w:r>
        <w:rPr>
          <w:rFonts w:hint="cs"/>
          <w:rtl/>
        </w:rPr>
        <w:t xml:space="preserve">, וישלח את הציפור לכיוון הים. </w:t>
      </w:r>
    </w:p>
    <w:p w:rsidR="00FF6771" w:rsidRDefault="00FF6771" w:rsidP="00FF6771">
      <w:pPr>
        <w:spacing w:after="57"/>
        <w:rPr>
          <w:rtl/>
        </w:rPr>
      </w:pPr>
      <w:r>
        <w:rPr>
          <w:rFonts w:hint="cs"/>
          <w:rtl/>
        </w:rPr>
        <w:lastRenderedPageBreak/>
        <w:t xml:space="preserve">בשנת תרנ"ה הוציא הרב נפתלי הרץ הלוי, רבה של יפו, את סידור </w:t>
      </w:r>
      <w:proofErr w:type="spellStart"/>
      <w:r>
        <w:rPr>
          <w:rFonts w:hint="cs"/>
          <w:rtl/>
        </w:rPr>
        <w:t>הגר"א</w:t>
      </w:r>
      <w:proofErr w:type="spellEnd"/>
      <w:r>
        <w:rPr>
          <w:rFonts w:hint="cs"/>
          <w:rtl/>
        </w:rPr>
        <w:t xml:space="preserve"> עם פירוש שער נפתלי ואמרי שפר. בסוף הסידור הוא כתב: "בכדי שלא להוציא הנייר חלק אמרתי להדפיס גרגיר אחד מחתני". חתנו הוא הרב יוסף צבי הלוי שהיה אז חתן צעיר בן עשרים ואחת. הוא שימש אח"כ רבה של יפו, משנת תרע"ד. הרב יוסף צבי הלוי פתח את דבריו: "הנה בעירנו יפו </w:t>
      </w:r>
      <w:proofErr w:type="spellStart"/>
      <w:r>
        <w:rPr>
          <w:rFonts w:hint="cs"/>
          <w:rtl/>
        </w:rPr>
        <w:t>עה"ק</w:t>
      </w:r>
      <w:proofErr w:type="spellEnd"/>
      <w:r>
        <w:rPr>
          <w:rFonts w:hint="cs"/>
          <w:rtl/>
        </w:rPr>
        <w:t xml:space="preserve"> ת"ו, נהגו לקרוא מגילה י"ד וט"ו ולא מצאתי מי שידבר </w:t>
      </w:r>
      <w:proofErr w:type="spellStart"/>
      <w:r>
        <w:rPr>
          <w:rFonts w:hint="cs"/>
          <w:rtl/>
        </w:rPr>
        <w:t>מענין</w:t>
      </w:r>
      <w:proofErr w:type="spellEnd"/>
      <w:r>
        <w:rPr>
          <w:rFonts w:hint="cs"/>
          <w:rtl/>
        </w:rPr>
        <w:t xml:space="preserve"> </w:t>
      </w:r>
      <w:proofErr w:type="spellStart"/>
      <w:r>
        <w:rPr>
          <w:rFonts w:hint="cs"/>
          <w:rtl/>
        </w:rPr>
        <w:t>ספיקא</w:t>
      </w:r>
      <w:proofErr w:type="spellEnd"/>
      <w:r>
        <w:rPr>
          <w:rFonts w:hint="cs"/>
          <w:rtl/>
        </w:rPr>
        <w:t xml:space="preserve"> </w:t>
      </w:r>
      <w:proofErr w:type="spellStart"/>
      <w:r>
        <w:rPr>
          <w:rFonts w:hint="cs"/>
          <w:rtl/>
        </w:rPr>
        <w:t>דיפו</w:t>
      </w:r>
      <w:proofErr w:type="spellEnd"/>
      <w:r>
        <w:rPr>
          <w:rFonts w:hint="cs"/>
          <w:rtl/>
        </w:rPr>
        <w:t>".</w:t>
      </w:r>
      <w:r>
        <w:rPr>
          <w:rStyle w:val="a4"/>
          <w:rtl/>
        </w:rPr>
        <w:footnoteReference w:id="7"/>
      </w:r>
      <w:r>
        <w:rPr>
          <w:rFonts w:hint="cs"/>
          <w:rtl/>
        </w:rPr>
        <w:t xml:space="preserve"> הוא כתב ששוחח בעניין זה עם חותנו הרב נפתלי הרץ הלוי. לדבריו, יש להגדיר את יפו כעיר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 xml:space="preserve">. היא נזכרת בספר יהושע, וע"פ ר' שמעון בן לקיש הערים שנזכרו בספר יהושע הן </w:t>
      </w:r>
      <w:proofErr w:type="spellStart"/>
      <w:r>
        <w:rPr>
          <w:rFonts w:hint="cs"/>
          <w:rtl/>
        </w:rPr>
        <w:t>מוק"ח</w:t>
      </w:r>
      <w:proofErr w:type="spellEnd"/>
      <w:r>
        <w:rPr>
          <w:rFonts w:hint="cs"/>
          <w:rtl/>
        </w:rPr>
        <w:t xml:space="preserve"> (ירושלמי מגילה א, א), וגם </w:t>
      </w:r>
      <w:proofErr w:type="spellStart"/>
      <w:r>
        <w:rPr>
          <w:rFonts w:hint="cs"/>
          <w:rtl/>
        </w:rPr>
        <w:t>מהגמ</w:t>
      </w:r>
      <w:proofErr w:type="spellEnd"/>
      <w:r>
        <w:rPr>
          <w:rFonts w:hint="cs"/>
          <w:rtl/>
        </w:rPr>
        <w:t xml:space="preserve">' (קידושין </w:t>
      </w:r>
      <w:proofErr w:type="spellStart"/>
      <w:r>
        <w:rPr>
          <w:rFonts w:hint="cs"/>
          <w:rtl/>
        </w:rPr>
        <w:t>נז</w:t>
      </w:r>
      <w:proofErr w:type="spellEnd"/>
      <w:r>
        <w:rPr>
          <w:rFonts w:hint="cs"/>
          <w:rtl/>
        </w:rPr>
        <w:t xml:space="preserve"> ע"ב) מוכח שיפו היא עיר </w:t>
      </w:r>
      <w:proofErr w:type="spellStart"/>
      <w:r>
        <w:rPr>
          <w:rFonts w:hint="cs"/>
          <w:rtl/>
        </w:rPr>
        <w:t>מוק"ח</w:t>
      </w:r>
      <w:proofErr w:type="spellEnd"/>
      <w:r>
        <w:rPr>
          <w:rFonts w:hint="cs"/>
          <w:rtl/>
        </w:rPr>
        <w:t xml:space="preserve">. בסיום דבריו כתב: </w:t>
      </w:r>
    </w:p>
    <w:p w:rsidR="00FF6771" w:rsidRDefault="00FF6771" w:rsidP="00FF6771">
      <w:pPr>
        <w:pStyle w:val="2"/>
        <w:rPr>
          <w:rtl/>
        </w:rPr>
      </w:pPr>
      <w:r>
        <w:rPr>
          <w:rFonts w:hint="cs"/>
          <w:rtl/>
        </w:rPr>
        <w:t xml:space="preserve">נראה </w:t>
      </w:r>
      <w:proofErr w:type="spellStart"/>
      <w:r>
        <w:rPr>
          <w:rFonts w:hint="cs"/>
          <w:rtl/>
        </w:rPr>
        <w:t>דיפו</w:t>
      </w:r>
      <w:proofErr w:type="spellEnd"/>
      <w:r>
        <w:rPr>
          <w:rFonts w:hint="cs"/>
          <w:rtl/>
        </w:rPr>
        <w:t xml:space="preserve"> </w:t>
      </w:r>
      <w:proofErr w:type="spellStart"/>
      <w:r>
        <w:rPr>
          <w:rFonts w:hint="cs"/>
          <w:rtl/>
        </w:rPr>
        <w:t>מוק"ח</w:t>
      </w:r>
      <w:proofErr w:type="spellEnd"/>
      <w:r>
        <w:rPr>
          <w:rFonts w:hint="cs"/>
          <w:rtl/>
        </w:rPr>
        <w:t xml:space="preserve"> </w:t>
      </w:r>
      <w:proofErr w:type="spellStart"/>
      <w:r>
        <w:rPr>
          <w:rFonts w:hint="cs"/>
          <w:rtl/>
        </w:rPr>
        <w:t>היתה</w:t>
      </w:r>
      <w:proofErr w:type="spellEnd"/>
      <w:r>
        <w:rPr>
          <w:rFonts w:hint="cs"/>
          <w:rtl/>
        </w:rPr>
        <w:t xml:space="preserve">. אם כן אף שאינני כדאי להכריע לקרות המגילה דווקא בט"ו, אבל מ"מ אין זה ספק השקול לילך בתר </w:t>
      </w:r>
      <w:proofErr w:type="spellStart"/>
      <w:r>
        <w:rPr>
          <w:rFonts w:hint="cs"/>
          <w:rtl/>
        </w:rPr>
        <w:t>רובא</w:t>
      </w:r>
      <w:proofErr w:type="spellEnd"/>
      <w:r>
        <w:rPr>
          <w:rFonts w:hint="cs"/>
          <w:rtl/>
        </w:rPr>
        <w:t xml:space="preserve"> </w:t>
      </w:r>
      <w:proofErr w:type="spellStart"/>
      <w:r>
        <w:rPr>
          <w:rFonts w:hint="cs"/>
          <w:rtl/>
        </w:rPr>
        <w:t>דעלמא</w:t>
      </w:r>
      <w:proofErr w:type="spellEnd"/>
      <w:r>
        <w:rPr>
          <w:rFonts w:hint="cs"/>
          <w:rtl/>
        </w:rPr>
        <w:t xml:space="preserve">, אלא קרוב יותר לומר </w:t>
      </w:r>
      <w:proofErr w:type="spellStart"/>
      <w:r>
        <w:rPr>
          <w:rFonts w:hint="cs"/>
          <w:rtl/>
        </w:rPr>
        <w:t>דיפו</w:t>
      </w:r>
      <w:proofErr w:type="spellEnd"/>
      <w:r>
        <w:rPr>
          <w:rFonts w:hint="cs"/>
          <w:rtl/>
        </w:rPr>
        <w:t xml:space="preserve"> מוקפת חומה </w:t>
      </w:r>
      <w:proofErr w:type="spellStart"/>
      <w:r>
        <w:rPr>
          <w:rFonts w:hint="cs"/>
          <w:rtl/>
        </w:rPr>
        <w:t>היתה</w:t>
      </w:r>
      <w:proofErr w:type="spellEnd"/>
      <w:r>
        <w:rPr>
          <w:rFonts w:hint="cs"/>
          <w:rtl/>
        </w:rPr>
        <w:t xml:space="preserve">, על כן שפיר קורין בי"ד ובט"ו. </w:t>
      </w:r>
    </w:p>
    <w:p w:rsidR="00FF6771" w:rsidRDefault="00FF6771" w:rsidP="00FF6771">
      <w:pPr>
        <w:rPr>
          <w:rtl/>
        </w:rPr>
      </w:pPr>
      <w:r>
        <w:rPr>
          <w:rFonts w:hint="cs"/>
          <w:rtl/>
        </w:rPr>
        <w:t xml:space="preserve">הוא לא דן בשאלה אם אמנם המקום המוכר והידוע כיפו הוא אכן יפו המקראית. הוא כנראה התבסס על כך ששם המקום נשתמר לאורך הדורות, והדיון התמקד בשאלה מה נאמר בפסוקי המקרא ובספרות האמוראים על יפו. מסקנתו של הרב יוסף צבי הלוי </w:t>
      </w:r>
      <w:proofErr w:type="spellStart"/>
      <w:r>
        <w:rPr>
          <w:rFonts w:hint="cs"/>
          <w:rtl/>
        </w:rPr>
        <w:t>היתה</w:t>
      </w:r>
      <w:proofErr w:type="spellEnd"/>
      <w:r>
        <w:rPr>
          <w:rFonts w:hint="cs"/>
          <w:rtl/>
        </w:rPr>
        <w:t xml:space="preserve"> שע"פ המקורות מהמקרא ומספרות האמוראים, יפו מוגדרת </w:t>
      </w:r>
      <w:proofErr w:type="spellStart"/>
      <w:r>
        <w:rPr>
          <w:rFonts w:hint="cs"/>
          <w:rtl/>
        </w:rPr>
        <w:t>כמוק"ח</w:t>
      </w:r>
      <w:proofErr w:type="spellEnd"/>
      <w:r>
        <w:rPr>
          <w:rFonts w:hint="cs"/>
          <w:rtl/>
        </w:rPr>
        <w:t xml:space="preserve"> מימות </w:t>
      </w:r>
      <w:proofErr w:type="spellStart"/>
      <w:r>
        <w:rPr>
          <w:rFonts w:hint="cs"/>
          <w:rtl/>
        </w:rPr>
        <w:t>יב"ן</w:t>
      </w:r>
      <w:proofErr w:type="spellEnd"/>
      <w:r>
        <w:rPr>
          <w:rFonts w:hint="cs"/>
          <w:rtl/>
        </w:rPr>
        <w:t xml:space="preserve"> ויש לקרוא בה רק בט"ו באדר, אך לא היה לו את העוז לקבוע שיש לקרוא מגילה רק בט"ו באדר. מאידך, היה ברור לו שאין להעניק ליפו מעמד של עיר פרוזה וכרוב ערי העולם, ולכן מסקנתו </w:t>
      </w:r>
      <w:proofErr w:type="spellStart"/>
      <w:r>
        <w:rPr>
          <w:rFonts w:hint="cs"/>
          <w:rtl/>
        </w:rPr>
        <w:t>היתה</w:t>
      </w:r>
      <w:proofErr w:type="spellEnd"/>
      <w:r>
        <w:rPr>
          <w:rFonts w:hint="cs"/>
          <w:rtl/>
        </w:rPr>
        <w:t xml:space="preserve"> שיש לקיים את המנהג שנהגו ביפו לקרוא מגילה בי"ד ובט"ו באדר. </w:t>
      </w:r>
    </w:p>
    <w:p w:rsidR="00FF6771" w:rsidRDefault="00FF6771" w:rsidP="00FF6771">
      <w:pPr>
        <w:rPr>
          <w:rtl/>
        </w:rPr>
      </w:pPr>
      <w:r>
        <w:rPr>
          <w:rFonts w:hint="cs"/>
          <w:rtl/>
        </w:rPr>
        <w:t xml:space="preserve">מנהג יהודי יפו לקרוא מגילה גם בט"ו באדר התקבע והושרש. חוקר ארץ ישראל, אברהם משה </w:t>
      </w:r>
      <w:proofErr w:type="spellStart"/>
      <w:r>
        <w:rPr>
          <w:rFonts w:hint="cs"/>
          <w:rtl/>
        </w:rPr>
        <w:t>לונץ</w:t>
      </w:r>
      <w:proofErr w:type="spellEnd"/>
      <w:r>
        <w:rPr>
          <w:rFonts w:hint="cs"/>
          <w:rtl/>
        </w:rPr>
        <w:t xml:space="preserve">, פרסם בהתמדה את "לוח לארץ ישראל" </w:t>
      </w:r>
      <w:r>
        <w:rPr>
          <w:rStyle w:val="a6"/>
          <w:rFonts w:hint="cs"/>
          <w:rtl/>
        </w:rPr>
        <w:t>(תרנ"ו-תרע"ה)</w:t>
      </w:r>
      <w:r>
        <w:rPr>
          <w:rFonts w:hint="cs"/>
          <w:rtl/>
        </w:rPr>
        <w:t xml:space="preserve">. בלוח הוא תיאר את המתרחש והמתפתח בהתיישבות היהודית בארץ. </w:t>
      </w:r>
      <w:proofErr w:type="spellStart"/>
      <w:r>
        <w:rPr>
          <w:rFonts w:hint="cs"/>
          <w:rtl/>
        </w:rPr>
        <w:t>לונץ</w:t>
      </w:r>
      <w:proofErr w:type="spellEnd"/>
      <w:r>
        <w:rPr>
          <w:rFonts w:hint="cs"/>
          <w:rtl/>
        </w:rPr>
        <w:t xml:space="preserve"> כתב בקביעות שביפו קוראים מגילה בי"ד ובט"ו באדר. לקראת שנת תרס"ה פרסם </w:t>
      </w:r>
      <w:proofErr w:type="spellStart"/>
      <w:r>
        <w:rPr>
          <w:rFonts w:hint="cs"/>
          <w:rtl/>
        </w:rPr>
        <w:t>הרימ"ט</w:t>
      </w:r>
      <w:proofErr w:type="spellEnd"/>
      <w:r>
        <w:rPr>
          <w:rFonts w:hint="cs"/>
          <w:rtl/>
        </w:rPr>
        <w:t xml:space="preserve"> לראשונה את 'לוח לארץ ישראל', ושם כתב שיפו היא עיר שיש ספק אם היא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 ויש לקרוא בה בי"ד ובט"ו באדר.</w:t>
      </w:r>
      <w:r>
        <w:rPr>
          <w:rStyle w:val="a4"/>
          <w:rtl/>
        </w:rPr>
        <w:footnoteReference w:id="8"/>
      </w:r>
      <w:r>
        <w:rPr>
          <w:rFonts w:hint="cs"/>
          <w:rtl/>
        </w:rPr>
        <w:t xml:space="preserve"> </w:t>
      </w:r>
      <w:proofErr w:type="spellStart"/>
      <w:r>
        <w:rPr>
          <w:rFonts w:hint="cs"/>
          <w:rtl/>
        </w:rPr>
        <w:t>הראי"ה</w:t>
      </w:r>
      <w:proofErr w:type="spellEnd"/>
      <w:r>
        <w:rPr>
          <w:rFonts w:hint="cs"/>
          <w:rtl/>
        </w:rPr>
        <w:t xml:space="preserve"> קוק עלה לארץ בכ"ח אייר תרס"ד והתיישב ביפו. הוא כיהן כרבה של יפו בשנים תרס"ד-תרע"ד, ואת פורים הראשון ביפו הוא ציין בשנת תרס"ה. לא מצאנו מקור ברור כיצד נהג </w:t>
      </w:r>
      <w:proofErr w:type="spellStart"/>
      <w:r>
        <w:rPr>
          <w:rFonts w:hint="cs"/>
          <w:rtl/>
        </w:rPr>
        <w:t>הראי"ה</w:t>
      </w:r>
      <w:proofErr w:type="spellEnd"/>
      <w:r>
        <w:rPr>
          <w:rFonts w:hint="cs"/>
          <w:rtl/>
        </w:rPr>
        <w:t xml:space="preserve"> קוק ביפו. השערתנו היא שהוא נהג כפי שהיה מקובל ביפו, וקרא מגילה בי"ד ובט"ו באדר. להלן שני נימוקים להשערה זו:</w:t>
      </w:r>
    </w:p>
    <w:p w:rsidR="00FF6771" w:rsidRDefault="00FF6771" w:rsidP="00FF6771">
      <w:pPr>
        <w:rPr>
          <w:rtl/>
        </w:rPr>
      </w:pPr>
      <w:r>
        <w:rPr>
          <w:rFonts w:hint="cs"/>
          <w:rtl/>
        </w:rPr>
        <w:t xml:space="preserve">א. היוזמה לכתיבת "לוח לארץ ישראל" </w:t>
      </w:r>
      <w:proofErr w:type="spellStart"/>
      <w:r>
        <w:rPr>
          <w:rFonts w:hint="cs"/>
          <w:rtl/>
        </w:rPr>
        <w:t>היתה</w:t>
      </w:r>
      <w:proofErr w:type="spellEnd"/>
      <w:r>
        <w:rPr>
          <w:rFonts w:hint="cs"/>
          <w:rtl/>
        </w:rPr>
        <w:t xml:space="preserve"> של הרב אליהו דוד רבינוביץ' תאומים, </w:t>
      </w:r>
      <w:proofErr w:type="spellStart"/>
      <w:r>
        <w:rPr>
          <w:rFonts w:hint="cs"/>
          <w:rtl/>
        </w:rPr>
        <w:t>האדר"ת</w:t>
      </w:r>
      <w:proofErr w:type="spellEnd"/>
      <w:r>
        <w:rPr>
          <w:rFonts w:hint="cs"/>
          <w:rtl/>
        </w:rPr>
        <w:t xml:space="preserve">, ששימש רבה של ירושלים. </w:t>
      </w:r>
      <w:proofErr w:type="spellStart"/>
      <w:r>
        <w:rPr>
          <w:rFonts w:hint="cs"/>
          <w:rtl/>
        </w:rPr>
        <w:t>האדר"ת</w:t>
      </w:r>
      <w:proofErr w:type="spellEnd"/>
      <w:r>
        <w:rPr>
          <w:rFonts w:hint="cs"/>
          <w:rtl/>
        </w:rPr>
        <w:t xml:space="preserve"> הוא שפנה </w:t>
      </w:r>
      <w:proofErr w:type="spellStart"/>
      <w:r>
        <w:rPr>
          <w:rFonts w:hint="cs"/>
          <w:rtl/>
        </w:rPr>
        <w:t>לרימ"ט</w:t>
      </w:r>
      <w:proofErr w:type="spellEnd"/>
      <w:r>
        <w:rPr>
          <w:rFonts w:hint="cs"/>
          <w:rtl/>
        </w:rPr>
        <w:t xml:space="preserve"> שיכין ויערוך לוח כזה.</w:t>
      </w:r>
      <w:r>
        <w:rPr>
          <w:rStyle w:val="a4"/>
          <w:rtl/>
        </w:rPr>
        <w:footnoteReference w:id="9"/>
      </w:r>
      <w:r>
        <w:rPr>
          <w:rFonts w:hint="cs"/>
          <w:rtl/>
        </w:rPr>
        <w:t xml:space="preserve"> לדברי </w:t>
      </w:r>
      <w:proofErr w:type="spellStart"/>
      <w:r>
        <w:rPr>
          <w:rFonts w:hint="cs"/>
          <w:rtl/>
        </w:rPr>
        <w:t>הרימ"ט</w:t>
      </w:r>
      <w:proofErr w:type="spellEnd"/>
      <w:r>
        <w:rPr>
          <w:rFonts w:hint="cs"/>
          <w:rtl/>
        </w:rPr>
        <w:t>:</w:t>
      </w:r>
    </w:p>
    <w:p w:rsidR="00FF6771" w:rsidRDefault="00FF6771" w:rsidP="00FF6771">
      <w:pPr>
        <w:pStyle w:val="2"/>
        <w:rPr>
          <w:rtl/>
        </w:rPr>
      </w:pPr>
      <w:r>
        <w:rPr>
          <w:rFonts w:hint="cs"/>
          <w:rtl/>
        </w:rPr>
        <w:t xml:space="preserve">וכאשר ערכתי לראשונה הלוח הזה בשנת תרס"ד [=לקראת פרסומו בשנת תרס"ה] ע"פ הצעת הגאון </w:t>
      </w:r>
      <w:proofErr w:type="spellStart"/>
      <w:r>
        <w:rPr>
          <w:rFonts w:hint="cs"/>
          <w:rtl/>
        </w:rPr>
        <w:t>האדר"ת</w:t>
      </w:r>
      <w:proofErr w:type="spellEnd"/>
      <w:r>
        <w:rPr>
          <w:rFonts w:hint="cs"/>
          <w:rtl/>
        </w:rPr>
        <w:t xml:space="preserve"> זצ"ל, והוא עבר עליו בכל תשומת הלב על כל פרט ופרט </w:t>
      </w:r>
      <w:r>
        <w:rPr>
          <w:rStyle w:val="a6"/>
          <w:rFonts w:hint="cs"/>
          <w:rtl/>
        </w:rPr>
        <w:t>(והוסיף שם איזה הערות)</w:t>
      </w:r>
      <w:r>
        <w:rPr>
          <w:rFonts w:hint="cs"/>
          <w:rtl/>
        </w:rPr>
        <w:t>.</w:t>
      </w:r>
      <w:r>
        <w:rPr>
          <w:rStyle w:val="a4"/>
          <w:rtl/>
        </w:rPr>
        <w:footnoteReference w:id="10"/>
      </w:r>
    </w:p>
    <w:p w:rsidR="00FF6771" w:rsidRDefault="00FF6771" w:rsidP="00FF6771">
      <w:pPr>
        <w:spacing w:after="57"/>
        <w:rPr>
          <w:rtl/>
        </w:rPr>
      </w:pPr>
      <w:proofErr w:type="spellStart"/>
      <w:r>
        <w:rPr>
          <w:rFonts w:hint="cs"/>
          <w:rtl/>
        </w:rPr>
        <w:t>הראי"ה</w:t>
      </w:r>
      <w:proofErr w:type="spellEnd"/>
      <w:r>
        <w:rPr>
          <w:rFonts w:hint="cs"/>
          <w:rtl/>
        </w:rPr>
        <w:t xml:space="preserve"> קוק היה חתנו של </w:t>
      </w:r>
      <w:proofErr w:type="spellStart"/>
      <w:r>
        <w:rPr>
          <w:rFonts w:hint="cs"/>
          <w:rtl/>
        </w:rPr>
        <w:t>האדר"ת</w:t>
      </w:r>
      <w:proofErr w:type="spellEnd"/>
      <w:r>
        <w:rPr>
          <w:rFonts w:hint="cs"/>
          <w:rtl/>
        </w:rPr>
        <w:t xml:space="preserve">. סביר להניח </w:t>
      </w:r>
      <w:proofErr w:type="spellStart"/>
      <w:r>
        <w:rPr>
          <w:rFonts w:hint="cs"/>
          <w:rtl/>
        </w:rPr>
        <w:t>שהראי"ה</w:t>
      </w:r>
      <w:proofErr w:type="spellEnd"/>
      <w:r>
        <w:rPr>
          <w:rFonts w:hint="cs"/>
          <w:rtl/>
        </w:rPr>
        <w:t xml:space="preserve"> קוק לא שינה ממה שהיה מקובל ביפו, ולא היה עושה בניגוד לעמדת </w:t>
      </w:r>
      <w:proofErr w:type="spellStart"/>
      <w:r>
        <w:rPr>
          <w:rFonts w:hint="cs"/>
          <w:rtl/>
        </w:rPr>
        <w:t>האדר"ת</w:t>
      </w:r>
      <w:proofErr w:type="spellEnd"/>
      <w:r>
        <w:rPr>
          <w:rFonts w:hint="cs"/>
          <w:rtl/>
        </w:rPr>
        <w:t xml:space="preserve"> בהנחה </w:t>
      </w:r>
      <w:proofErr w:type="spellStart"/>
      <w:r>
        <w:rPr>
          <w:rFonts w:hint="cs"/>
          <w:rtl/>
        </w:rPr>
        <w:t>שהאדר"ת</w:t>
      </w:r>
      <w:proofErr w:type="spellEnd"/>
      <w:r>
        <w:rPr>
          <w:rFonts w:hint="cs"/>
          <w:rtl/>
        </w:rPr>
        <w:t xml:space="preserve"> אכן הסכים לכל מה </w:t>
      </w:r>
      <w:proofErr w:type="spellStart"/>
      <w:r>
        <w:rPr>
          <w:rFonts w:hint="cs"/>
          <w:rtl/>
        </w:rPr>
        <w:t>שהרימ"ט</w:t>
      </w:r>
      <w:proofErr w:type="spellEnd"/>
      <w:r>
        <w:rPr>
          <w:rFonts w:hint="cs"/>
          <w:rtl/>
        </w:rPr>
        <w:t xml:space="preserve"> כתב. </w:t>
      </w:r>
      <w:proofErr w:type="spellStart"/>
      <w:r>
        <w:rPr>
          <w:rFonts w:hint="cs"/>
          <w:rtl/>
        </w:rPr>
        <w:t>האדר"ת</w:t>
      </w:r>
      <w:proofErr w:type="spellEnd"/>
      <w:r>
        <w:rPr>
          <w:rFonts w:hint="cs"/>
          <w:rtl/>
        </w:rPr>
        <w:t xml:space="preserve"> נפטר בג' באדר תרס"ה, ימים אחדים לפני פורים תרס"ה, הפורים הראשון של </w:t>
      </w:r>
      <w:proofErr w:type="spellStart"/>
      <w:r>
        <w:rPr>
          <w:rFonts w:hint="cs"/>
          <w:rtl/>
        </w:rPr>
        <w:t>הראי"ה</w:t>
      </w:r>
      <w:proofErr w:type="spellEnd"/>
      <w:r>
        <w:rPr>
          <w:rFonts w:hint="cs"/>
          <w:rtl/>
        </w:rPr>
        <w:t xml:space="preserve"> קוק בארץ, וזו יכולה לשמש סיבה נוספת </w:t>
      </w:r>
      <w:proofErr w:type="spellStart"/>
      <w:r>
        <w:rPr>
          <w:rFonts w:hint="cs"/>
          <w:rtl/>
        </w:rPr>
        <w:t>לראי"ה</w:t>
      </w:r>
      <w:proofErr w:type="spellEnd"/>
      <w:r>
        <w:rPr>
          <w:rFonts w:hint="cs"/>
          <w:rtl/>
        </w:rPr>
        <w:t xml:space="preserve"> קוק שלא לשנות מהמוסכם על חותנו </w:t>
      </w:r>
      <w:r>
        <w:rPr>
          <w:rFonts w:hint="cs"/>
          <w:rtl/>
        </w:rPr>
        <w:lastRenderedPageBreak/>
        <w:t xml:space="preserve">שאותו העריך מאוד. </w:t>
      </w:r>
    </w:p>
    <w:p w:rsidR="00FF6771" w:rsidRDefault="00FF6771" w:rsidP="00FF6771">
      <w:pPr>
        <w:spacing w:after="57"/>
        <w:rPr>
          <w:rtl/>
        </w:rPr>
      </w:pPr>
      <w:r>
        <w:rPr>
          <w:rFonts w:hint="cs"/>
          <w:rtl/>
        </w:rPr>
        <w:t xml:space="preserve">ב. </w:t>
      </w:r>
      <w:proofErr w:type="spellStart"/>
      <w:r>
        <w:rPr>
          <w:rFonts w:hint="cs"/>
          <w:rtl/>
        </w:rPr>
        <w:t>לראי"ה</w:t>
      </w:r>
      <w:proofErr w:type="spellEnd"/>
      <w:r>
        <w:rPr>
          <w:rFonts w:hint="cs"/>
          <w:rtl/>
        </w:rPr>
        <w:t xml:space="preserve"> קוק גם היה ברור שיפו נמצאת באזור שבו עמדה יפו הנזכרת במקרא,</w:t>
      </w:r>
      <w:r>
        <w:rPr>
          <w:rStyle w:val="a4"/>
          <w:rtl/>
        </w:rPr>
        <w:footnoteReference w:id="11"/>
      </w:r>
      <w:r>
        <w:rPr>
          <w:rFonts w:hint="cs"/>
          <w:rtl/>
        </w:rPr>
        <w:t xml:space="preserve"> ובנו הרב צבי יהודה קוק העיד שאביו אמר לו שברור לו שיפו </w:t>
      </w:r>
      <w:proofErr w:type="spellStart"/>
      <w:r>
        <w:rPr>
          <w:rFonts w:hint="cs"/>
          <w:rtl/>
        </w:rPr>
        <w:t>היתה</w:t>
      </w:r>
      <w:proofErr w:type="spellEnd"/>
      <w:r>
        <w:rPr>
          <w:rFonts w:hint="cs"/>
          <w:rtl/>
        </w:rPr>
        <w:t xml:space="preserve">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w:t>
      </w:r>
      <w:r>
        <w:rPr>
          <w:rStyle w:val="a4"/>
          <w:rtl/>
        </w:rPr>
        <w:footnoteReference w:id="12"/>
      </w:r>
    </w:p>
    <w:p w:rsidR="00FF6771" w:rsidRDefault="00FF6771" w:rsidP="00FF6771">
      <w:pPr>
        <w:spacing w:after="57"/>
        <w:rPr>
          <w:rtl/>
        </w:rPr>
      </w:pPr>
      <w:r>
        <w:rPr>
          <w:rFonts w:hint="cs"/>
          <w:rtl/>
        </w:rPr>
        <w:t xml:space="preserve">הרב יעקב גולדמן שימש כמזכיר הוועד הראשון של יפו. בשנת תרפ"ד הוא כתב בעניין זה: </w:t>
      </w:r>
    </w:p>
    <w:p w:rsidR="00FF6771" w:rsidRDefault="00FF6771" w:rsidP="00FF6771">
      <w:pPr>
        <w:pStyle w:val="2"/>
        <w:spacing w:after="57"/>
        <w:rPr>
          <w:rtl/>
        </w:rPr>
      </w:pPr>
      <w:r>
        <w:rPr>
          <w:rFonts w:hint="cs"/>
          <w:rtl/>
        </w:rPr>
        <w:t xml:space="preserve">אם </w:t>
      </w:r>
      <w:proofErr w:type="spellStart"/>
      <w:r>
        <w:rPr>
          <w:rFonts w:hint="cs"/>
          <w:rtl/>
        </w:rPr>
        <w:t>היתה</w:t>
      </w:r>
      <w:proofErr w:type="spellEnd"/>
      <w:r>
        <w:rPr>
          <w:rFonts w:hint="cs"/>
          <w:rtl/>
        </w:rPr>
        <w:t xml:space="preserve"> יפו מוקפת חומה מימות יהושע בן נון, לא נודע בבירור. מנין לקרוא בה המגילה ב׳ ימים י"ד וט"ו לאדר. ולא יכולתי לברר מאימתי ועל פי מי נהגו כן.</w:t>
      </w:r>
      <w:r>
        <w:rPr>
          <w:rStyle w:val="a4"/>
          <w:rtl/>
        </w:rPr>
        <w:footnoteReference w:id="13"/>
      </w:r>
    </w:p>
    <w:p w:rsidR="00FF6771" w:rsidRDefault="00FF6771" w:rsidP="00FF6771">
      <w:pPr>
        <w:spacing w:after="57"/>
        <w:rPr>
          <w:rtl/>
        </w:rPr>
      </w:pPr>
      <w:r>
        <w:rPr>
          <w:rFonts w:hint="cs"/>
          <w:rtl/>
        </w:rPr>
        <w:t xml:space="preserve">גם לרב גולדמן לא ברור מתי החלו לנהוג ביפו לקרוא בי"ד ובט"ו באדר ומי החל בנוהג זה. לדברי הרב גולדמן, אין ספק שיפו מיוחסת כעיר מוקפת חומה מימות </w:t>
      </w:r>
      <w:proofErr w:type="spellStart"/>
      <w:r>
        <w:rPr>
          <w:rFonts w:hint="cs"/>
          <w:rtl/>
        </w:rPr>
        <w:t>יב"ן</w:t>
      </w:r>
      <w:proofErr w:type="spellEnd"/>
      <w:r>
        <w:rPr>
          <w:rFonts w:hint="cs"/>
          <w:rtl/>
        </w:rPr>
        <w:t xml:space="preserve">. גם הוא ציין לגמרא בקידושין </w:t>
      </w:r>
      <w:proofErr w:type="spellStart"/>
      <w:r>
        <w:rPr>
          <w:rFonts w:hint="cs"/>
          <w:rtl/>
        </w:rPr>
        <w:t>נז</w:t>
      </w:r>
      <w:proofErr w:type="spellEnd"/>
      <w:r>
        <w:rPr>
          <w:rFonts w:hint="cs"/>
          <w:rtl/>
        </w:rPr>
        <w:t xml:space="preserve"> ע"ב העוסקת בטהרת המצורע. הוא הוסיף שתיתכן סיבה נוספת לקריאה יומיים – אם משווים את מיקום יפו סמוך לשפת הים, לעמדת חזקיה באשר לטבריה (מגילה ה ע"ב). </w:t>
      </w:r>
    </w:p>
    <w:p w:rsidR="00FF6771" w:rsidRDefault="00FF6771" w:rsidP="00FF6771">
      <w:pPr>
        <w:spacing w:after="57"/>
        <w:rPr>
          <w:rtl/>
        </w:rPr>
      </w:pPr>
      <w:r>
        <w:rPr>
          <w:rFonts w:hint="cs"/>
          <w:rtl/>
        </w:rPr>
        <w:t xml:space="preserve">בלוח לארץ ישראל לשנת תרפ"ז הוסיף </w:t>
      </w:r>
      <w:proofErr w:type="spellStart"/>
      <w:r>
        <w:rPr>
          <w:rFonts w:hint="cs"/>
          <w:rtl/>
        </w:rPr>
        <w:t>הרימ"ט</w:t>
      </w:r>
      <w:proofErr w:type="spellEnd"/>
      <w:r>
        <w:rPr>
          <w:rFonts w:hint="cs"/>
          <w:rtl/>
        </w:rPr>
        <w:t xml:space="preserve"> הערה לגבי יפו. הוא ציין שהיא נזכרת בספר יהושע במסגרת תיאור מיקומה של העיר הרקון ולא בפני עצמה, ויש לקרוא בי"ד ובט"ו באדר וכפי שנהוג שם. באותה שנה הוא ציין לראשונה שגם בשכונות החדשות של יפו, וכן בתל אביב, קראו בי"ד ובט"ו באדר: </w:t>
      </w:r>
    </w:p>
    <w:p w:rsidR="00FF6771" w:rsidRDefault="00FF6771" w:rsidP="00FF6771">
      <w:pPr>
        <w:pStyle w:val="2"/>
        <w:spacing w:after="57"/>
        <w:rPr>
          <w:rtl/>
        </w:rPr>
      </w:pPr>
      <w:r>
        <w:rPr>
          <w:rFonts w:hint="cs"/>
          <w:rtl/>
        </w:rPr>
        <w:t xml:space="preserve">והשכונות שהתחברו לעיר כמו </w:t>
      </w:r>
      <w:proofErr w:type="spellStart"/>
      <w:r>
        <w:rPr>
          <w:rFonts w:hint="cs"/>
          <w:rtl/>
        </w:rPr>
        <w:t>נוה</w:t>
      </w:r>
      <w:proofErr w:type="spellEnd"/>
      <w:r>
        <w:rPr>
          <w:rFonts w:hint="cs"/>
          <w:rtl/>
        </w:rPr>
        <w:t xml:space="preserve"> שלום </w:t>
      </w:r>
      <w:proofErr w:type="spellStart"/>
      <w:r>
        <w:rPr>
          <w:rFonts w:hint="cs"/>
          <w:rtl/>
        </w:rPr>
        <w:t>ונוה</w:t>
      </w:r>
      <w:proofErr w:type="spellEnd"/>
      <w:r>
        <w:rPr>
          <w:rFonts w:hint="cs"/>
          <w:rtl/>
        </w:rPr>
        <w:t xml:space="preserve"> צדק ליפו, נוהגים כמו בהעיר. ואפילו תל אביב שמקודם נהגו בה כמושבה חדשה, מאז </w:t>
      </w:r>
      <w:proofErr w:type="spellStart"/>
      <w:r>
        <w:rPr>
          <w:rFonts w:hint="cs"/>
          <w:rtl/>
        </w:rPr>
        <w:t>נתחברה</w:t>
      </w:r>
      <w:proofErr w:type="spellEnd"/>
      <w:r>
        <w:rPr>
          <w:rFonts w:hint="cs"/>
          <w:rtl/>
        </w:rPr>
        <w:t xml:space="preserve"> ליפו החלו לנהוג בה כמו ביפו, ואף שאין זה בהיר </w:t>
      </w:r>
      <w:r>
        <w:rPr>
          <w:rStyle w:val="a6"/>
          <w:rFonts w:hint="cs"/>
          <w:rtl/>
        </w:rPr>
        <w:t xml:space="preserve">(עין מה שכתבתי בירושלים). </w:t>
      </w:r>
      <w:r>
        <w:rPr>
          <w:rFonts w:hint="cs"/>
          <w:rtl/>
        </w:rPr>
        <w:t xml:space="preserve">אבל השכונות הנפרדות יותר מע' אמה ושיריים, אין מקום להחמיר ולנהוג גם בט"ו... וכן השכונות הנפרדות </w:t>
      </w:r>
      <w:r>
        <w:rPr>
          <w:rtl/>
        </w:rPr>
        <w:br/>
      </w:r>
      <w:r>
        <w:rPr>
          <w:rFonts w:hint="cs"/>
          <w:rtl/>
        </w:rPr>
        <w:t>ליפו.</w:t>
      </w:r>
      <w:r>
        <w:rPr>
          <w:rStyle w:val="a4"/>
          <w:rtl/>
        </w:rPr>
        <w:footnoteReference w:id="14"/>
      </w:r>
    </w:p>
    <w:p w:rsidR="00FF6771" w:rsidRDefault="00FF6771" w:rsidP="00FF6771">
      <w:pPr>
        <w:rPr>
          <w:rFonts w:hint="cs"/>
          <w:rtl/>
        </w:rPr>
      </w:pPr>
      <w:r>
        <w:rPr>
          <w:rFonts w:hint="cs"/>
          <w:rtl/>
        </w:rPr>
        <w:t xml:space="preserve">שכונות </w:t>
      </w:r>
      <w:proofErr w:type="spellStart"/>
      <w:r>
        <w:rPr>
          <w:rFonts w:hint="cs"/>
          <w:rtl/>
        </w:rPr>
        <w:t>נוה</w:t>
      </w:r>
      <w:proofErr w:type="spellEnd"/>
      <w:r>
        <w:rPr>
          <w:rFonts w:hint="cs"/>
          <w:rtl/>
        </w:rPr>
        <w:t xml:space="preserve"> שלום </w:t>
      </w:r>
      <w:proofErr w:type="spellStart"/>
      <w:r>
        <w:rPr>
          <w:rFonts w:hint="cs"/>
          <w:rtl/>
        </w:rPr>
        <w:t>ונוה</w:t>
      </w:r>
      <w:proofErr w:type="spellEnd"/>
      <w:r>
        <w:rPr>
          <w:rFonts w:hint="cs"/>
          <w:rtl/>
        </w:rPr>
        <w:t xml:space="preserve"> צדק סמוכות ליפו העתיקה. רבה של יפו הרב נפתלי הרץ הלוי היה מראשוני המתיישבים בשכונת נווה שלום, ורבה של יפו אחריו היה </w:t>
      </w:r>
      <w:proofErr w:type="spellStart"/>
      <w:r>
        <w:rPr>
          <w:rFonts w:hint="cs"/>
          <w:rtl/>
        </w:rPr>
        <w:t>הראי"ה</w:t>
      </w:r>
      <w:proofErr w:type="spellEnd"/>
      <w:r>
        <w:rPr>
          <w:rFonts w:hint="cs"/>
          <w:rtl/>
        </w:rPr>
        <w:t xml:space="preserve"> קוק שהתגורר ברח' אחווה, בין שכונת </w:t>
      </w:r>
      <w:proofErr w:type="spellStart"/>
      <w:r>
        <w:rPr>
          <w:rFonts w:hint="cs"/>
          <w:rtl/>
        </w:rPr>
        <w:t>נוה</w:t>
      </w:r>
      <w:proofErr w:type="spellEnd"/>
      <w:r>
        <w:rPr>
          <w:rFonts w:hint="cs"/>
          <w:rtl/>
        </w:rPr>
        <w:t xml:space="preserve"> שלום לבין שכונת </w:t>
      </w:r>
      <w:proofErr w:type="spellStart"/>
      <w:r>
        <w:rPr>
          <w:rFonts w:hint="cs"/>
          <w:rtl/>
        </w:rPr>
        <w:t>נוה</w:t>
      </w:r>
      <w:proofErr w:type="spellEnd"/>
      <w:r>
        <w:rPr>
          <w:rFonts w:hint="cs"/>
          <w:rtl/>
        </w:rPr>
        <w:t xml:space="preserve"> צדק.</w:t>
      </w:r>
      <w:r>
        <w:rPr>
          <w:rStyle w:val="a4"/>
          <w:rtl/>
        </w:rPr>
        <w:footnoteReference w:id="15"/>
      </w:r>
      <w:r>
        <w:rPr>
          <w:rFonts w:hint="cs"/>
          <w:rtl/>
        </w:rPr>
        <w:t xml:space="preserve"> הדיונים על זמן מקרא מגילה ביפו, התייחסו גם לזמן מקרא מגילה בשכונות החדשות, וכאמור קראו בהן מגילה בי"ד ובט"ו באדר. </w:t>
      </w:r>
      <w:proofErr w:type="spellStart"/>
      <w:r>
        <w:rPr>
          <w:rFonts w:hint="cs"/>
          <w:rtl/>
        </w:rPr>
        <w:t>הרימ"ט</w:t>
      </w:r>
      <w:proofErr w:type="spellEnd"/>
      <w:r>
        <w:rPr>
          <w:rFonts w:hint="cs"/>
          <w:rtl/>
        </w:rPr>
        <w:t xml:space="preserve"> תיאר מצב קיים, ומבחינתו הדבר תקין מאחר ששכונות אלו צמודות לעיר העתיקה. אך בשכונות יפו הרחוקות מהעיר העתיקה, וכן בשכונות החדשות בתל אביב: "אין מקום להחמיר ולנהוג גם בט"ו". </w:t>
      </w:r>
      <w:proofErr w:type="spellStart"/>
      <w:r>
        <w:rPr>
          <w:rFonts w:hint="cs"/>
          <w:rtl/>
        </w:rPr>
        <w:t>הרימ"ט</w:t>
      </w:r>
      <w:proofErr w:type="spellEnd"/>
      <w:r>
        <w:rPr>
          <w:rFonts w:hint="cs"/>
          <w:rtl/>
        </w:rPr>
        <w:t xml:space="preserve"> רמז כאן לעמדתו שאותה ביטא בהרחבה ביחס לשכונות החדשות בירושלים.</w:t>
      </w:r>
      <w:r>
        <w:rPr>
          <w:rStyle w:val="a4"/>
          <w:rtl/>
        </w:rPr>
        <w:footnoteReference w:id="16"/>
      </w:r>
      <w:r>
        <w:rPr>
          <w:rFonts w:hint="cs"/>
          <w:rtl/>
        </w:rPr>
        <w:t xml:space="preserve"> מדברי </w:t>
      </w:r>
      <w:proofErr w:type="spellStart"/>
      <w:r>
        <w:rPr>
          <w:rFonts w:hint="cs"/>
          <w:rtl/>
        </w:rPr>
        <w:t>הרימ"ט</w:t>
      </w:r>
      <w:proofErr w:type="spellEnd"/>
      <w:r>
        <w:rPr>
          <w:rFonts w:hint="cs"/>
          <w:rtl/>
        </w:rPr>
        <w:t xml:space="preserve"> ניתן להבין שגם בשכונות יפו האחרות, גם אלו שלא היו סמוכות לעיר העתיקה היו קוראים בי"ד ובט"ו באדר, </w:t>
      </w:r>
      <w:proofErr w:type="spellStart"/>
      <w:r>
        <w:rPr>
          <w:rFonts w:hint="cs"/>
          <w:rtl/>
        </w:rPr>
        <w:t>והרימ"ט</w:t>
      </w:r>
      <w:proofErr w:type="spellEnd"/>
      <w:r>
        <w:rPr>
          <w:rFonts w:hint="cs"/>
          <w:rtl/>
        </w:rPr>
        <w:t xml:space="preserve"> טען שאין מקום לזה.</w:t>
      </w:r>
    </w:p>
    <w:p w:rsidR="00FF6771" w:rsidRDefault="00FF6771" w:rsidP="00FF6771">
      <w:pPr>
        <w:rPr>
          <w:rtl/>
        </w:rPr>
      </w:pPr>
      <w:r>
        <w:rPr>
          <w:rFonts w:hint="cs"/>
          <w:rtl/>
        </w:rPr>
        <w:t xml:space="preserve">מאז התחדשות הישוב היהודי ביפו נהגו לקרוא מגילה בי"ד ובט"ו באדר, ואף בתל אביב היו שנהגו לקרוא מגילה בשני הימים. תל אביב קמה בשנת תרס"ט, ובשנותיה הראשונות קראו בה בי"ד באדר בלבד. לא ברור מאיזו שנה החלו לקרוא בה גם בט"ו באדר, ואם כך נהגו בכל תל אביב, או רק בשכונות שהיו קרובות ליפו. לדעת </w:t>
      </w:r>
      <w:proofErr w:type="spellStart"/>
      <w:r>
        <w:rPr>
          <w:rFonts w:hint="cs"/>
          <w:rtl/>
        </w:rPr>
        <w:t>הרימ"ט</w:t>
      </w:r>
      <w:proofErr w:type="spellEnd"/>
      <w:r>
        <w:rPr>
          <w:rFonts w:hint="cs"/>
          <w:rtl/>
        </w:rPr>
        <w:t xml:space="preserve">, הנהגה זו אינה נכונה. אפשר להציע שני הסברים לדברי </w:t>
      </w:r>
      <w:proofErr w:type="spellStart"/>
      <w:r>
        <w:rPr>
          <w:rFonts w:hint="cs"/>
          <w:rtl/>
        </w:rPr>
        <w:t>הרימ"ט</w:t>
      </w:r>
      <w:proofErr w:type="spellEnd"/>
      <w:r>
        <w:rPr>
          <w:rFonts w:hint="cs"/>
          <w:rtl/>
        </w:rPr>
        <w:t xml:space="preserve">: א. הוא סבר שתקנת סמוך או נראה לא חלה במקום קרוב לעיר שיש ספק אם היא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 xml:space="preserve">. ב. עמדת </w:t>
      </w:r>
      <w:proofErr w:type="spellStart"/>
      <w:r>
        <w:rPr>
          <w:rFonts w:hint="cs"/>
          <w:rtl/>
        </w:rPr>
        <w:t>הרימ"ט</w:t>
      </w:r>
      <w:proofErr w:type="spellEnd"/>
      <w:r>
        <w:rPr>
          <w:rFonts w:hint="cs"/>
          <w:rtl/>
        </w:rPr>
        <w:t xml:space="preserve"> היא שהגדרת סמוך או נראה היא עד מרחב מיל מהעיר </w:t>
      </w:r>
      <w:proofErr w:type="spellStart"/>
      <w:r>
        <w:rPr>
          <w:rFonts w:hint="cs"/>
          <w:rtl/>
        </w:rPr>
        <w:t>המוק"ח</w:t>
      </w:r>
      <w:proofErr w:type="spellEnd"/>
      <w:r>
        <w:rPr>
          <w:rFonts w:hint="cs"/>
          <w:rtl/>
        </w:rPr>
        <w:t xml:space="preserve">, ותל אביב רחוקה יותר ממיל. </w:t>
      </w:r>
    </w:p>
    <w:p w:rsidR="00FF6771" w:rsidRDefault="00FF6771" w:rsidP="00FF6771">
      <w:pPr>
        <w:rPr>
          <w:rtl/>
        </w:rPr>
      </w:pPr>
      <w:r>
        <w:rPr>
          <w:rFonts w:hint="cs"/>
          <w:rtl/>
        </w:rPr>
        <w:t xml:space="preserve">הרב שמואל יוסף </w:t>
      </w:r>
      <w:proofErr w:type="spellStart"/>
      <w:r>
        <w:rPr>
          <w:rFonts w:hint="cs"/>
          <w:rtl/>
        </w:rPr>
        <w:t>זוין</w:t>
      </w:r>
      <w:proofErr w:type="spellEnd"/>
      <w:r>
        <w:rPr>
          <w:rFonts w:hint="cs"/>
          <w:rtl/>
        </w:rPr>
        <w:t xml:space="preserve"> העיר שהדיווח של </w:t>
      </w:r>
      <w:proofErr w:type="spellStart"/>
      <w:r>
        <w:rPr>
          <w:rFonts w:hint="cs"/>
          <w:rtl/>
        </w:rPr>
        <w:t>הרימ"ט</w:t>
      </w:r>
      <w:proofErr w:type="spellEnd"/>
      <w:r>
        <w:rPr>
          <w:rFonts w:hint="cs"/>
          <w:rtl/>
        </w:rPr>
        <w:t xml:space="preserve"> לא היה מדויק: </w:t>
      </w:r>
    </w:p>
    <w:p w:rsidR="00FF6771" w:rsidRDefault="00FF6771" w:rsidP="00FF6771">
      <w:pPr>
        <w:pStyle w:val="2"/>
        <w:rPr>
          <w:rtl/>
        </w:rPr>
      </w:pPr>
      <w:r>
        <w:rPr>
          <w:rFonts w:hint="cs"/>
          <w:rtl/>
        </w:rPr>
        <w:lastRenderedPageBreak/>
        <w:t>חסרון ידיעה יש כאן. רוב תל אביב קוראים בי"ד כדין עיר חדשה, ורק במניינים אחדים קוראים אף בט"ו.</w:t>
      </w:r>
      <w:r>
        <w:rPr>
          <w:rStyle w:val="a4"/>
          <w:rtl/>
        </w:rPr>
        <w:footnoteReference w:id="17"/>
      </w:r>
    </w:p>
    <w:p w:rsidR="00FF6771" w:rsidRDefault="00FF6771" w:rsidP="00FF6771">
      <w:pPr>
        <w:rPr>
          <w:rtl/>
        </w:rPr>
      </w:pPr>
      <w:r>
        <w:rPr>
          <w:rFonts w:hint="cs"/>
          <w:rtl/>
        </w:rPr>
        <w:t xml:space="preserve">הרב טוביה יהודה </w:t>
      </w:r>
      <w:proofErr w:type="spellStart"/>
      <w:r>
        <w:rPr>
          <w:rFonts w:hint="cs"/>
          <w:rtl/>
        </w:rPr>
        <w:t>טביומי</w:t>
      </w:r>
      <w:proofErr w:type="spellEnd"/>
      <w:r>
        <w:rPr>
          <w:rFonts w:hint="cs"/>
          <w:rtl/>
        </w:rPr>
        <w:t xml:space="preserve"> עלה ארצה מפולין שם שימש ברבנות, והתיישב בתל אביב. בארץ הוא לא שימש ברבנות. הוא סיפר שהוא עלה לארץ בכסלו תרצ"ו והתיישב בתל אביב. בפורים הוא נחשף לכך שבבית הכנסת ברח' יונה </w:t>
      </w:r>
      <w:r>
        <w:rPr>
          <w:rStyle w:val="a6"/>
          <w:rFonts w:hint="cs"/>
          <w:rtl/>
        </w:rPr>
        <w:t>(בדרום תל אביב, סמוך לרח' הירקון ליד מגדלי האופרה)</w:t>
      </w:r>
      <w:r>
        <w:rPr>
          <w:rFonts w:hint="cs"/>
          <w:rtl/>
        </w:rPr>
        <w:t xml:space="preserve"> שבו היה מתפלל, קראו מגילה בי"ד ובט"ו באדר כמו ביפו, ובבתי הכנסת האחרים בסביבה קראו בי"ד באדר בלבד. לדעתו, בתל אביב יש לקרוא בי"ד באדר בלבד, ולדבריו כך נהגו ברוב בתי הכנסת בתל אביב.</w:t>
      </w:r>
      <w:r>
        <w:rPr>
          <w:rStyle w:val="a4"/>
          <w:rtl/>
        </w:rPr>
        <w:footnoteReference w:id="18"/>
      </w:r>
    </w:p>
    <w:p w:rsidR="00FF6771" w:rsidRDefault="00FF6771" w:rsidP="00FF6771">
      <w:pPr>
        <w:rPr>
          <w:rtl/>
        </w:rPr>
      </w:pPr>
      <w:r>
        <w:rPr>
          <w:rFonts w:hint="cs"/>
          <w:rtl/>
        </w:rPr>
        <w:t xml:space="preserve">הרב הראשי של תל אביב, הרב בן ציון מאיר חי עוזיאל, כתב לרב </w:t>
      </w:r>
      <w:proofErr w:type="spellStart"/>
      <w:r>
        <w:rPr>
          <w:rFonts w:hint="cs"/>
          <w:rtl/>
        </w:rPr>
        <w:t>טביומי</w:t>
      </w:r>
      <w:proofErr w:type="spellEnd"/>
      <w:r>
        <w:rPr>
          <w:rFonts w:hint="cs"/>
          <w:rtl/>
        </w:rPr>
        <w:t xml:space="preserve"> בשנת תרצ"ז שבתל אביב יש לקרוא בי"ד ובט"ו באדר. לדברי הרב עוזיאל כך היה המנהג בכל ערי ארץ ישראל. והוסיף עוד: </w:t>
      </w:r>
    </w:p>
    <w:p w:rsidR="00FF6771" w:rsidRDefault="00FF6771" w:rsidP="00FF6771">
      <w:pPr>
        <w:pStyle w:val="2"/>
        <w:rPr>
          <w:rtl/>
        </w:rPr>
      </w:pPr>
      <w:r>
        <w:rPr>
          <w:rFonts w:hint="cs"/>
          <w:rtl/>
        </w:rPr>
        <w:t xml:space="preserve">ואין לומר שתל אביב הואיל ונבנית בזמן האחרון הרי ברור הדבר שלא </w:t>
      </w:r>
      <w:proofErr w:type="spellStart"/>
      <w:r>
        <w:rPr>
          <w:rFonts w:hint="cs"/>
          <w:rtl/>
        </w:rPr>
        <w:t>היתה</w:t>
      </w:r>
      <w:proofErr w:type="spellEnd"/>
      <w:r>
        <w:rPr>
          <w:rFonts w:hint="cs"/>
          <w:rtl/>
        </w:rPr>
        <w:t xml:space="preserve"> מוקפת חומה מימות יהושע בן נון וקורין רק בי"ד. שהרי תל אביב </w:t>
      </w:r>
      <w:proofErr w:type="spellStart"/>
      <w:r>
        <w:rPr>
          <w:rFonts w:hint="cs"/>
          <w:rtl/>
        </w:rPr>
        <w:t>היתה</w:t>
      </w:r>
      <w:proofErr w:type="spellEnd"/>
      <w:r>
        <w:rPr>
          <w:rFonts w:hint="cs"/>
          <w:rtl/>
        </w:rPr>
        <w:t xml:space="preserve"> בתחומה של יפו מצד אחד לדרומה ולכפרים הסמוכים לה לצפונה, אלא שהיו בה שטחים חרבים ושוממים כמו שיש בכל ארץ. ולכן אין זו עיר חדשה שלא היה בה ישוב ישראל אלא שטחי אדמה שוממים </w:t>
      </w:r>
      <w:proofErr w:type="spellStart"/>
      <w:r>
        <w:rPr>
          <w:rFonts w:hint="cs"/>
          <w:rtl/>
        </w:rPr>
        <w:t>שודאי</w:t>
      </w:r>
      <w:proofErr w:type="spellEnd"/>
      <w:r>
        <w:rPr>
          <w:rFonts w:hint="cs"/>
          <w:rtl/>
        </w:rPr>
        <w:t xml:space="preserve"> היו מיושבים בזמן הבית, ואולי גם אחרי החורבן ונחרב </w:t>
      </w:r>
      <w:proofErr w:type="spellStart"/>
      <w:r>
        <w:rPr>
          <w:rFonts w:hint="cs"/>
          <w:rtl/>
        </w:rPr>
        <w:t>ישובם</w:t>
      </w:r>
      <w:proofErr w:type="spellEnd"/>
      <w:r>
        <w:rPr>
          <w:rFonts w:hint="cs"/>
          <w:rtl/>
        </w:rPr>
        <w:t>, עד שבאו בניה בוניה והקימו חורבותיה, ולכן אינה יוצאת מכלל ערי ארץ ישראל שקורין בי"ד ובט"ו.</w:t>
      </w:r>
      <w:r>
        <w:rPr>
          <w:rStyle w:val="a4"/>
          <w:rtl/>
        </w:rPr>
        <w:footnoteReference w:id="19"/>
      </w:r>
    </w:p>
    <w:p w:rsidR="00FF6771" w:rsidRDefault="00FF6771" w:rsidP="00FF6771">
      <w:pPr>
        <w:rPr>
          <w:rtl/>
        </w:rPr>
      </w:pPr>
      <w:r>
        <w:rPr>
          <w:rFonts w:hint="cs"/>
          <w:rtl/>
        </w:rPr>
        <w:t>הרב עוזיאל לא הוכיח את טענתו זו על בסיס מידע היסטורי, אלא על סמך הנחה שבוודאי כך היה. על פי דברי הרב עוזיאל, יש חובה לקרוא מגילה בתל אביב בי"ד ובט"ו באדר, לא בשל היות תל אביב סמוכה ליפו, אלא מפני שלדעתו תל אביב היא חלק מהעיר יפו העתיקה.</w:t>
      </w:r>
      <w:r>
        <w:rPr>
          <w:rStyle w:val="a4"/>
          <w:rtl/>
        </w:rPr>
        <w:footnoteReference w:id="20"/>
      </w:r>
    </w:p>
    <w:p w:rsidR="00FF6771" w:rsidRDefault="00FF6771" w:rsidP="00FF6771">
      <w:pPr>
        <w:rPr>
          <w:rtl/>
        </w:rPr>
      </w:pPr>
      <w:r>
        <w:rPr>
          <w:rFonts w:hint="cs"/>
          <w:rtl/>
        </w:rPr>
        <w:t xml:space="preserve">הרב יעקב </w:t>
      </w:r>
      <w:proofErr w:type="spellStart"/>
      <w:r>
        <w:rPr>
          <w:rFonts w:hint="cs"/>
          <w:rtl/>
        </w:rPr>
        <w:t>עדס</w:t>
      </w:r>
      <w:proofErr w:type="spellEnd"/>
      <w:r>
        <w:rPr>
          <w:rFonts w:hint="cs"/>
          <w:rtl/>
        </w:rPr>
        <w:t xml:space="preserve"> היה דיין בתל אביב ואחר כך בירושלים בין השנים תרצ"ה-תשט"ו. הוא כתב: </w:t>
      </w:r>
    </w:p>
    <w:p w:rsidR="00FF6771" w:rsidRDefault="00FF6771" w:rsidP="00FF6771">
      <w:pPr>
        <w:pStyle w:val="2"/>
        <w:rPr>
          <w:rtl/>
        </w:rPr>
      </w:pPr>
      <w:r>
        <w:rPr>
          <w:rFonts w:hint="cs"/>
          <w:rtl/>
        </w:rPr>
        <w:t>לא ידענו איך נוהגים בתל אביב אם הם קוראים בי"ד וט"ו או רק בי"ד. ושמעתי שקוראים בי"ד וט"ו ויש אחרים אומרים לי שקראו רק בי"ד. והנה ביפו נוהגים לקרות בי"ד וט"ו.</w:t>
      </w:r>
      <w:r>
        <w:rPr>
          <w:rStyle w:val="a4"/>
          <w:rtl/>
        </w:rPr>
        <w:footnoteReference w:id="21"/>
      </w:r>
    </w:p>
    <w:p w:rsidR="00FF6771" w:rsidRDefault="00FF6771" w:rsidP="00FF6771">
      <w:pPr>
        <w:rPr>
          <w:rFonts w:hint="cs"/>
          <w:rtl/>
        </w:rPr>
      </w:pPr>
      <w:r>
        <w:rPr>
          <w:rFonts w:hint="cs"/>
          <w:rtl/>
        </w:rPr>
        <w:t xml:space="preserve">מדבריו ניתן ללמוד שלא היה מנהג אחיד בתל אביב. בלוח לארץ ישראל לשנת תש"ז כתב </w:t>
      </w:r>
      <w:proofErr w:type="spellStart"/>
      <w:r>
        <w:rPr>
          <w:rFonts w:hint="cs"/>
          <w:rtl/>
        </w:rPr>
        <w:t>הרימ"ט</w:t>
      </w:r>
      <w:proofErr w:type="spellEnd"/>
      <w:r>
        <w:rPr>
          <w:rFonts w:hint="cs"/>
          <w:rtl/>
        </w:rPr>
        <w:t xml:space="preserve"> על התנהלות אחרת של תושבי תל אביב: "תל אביב נוהגים בה כעיר חדשה </w:t>
      </w:r>
      <w:r>
        <w:rPr>
          <w:rStyle w:val="a6"/>
          <w:rFonts w:hint="cs"/>
          <w:rtl/>
        </w:rPr>
        <w:t xml:space="preserve">(תחילה </w:t>
      </w:r>
      <w:proofErr w:type="spellStart"/>
      <w:r>
        <w:rPr>
          <w:rStyle w:val="a6"/>
          <w:rFonts w:hint="cs"/>
          <w:rtl/>
        </w:rPr>
        <w:t>כשנתחברה</w:t>
      </w:r>
      <w:proofErr w:type="spellEnd"/>
      <w:r>
        <w:rPr>
          <w:rStyle w:val="a6"/>
          <w:rFonts w:hint="cs"/>
          <w:rtl/>
        </w:rPr>
        <w:t xml:space="preserve"> ליפו נהגו בתל אביב כמו ביפו)</w:t>
      </w:r>
      <w:r>
        <w:rPr>
          <w:rFonts w:hint="cs"/>
          <w:rtl/>
        </w:rPr>
        <w:t>".</w:t>
      </w:r>
      <w:r>
        <w:rPr>
          <w:rStyle w:val="a4"/>
          <w:rtl/>
        </w:rPr>
        <w:footnoteReference w:id="22"/>
      </w:r>
      <w:r>
        <w:rPr>
          <w:rFonts w:hint="cs"/>
          <w:rtl/>
        </w:rPr>
        <w:t xml:space="preserve"> </w:t>
      </w:r>
    </w:p>
    <w:p w:rsidR="00FF6771" w:rsidRDefault="00FF6771" w:rsidP="00FF6771">
      <w:pPr>
        <w:rPr>
          <w:rtl/>
        </w:rPr>
      </w:pPr>
      <w:r>
        <w:rPr>
          <w:rtl/>
        </w:rPr>
        <w:br/>
      </w:r>
      <w:r>
        <w:rPr>
          <w:rFonts w:hint="cs"/>
          <w:rtl/>
        </w:rPr>
        <w:t xml:space="preserve">כנראה שבשלב מסוים פסק המנהג לקרוא מגילה ביפו ובשכונותיה גם בט"ו באדר, וקראו רק בי"ד </w:t>
      </w:r>
      <w:r>
        <w:rPr>
          <w:rFonts w:hint="cs"/>
          <w:rtl/>
        </w:rPr>
        <w:lastRenderedPageBreak/>
        <w:t xml:space="preserve">באדר כמו עיר פרוזה. לא ברור לנו ממתי ומה </w:t>
      </w:r>
      <w:proofErr w:type="spellStart"/>
      <w:r>
        <w:rPr>
          <w:rFonts w:hint="cs"/>
          <w:rtl/>
        </w:rPr>
        <w:t>היתה</w:t>
      </w:r>
      <w:proofErr w:type="spellEnd"/>
      <w:r>
        <w:rPr>
          <w:rFonts w:hint="cs"/>
          <w:rtl/>
        </w:rPr>
        <w:t xml:space="preserve"> הסיבה לכך. יתכן שסיבת הדבר קשורה לכך שהישוב היהודי ביפו הידלדל בשנים תרפ"ז-תש"ח בשל פרעות וסכסוכים עם ערביי יפו, ובשל צמיחתה המרשימה של העיר תל אביב. </w:t>
      </w:r>
    </w:p>
    <w:p w:rsidR="00FF6771" w:rsidRDefault="00FF6771" w:rsidP="00FF6771">
      <w:pPr>
        <w:rPr>
          <w:rtl/>
        </w:rPr>
      </w:pPr>
      <w:r>
        <w:rPr>
          <w:rFonts w:hint="cs"/>
          <w:rtl/>
        </w:rPr>
        <w:t xml:space="preserve">הישוב היהודי ביפו התחדש לאחר מלחמת השחרור בשנת תש"ח. כנראה שאז החלו לקרוא בבתי הכנסת ביפו בי"ד באדר בלבד מחוסר מודעות למנהג הקדום. הרב אהרון שלמה </w:t>
      </w:r>
      <w:proofErr w:type="spellStart"/>
      <w:r>
        <w:rPr>
          <w:rFonts w:hint="cs"/>
          <w:rtl/>
        </w:rPr>
        <w:t>אלברג</w:t>
      </w:r>
      <w:proofErr w:type="spellEnd"/>
      <w:r>
        <w:rPr>
          <w:rFonts w:hint="cs"/>
          <w:rtl/>
        </w:rPr>
        <w:t xml:space="preserve"> היה רב בתל אביב. בשנת תשי"א הוא כתב:</w:t>
      </w:r>
    </w:p>
    <w:p w:rsidR="00FF6771" w:rsidRDefault="00FF6771" w:rsidP="00FF6771">
      <w:pPr>
        <w:pStyle w:val="2"/>
        <w:rPr>
          <w:rtl/>
        </w:rPr>
      </w:pPr>
      <w:r>
        <w:rPr>
          <w:rFonts w:hint="cs"/>
          <w:rtl/>
        </w:rPr>
        <w:t xml:space="preserve">במקום אחר עוררתי על הצורך והחיוב לקרוא מגילה בשני הימים בתל אביב, באשר בנינו על חורבותיה של יפו </w:t>
      </w:r>
      <w:proofErr w:type="spellStart"/>
      <w:r>
        <w:rPr>
          <w:rFonts w:hint="cs"/>
          <w:rtl/>
        </w:rPr>
        <w:t>שהיתה</w:t>
      </w:r>
      <w:proofErr w:type="spellEnd"/>
      <w:r>
        <w:rPr>
          <w:rFonts w:hint="cs"/>
          <w:rtl/>
        </w:rPr>
        <w:t xml:space="preserve">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 אחרי שמדינת ישראל בהחלטת ממשלה כללוה יחד ורחובות משתרבבות בלי שום הפסק.</w:t>
      </w:r>
      <w:r>
        <w:rPr>
          <w:rStyle w:val="a4"/>
          <w:rtl/>
        </w:rPr>
        <w:footnoteReference w:id="23"/>
      </w:r>
    </w:p>
    <w:p w:rsidR="00FF6771" w:rsidRDefault="00FF6771" w:rsidP="00FF6771">
      <w:pPr>
        <w:rPr>
          <w:rtl/>
        </w:rPr>
      </w:pPr>
      <w:r>
        <w:rPr>
          <w:rFonts w:hint="cs"/>
          <w:rtl/>
        </w:rPr>
        <w:t xml:space="preserve">דברי הרב </w:t>
      </w:r>
      <w:proofErr w:type="spellStart"/>
      <w:r>
        <w:rPr>
          <w:rFonts w:hint="cs"/>
          <w:rtl/>
        </w:rPr>
        <w:t>אלברג</w:t>
      </w:r>
      <w:proofErr w:type="spellEnd"/>
      <w:r>
        <w:rPr>
          <w:rFonts w:hint="cs"/>
          <w:rtl/>
        </w:rPr>
        <w:t xml:space="preserve"> דומים לדברי הרב עוזיאל שטען שהעיר תל אביב בנויה על חורבות העיר יפו. אמנם גם הוא לא הוכיח את טענתו זו. הוא טען עוד שיש לקרוא בתל אביב בי"ד ובט"ו באדר כמו שקראו ביפו, מאחר שממשלת ישראל החליטה בי"א בתשרי תש"י לאחד מוניציפאלית את תל אביב עם יפו לעירייה אחת המנהלת את ענייני המקום. הערים היו מחוברות גם ברחובות משותפים. לא היה הגיוני בעיניו שבאותה עיר לא יקראו מגילה באותו תאריך. החיבור המוניציפאלי והאורבאני המחודש של הערים מחייב לדעתו התנהלות חדשה-ישנה באשר לזמן מקרא מגילה.</w:t>
      </w:r>
      <w:r>
        <w:rPr>
          <w:rStyle w:val="a4"/>
          <w:rtl/>
        </w:rPr>
        <w:footnoteReference w:id="24"/>
      </w:r>
    </w:p>
    <w:p w:rsidR="00FF6771" w:rsidRDefault="00FF6771" w:rsidP="00FF6771">
      <w:pPr>
        <w:rPr>
          <w:rtl/>
        </w:rPr>
      </w:pPr>
      <w:r>
        <w:rPr>
          <w:rFonts w:hint="cs"/>
          <w:rtl/>
        </w:rPr>
        <w:t xml:space="preserve">לפנינו עדויות על בתי כנסת אחדים וכן על מספר רבנים שקראו מגילה בתל אביב גם בט"ו באדר. הרב שריה </w:t>
      </w:r>
      <w:proofErr w:type="spellStart"/>
      <w:r>
        <w:rPr>
          <w:rFonts w:hint="cs"/>
          <w:rtl/>
        </w:rPr>
        <w:t>דבליצקי</w:t>
      </w:r>
      <w:proofErr w:type="spellEnd"/>
      <w:r>
        <w:rPr>
          <w:rFonts w:hint="cs"/>
          <w:rtl/>
        </w:rPr>
        <w:t xml:space="preserve"> העיד שבבית הכנסת </w:t>
      </w:r>
      <w:proofErr w:type="spellStart"/>
      <w:r>
        <w:rPr>
          <w:rFonts w:hint="cs"/>
          <w:rtl/>
        </w:rPr>
        <w:t>הגר"א</w:t>
      </w:r>
      <w:proofErr w:type="spellEnd"/>
      <w:r>
        <w:rPr>
          <w:rFonts w:hint="cs"/>
          <w:rtl/>
        </w:rPr>
        <w:t xml:space="preserve"> שברח' הירקון בתל אביב "קראו את המגילה גם בט"ו בלי ברכות ערבית ושחרית אחר כל התפילה, עבור </w:t>
      </w:r>
      <w:proofErr w:type="spellStart"/>
      <w:r>
        <w:rPr>
          <w:rFonts w:hint="cs"/>
          <w:rtl/>
        </w:rPr>
        <w:t>הקירבה</w:t>
      </w:r>
      <w:proofErr w:type="spellEnd"/>
      <w:r>
        <w:rPr>
          <w:rFonts w:hint="cs"/>
          <w:rtl/>
        </w:rPr>
        <w:t xml:space="preserve"> ליפו". עוד כתב שהרב יוסף צבי הלוי, שהיה רב בית הכנסת, "הקפיד מאד על קריאת המגילה </w:t>
      </w:r>
      <w:proofErr w:type="spellStart"/>
      <w:r>
        <w:rPr>
          <w:rFonts w:hint="cs"/>
          <w:rtl/>
        </w:rPr>
        <w:t>בבהכנ"ס</w:t>
      </w:r>
      <w:proofErr w:type="spellEnd"/>
      <w:r>
        <w:rPr>
          <w:rFonts w:hint="cs"/>
          <w:rtl/>
        </w:rPr>
        <w:t xml:space="preserve"> בליל ויום ט"ו מחמת ספק ביפו, ולפעמים בליל ט"ו קרא בביתו </w:t>
      </w:r>
      <w:proofErr w:type="spellStart"/>
      <w:r>
        <w:rPr>
          <w:rFonts w:hint="cs"/>
          <w:rtl/>
        </w:rPr>
        <w:t>במנין</w:t>
      </w:r>
      <w:proofErr w:type="spellEnd"/>
      <w:r>
        <w:rPr>
          <w:rFonts w:hint="cs"/>
          <w:rtl/>
        </w:rPr>
        <w:t>".</w:t>
      </w:r>
      <w:r>
        <w:rPr>
          <w:rStyle w:val="a4"/>
          <w:rtl/>
        </w:rPr>
        <w:footnoteReference w:id="25"/>
      </w:r>
      <w:r>
        <w:rPr>
          <w:rFonts w:hint="cs"/>
          <w:rtl/>
        </w:rPr>
        <w:t xml:space="preserve"> העובדה שבליל ט"ו באדר הוא היה קורא לעתים רק בביתו במניין ולא בבית הכנסת יכולה ללמד על היחלשות המנהג במשך השנים. הרב יוסף צבי הלוי נפטר בשנת תש"כ. </w:t>
      </w:r>
    </w:p>
    <w:p w:rsidR="00FF6771" w:rsidRDefault="00FF6771" w:rsidP="00FF6771">
      <w:pPr>
        <w:rPr>
          <w:rtl/>
        </w:rPr>
      </w:pPr>
      <w:r>
        <w:rPr>
          <w:rFonts w:hint="cs"/>
          <w:rtl/>
        </w:rPr>
        <w:t xml:space="preserve">הרב יצחק יוסף כתב שאביו הרב עובדיה יוסף היה נוהג כך בהיותו רבה הספרדי של תל אביב </w:t>
      </w:r>
      <w:r>
        <w:rPr>
          <w:rStyle w:val="a6"/>
          <w:rFonts w:hint="cs"/>
          <w:rtl/>
        </w:rPr>
        <w:t>(תשכ"ט-תשל"ב)</w:t>
      </w:r>
      <w:r>
        <w:rPr>
          <w:rFonts w:hint="cs"/>
          <w:rtl/>
        </w:rPr>
        <w:t>.</w:t>
      </w:r>
      <w:r>
        <w:rPr>
          <w:rStyle w:val="a4"/>
          <w:rtl/>
        </w:rPr>
        <w:footnoteReference w:id="26"/>
      </w:r>
      <w:r>
        <w:rPr>
          <w:rFonts w:hint="cs"/>
          <w:rtl/>
        </w:rPr>
        <w:t xml:space="preserve"> הוא קרא גם לאחרים לנהוג כך, אם כי הוא הוסיף שאין חובה לעשות כן מעיקר הדין מפני שתקנת מקרא מגילה במקום סמוך בט"ו באדר הוא רק כשהכרך ודאי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w:t>
      </w:r>
      <w:r>
        <w:rPr>
          <w:rStyle w:val="a4"/>
          <w:rtl/>
        </w:rPr>
        <w:footnoteReference w:id="27"/>
      </w:r>
      <w:r>
        <w:rPr>
          <w:rFonts w:hint="cs"/>
          <w:rtl/>
        </w:rPr>
        <w:t xml:space="preserve"> הרב שמואל אהרון </w:t>
      </w:r>
      <w:proofErr w:type="spellStart"/>
      <w:r>
        <w:rPr>
          <w:rFonts w:hint="cs"/>
          <w:rtl/>
        </w:rPr>
        <w:t>יודלביץ</w:t>
      </w:r>
      <w:proofErr w:type="spellEnd"/>
      <w:r>
        <w:rPr>
          <w:rFonts w:hint="cs"/>
          <w:rtl/>
        </w:rPr>
        <w:t xml:space="preserve">', חתנו של רבי אריה לוין ותלמיד חכם גדול שלימד בכמה מישיבותיה של ירושלים, כתב בשנת תשל"ד שדברי </w:t>
      </w:r>
      <w:proofErr w:type="spellStart"/>
      <w:r>
        <w:rPr>
          <w:rFonts w:hint="cs"/>
          <w:rtl/>
        </w:rPr>
        <w:t>החיד"א</w:t>
      </w:r>
      <w:proofErr w:type="spellEnd"/>
      <w:r>
        <w:rPr>
          <w:rFonts w:hint="cs"/>
          <w:rtl/>
        </w:rPr>
        <w:t xml:space="preserve"> שאין לקרוא במקום סמוך לכרך שיש ספק אם הוא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 xml:space="preserve">, אמורים כשהעיר הפרוזה מנותקת מהעיר </w:t>
      </w:r>
      <w:proofErr w:type="spellStart"/>
      <w:r>
        <w:rPr>
          <w:rFonts w:hint="cs"/>
          <w:rtl/>
        </w:rPr>
        <w:t>המוק"ח</w:t>
      </w:r>
      <w:proofErr w:type="spellEnd"/>
      <w:r>
        <w:rPr>
          <w:rFonts w:hint="cs"/>
          <w:rtl/>
        </w:rPr>
        <w:t xml:space="preserve">. אך כשהעיר הפרוזה מחוברת ברצף אורבאני לעיר </w:t>
      </w:r>
      <w:proofErr w:type="spellStart"/>
      <w:r>
        <w:rPr>
          <w:rFonts w:hint="cs"/>
          <w:rtl/>
        </w:rPr>
        <w:t>המוק"ח</w:t>
      </w:r>
      <w:proofErr w:type="spellEnd"/>
      <w:r>
        <w:rPr>
          <w:rFonts w:hint="cs"/>
          <w:rtl/>
        </w:rPr>
        <w:t xml:space="preserve">, גם לדברי </w:t>
      </w:r>
      <w:proofErr w:type="spellStart"/>
      <w:r>
        <w:rPr>
          <w:rFonts w:hint="cs"/>
          <w:rtl/>
        </w:rPr>
        <w:t>החיד"א</w:t>
      </w:r>
      <w:proofErr w:type="spellEnd"/>
      <w:r>
        <w:rPr>
          <w:rFonts w:hint="cs"/>
          <w:rtl/>
        </w:rPr>
        <w:t xml:space="preserve"> מעמד המקום הסמוך </w:t>
      </w:r>
      <w:r>
        <w:rPr>
          <w:rFonts w:hint="cs"/>
          <w:rtl/>
        </w:rPr>
        <w:lastRenderedPageBreak/>
        <w:t xml:space="preserve">הוא כעיר </w:t>
      </w:r>
      <w:proofErr w:type="spellStart"/>
      <w:r>
        <w:rPr>
          <w:rFonts w:hint="cs"/>
          <w:rtl/>
        </w:rPr>
        <w:t>המוק"ח</w:t>
      </w:r>
      <w:proofErr w:type="spellEnd"/>
      <w:r>
        <w:rPr>
          <w:rFonts w:hint="cs"/>
          <w:rtl/>
        </w:rPr>
        <w:t xml:space="preserve">: "לכן יפו שהיא ספק </w:t>
      </w:r>
      <w:proofErr w:type="spellStart"/>
      <w:r>
        <w:rPr>
          <w:rFonts w:hint="cs"/>
          <w:rtl/>
        </w:rPr>
        <w:t>מוק"ח</w:t>
      </w:r>
      <w:proofErr w:type="spellEnd"/>
      <w:r>
        <w:rPr>
          <w:rFonts w:hint="cs"/>
          <w:rtl/>
        </w:rPr>
        <w:t xml:space="preserve"> ותל אביב מחוברת לה, </w:t>
      </w:r>
      <w:proofErr w:type="spellStart"/>
      <w:r>
        <w:rPr>
          <w:rFonts w:hint="cs"/>
          <w:rtl/>
        </w:rPr>
        <w:t>דכמו</w:t>
      </w:r>
      <w:proofErr w:type="spellEnd"/>
      <w:r>
        <w:rPr>
          <w:rFonts w:hint="cs"/>
          <w:rtl/>
        </w:rPr>
        <w:t xml:space="preserve"> שקורין ביפו ב' הימים, כמו כן צריכים לנהוג בתל אביב". הוא ראה את יפו ותל אביב כעיר אחת בשל הרצף האורבאני, ועל כן לדבריו, אם בתל אביב לא קוראים גם בט"ו באדר, אזי תושבי תל אביב עוברים על איסור "לא תתגודדו".</w:t>
      </w:r>
      <w:r>
        <w:rPr>
          <w:rStyle w:val="a4"/>
          <w:rtl/>
        </w:rPr>
        <w:footnoteReference w:id="28"/>
      </w:r>
      <w:r>
        <w:rPr>
          <w:rFonts w:hint="cs"/>
          <w:rtl/>
        </w:rPr>
        <w:t xml:space="preserve"> מדבריו שבני תל אביב צריכים לקרוא מגילה גם בט"ו באדר, אפשר ללמוד על כך שבתל אביב לא נהגו לקרוא מגילה גם בט"ו באדר, והרב </w:t>
      </w:r>
      <w:proofErr w:type="spellStart"/>
      <w:r>
        <w:rPr>
          <w:rFonts w:hint="cs"/>
          <w:rtl/>
        </w:rPr>
        <w:t>יודלביץ</w:t>
      </w:r>
      <w:proofErr w:type="spellEnd"/>
      <w:r>
        <w:rPr>
          <w:rFonts w:hint="cs"/>
          <w:rtl/>
        </w:rPr>
        <w:t xml:space="preserve">' קרא להם לעשות כן. גם הרב שאול ישראלי סבר שיש מקום לחדש את המנהג </w:t>
      </w:r>
      <w:proofErr w:type="spellStart"/>
      <w:r>
        <w:rPr>
          <w:rFonts w:hint="cs"/>
          <w:rtl/>
        </w:rPr>
        <w:t>כחומרא</w:t>
      </w:r>
      <w:proofErr w:type="spellEnd"/>
      <w:r>
        <w:rPr>
          <w:rFonts w:hint="cs"/>
          <w:rtl/>
        </w:rPr>
        <w:t xml:space="preserve"> אך לא מעיקר הדין.</w:t>
      </w:r>
      <w:r>
        <w:rPr>
          <w:rStyle w:val="a4"/>
          <w:rtl/>
        </w:rPr>
        <w:footnoteReference w:id="29"/>
      </w:r>
    </w:p>
    <w:p w:rsidR="00FF6771" w:rsidRDefault="00FF6771" w:rsidP="00FF6771">
      <w:pPr>
        <w:rPr>
          <w:rtl/>
        </w:rPr>
      </w:pPr>
      <w:r>
        <w:rPr>
          <w:rFonts w:hint="cs"/>
          <w:rtl/>
        </w:rPr>
        <w:t>הרב חיים דוד הלוי, שכיהן כרבה הספרדי של תל אביב לאחר הרב עובדיה יוסף, טען בשנת תשנ"ד שעדיין יש אנשים המתגוררים בפרוורים הדרומיים של ת"א וקוראים מגילה גם בט"ו באדר.</w:t>
      </w:r>
      <w:r>
        <w:rPr>
          <w:rStyle w:val="a4"/>
          <w:rtl/>
        </w:rPr>
        <w:footnoteReference w:id="30"/>
      </w:r>
    </w:p>
    <w:p w:rsidR="00FF6771" w:rsidRDefault="00FF6771" w:rsidP="00FF6771">
      <w:pPr>
        <w:rPr>
          <w:rtl/>
        </w:rPr>
      </w:pPr>
      <w:r>
        <w:rPr>
          <w:rFonts w:hint="cs"/>
          <w:rtl/>
        </w:rPr>
        <w:t xml:space="preserve">הרב </w:t>
      </w:r>
      <w:proofErr w:type="spellStart"/>
      <w:r>
        <w:rPr>
          <w:rFonts w:hint="cs"/>
          <w:rtl/>
        </w:rPr>
        <w:t>אחיעד</w:t>
      </w:r>
      <w:proofErr w:type="spellEnd"/>
      <w:r>
        <w:rPr>
          <w:rFonts w:hint="cs"/>
          <w:rtl/>
        </w:rPr>
        <w:t xml:space="preserve"> אטינגר רב בית כנסת בדרום תל אביב, וחבר בגרעין התורני בעיר, סיפר לי שבמספר בתי כנסת בדרום תל אביב, קראו את המגילה גם בט"ו באדר בשל הקרבה ליפו. לדבריו בבית הכנסת 'אהל שלום' ברח' </w:t>
      </w:r>
      <w:proofErr w:type="spellStart"/>
      <w:r>
        <w:rPr>
          <w:rFonts w:hint="cs"/>
          <w:rtl/>
        </w:rPr>
        <w:t>התיבונים</w:t>
      </w:r>
      <w:proofErr w:type="spellEnd"/>
      <w:r>
        <w:rPr>
          <w:rFonts w:hint="cs"/>
          <w:rtl/>
        </w:rPr>
        <w:t xml:space="preserve"> בשכונת שפירא בתל אביב, היה מנין קבוע בו קראו מגילה גם בט"ו באדר.</w:t>
      </w:r>
      <w:r>
        <w:rPr>
          <w:rStyle w:val="a4"/>
          <w:rtl/>
        </w:rPr>
        <w:footnoteReference w:id="31"/>
      </w:r>
    </w:p>
    <w:p w:rsidR="00FF6771" w:rsidRDefault="00FF6771" w:rsidP="00FF6771">
      <w:pPr>
        <w:rPr>
          <w:rtl/>
        </w:rPr>
      </w:pPr>
      <w:r>
        <w:rPr>
          <w:rFonts w:hint="cs"/>
          <w:rtl/>
        </w:rPr>
        <w:t xml:space="preserve">אך כנראה זה היה מנהגם של מעטים. הרב משה לוי כתב שהעיד בפניו: "אחד המיוחד </w:t>
      </w:r>
      <w:proofErr w:type="spellStart"/>
      <w:r>
        <w:rPr>
          <w:rFonts w:hint="cs"/>
          <w:rtl/>
        </w:rPr>
        <w:t>מותיקי</w:t>
      </w:r>
      <w:proofErr w:type="spellEnd"/>
      <w:r>
        <w:rPr>
          <w:rFonts w:hint="cs"/>
          <w:rtl/>
        </w:rPr>
        <w:t xml:space="preserve"> וזקני העיר תל אביב ומייסדי ישיבת פורת יוסף המתחדשת, שבצעירותו היה גר ביפו ולא קראו אלא בי"ד בלבד".</w:t>
      </w:r>
      <w:r>
        <w:rPr>
          <w:rStyle w:val="a4"/>
          <w:rtl/>
        </w:rPr>
        <w:footnoteReference w:id="32"/>
      </w:r>
      <w:r>
        <w:rPr>
          <w:rFonts w:hint="cs"/>
          <w:rtl/>
        </w:rPr>
        <w:t xml:space="preserve"> אמנם הוא לא כתב באילו שנים מדובר. </w:t>
      </w:r>
    </w:p>
    <w:p w:rsidR="00FF6771" w:rsidRDefault="00FF6771" w:rsidP="00FF6771">
      <w:pPr>
        <w:rPr>
          <w:rtl/>
        </w:rPr>
      </w:pPr>
      <w:r>
        <w:rPr>
          <w:rFonts w:hint="cs"/>
          <w:rtl/>
        </w:rPr>
        <w:t xml:space="preserve">רבנים ראשיים אחרים של תל אביב קראו מגילה רק בי"ד באדר. כך הורה הרב יצחק ידידיה פרנקל, שהיה גר בתל אביב משנת תרצ"ה ושימש כרבה האשכנזי של תל אביב </w:t>
      </w:r>
      <w:r>
        <w:rPr>
          <w:rStyle w:val="a6"/>
          <w:rFonts w:hint="cs"/>
          <w:rtl/>
        </w:rPr>
        <w:t>(בשנים תשל"ג-תשמ"ו)</w:t>
      </w:r>
      <w:r>
        <w:rPr>
          <w:rFonts w:hint="cs"/>
          <w:rtl/>
        </w:rPr>
        <w:t xml:space="preserve">. כך נהג גם חתנו של הרב פרנקל הרב ישראל מאיר לאו, רבה האשכנזי של תל אביב </w:t>
      </w:r>
      <w:r>
        <w:rPr>
          <w:rStyle w:val="a6"/>
          <w:rFonts w:hint="cs"/>
          <w:rtl/>
        </w:rPr>
        <w:t>(משנת תשמ"ח)</w:t>
      </w:r>
      <w:r>
        <w:rPr>
          <w:rFonts w:hint="cs"/>
          <w:rtl/>
        </w:rPr>
        <w:t>.</w:t>
      </w:r>
      <w:r>
        <w:rPr>
          <w:rStyle w:val="a4"/>
          <w:rtl/>
        </w:rPr>
        <w:footnoteReference w:id="33"/>
      </w:r>
      <w:r>
        <w:rPr>
          <w:rFonts w:hint="cs"/>
          <w:rtl/>
        </w:rPr>
        <w:t xml:space="preserve"> בשמו של הרב שלמה זלמן </w:t>
      </w:r>
      <w:proofErr w:type="spellStart"/>
      <w:r>
        <w:rPr>
          <w:rFonts w:hint="cs"/>
          <w:rtl/>
        </w:rPr>
        <w:t>אויערבך</w:t>
      </w:r>
      <w:proofErr w:type="spellEnd"/>
      <w:r>
        <w:rPr>
          <w:rFonts w:hint="cs"/>
          <w:rtl/>
        </w:rPr>
        <w:t xml:space="preserve"> נאמר: "ביפו פשט המנהג שקוראים רק בי"ד".</w:t>
      </w:r>
      <w:r>
        <w:rPr>
          <w:rStyle w:val="a4"/>
          <w:rtl/>
        </w:rPr>
        <w:footnoteReference w:id="34"/>
      </w:r>
    </w:p>
    <w:p w:rsidR="00FF6771" w:rsidRDefault="00FF6771" w:rsidP="00FF6771">
      <w:pPr>
        <w:rPr>
          <w:rtl/>
        </w:rPr>
      </w:pPr>
      <w:r>
        <w:rPr>
          <w:rFonts w:hint="cs"/>
          <w:rtl/>
        </w:rPr>
        <w:t xml:space="preserve">הרב אפרים אריאל </w:t>
      </w:r>
      <w:proofErr w:type="spellStart"/>
      <w:r>
        <w:rPr>
          <w:rFonts w:hint="cs"/>
          <w:rtl/>
        </w:rPr>
        <w:t>בוקוולד</w:t>
      </w:r>
      <w:proofErr w:type="spellEnd"/>
      <w:r>
        <w:rPr>
          <w:rFonts w:hint="cs"/>
          <w:rtl/>
        </w:rPr>
        <w:t xml:space="preserve"> הוא רב בית כנסת בבני ברק, ובשנת תשנ"ח כתב שהוא בדק ומצא שאין חיבור בתים בין תל אביב ליפו. הוא גם הטיל ספק אם יפו אכן </w:t>
      </w:r>
      <w:proofErr w:type="spellStart"/>
      <w:r>
        <w:rPr>
          <w:rFonts w:hint="cs"/>
          <w:rtl/>
        </w:rPr>
        <w:t>היתה</w:t>
      </w:r>
      <w:proofErr w:type="spellEnd"/>
      <w:r>
        <w:rPr>
          <w:rFonts w:hint="cs"/>
          <w:rtl/>
        </w:rPr>
        <w:t xml:space="preserve">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 xml:space="preserve">. לדבריו, לא ידוע על מסורת על אודות היות יפו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 והיא לא נמנתה בספר יהושע ברשימת ערי הנחלות של שבט יהודה (יהושע טו, כ-</w:t>
      </w:r>
      <w:proofErr w:type="spellStart"/>
      <w:r>
        <w:rPr>
          <w:rFonts w:hint="cs"/>
          <w:rtl/>
        </w:rPr>
        <w:t>סג</w:t>
      </w:r>
      <w:proofErr w:type="spellEnd"/>
      <w:r>
        <w:rPr>
          <w:rFonts w:hint="cs"/>
          <w:rtl/>
        </w:rPr>
        <w:t xml:space="preserve">), אלא נזכרה כעיר גבול בין שבט דן לשבט יהודה (יהושע </w:t>
      </w:r>
      <w:proofErr w:type="spellStart"/>
      <w:r>
        <w:rPr>
          <w:rFonts w:hint="cs"/>
          <w:rtl/>
        </w:rPr>
        <w:t>יט</w:t>
      </w:r>
      <w:proofErr w:type="spellEnd"/>
      <w:r>
        <w:rPr>
          <w:rFonts w:hint="cs"/>
          <w:rtl/>
        </w:rPr>
        <w:t xml:space="preserve">, מו). פרשנותו לדברי ר' שמעון בן לקיש שיהושע מנה ערי חומה (ירושלמי מגילה </w:t>
      </w:r>
      <w:r>
        <w:rPr>
          <w:rFonts w:hint="cs"/>
          <w:rtl/>
        </w:rPr>
        <w:lastRenderedPageBreak/>
        <w:t xml:space="preserve">א, א), היא שהכוונה לרשימת הערים של השבטים ולא לערי גבול. לדבריו, ניתן להסביר את מדרש ההלכה המובא בגמרא בקידושין </w:t>
      </w:r>
      <w:proofErr w:type="spellStart"/>
      <w:r>
        <w:rPr>
          <w:rFonts w:hint="cs"/>
          <w:rtl/>
        </w:rPr>
        <w:t>נז</w:t>
      </w:r>
      <w:proofErr w:type="spellEnd"/>
      <w:r>
        <w:rPr>
          <w:rFonts w:hint="cs"/>
          <w:rtl/>
        </w:rPr>
        <w:t xml:space="preserve"> ע"ב, שיפו לא </w:t>
      </w:r>
      <w:proofErr w:type="spellStart"/>
      <w:r>
        <w:rPr>
          <w:rFonts w:hint="cs"/>
          <w:rtl/>
        </w:rPr>
        <w:t>היתה</w:t>
      </w:r>
      <w:proofErr w:type="spellEnd"/>
      <w:r>
        <w:rPr>
          <w:rFonts w:hint="cs"/>
          <w:rtl/>
        </w:rPr>
        <w:t xml:space="preserve"> מוקפת חומה. מסקנתו היא:</w:t>
      </w:r>
    </w:p>
    <w:p w:rsidR="00FF6771" w:rsidRDefault="00FF6771" w:rsidP="00FF6771">
      <w:pPr>
        <w:pStyle w:val="2"/>
        <w:rPr>
          <w:rtl/>
        </w:rPr>
      </w:pPr>
      <w:r>
        <w:rPr>
          <w:rFonts w:hint="cs"/>
          <w:rtl/>
        </w:rPr>
        <w:t xml:space="preserve">ואשר על כן, לכאורה יש ביפו לכל היותר ספק </w:t>
      </w:r>
      <w:proofErr w:type="spellStart"/>
      <w:r>
        <w:rPr>
          <w:rFonts w:hint="cs"/>
          <w:rtl/>
        </w:rPr>
        <w:t>ספיקא</w:t>
      </w:r>
      <w:proofErr w:type="spellEnd"/>
      <w:r>
        <w:rPr>
          <w:rFonts w:hint="cs"/>
          <w:rtl/>
        </w:rPr>
        <w:t xml:space="preserve"> לחוש לדין </w:t>
      </w:r>
      <w:proofErr w:type="spellStart"/>
      <w:r>
        <w:rPr>
          <w:rFonts w:hint="cs"/>
          <w:rtl/>
        </w:rPr>
        <w:t>מוקפין</w:t>
      </w:r>
      <w:proofErr w:type="spellEnd"/>
      <w:r>
        <w:rPr>
          <w:rFonts w:hint="cs"/>
          <w:rtl/>
        </w:rPr>
        <w:t xml:space="preserve">... אמנם את המנהג הקיים בעיר יפו עצמה לקרוא מגילה גם ביום ט"ו </w:t>
      </w:r>
      <w:proofErr w:type="spellStart"/>
      <w:r>
        <w:rPr>
          <w:rFonts w:hint="cs"/>
          <w:rtl/>
        </w:rPr>
        <w:t>בודאי</w:t>
      </w:r>
      <w:proofErr w:type="spellEnd"/>
      <w:r>
        <w:rPr>
          <w:rFonts w:hint="cs"/>
          <w:rtl/>
        </w:rPr>
        <w:t xml:space="preserve"> אין לבטל, שהרי כידוע משמיה </w:t>
      </w:r>
      <w:proofErr w:type="spellStart"/>
      <w:r>
        <w:rPr>
          <w:rFonts w:hint="cs"/>
          <w:rtl/>
        </w:rPr>
        <w:t>דרבותינו</w:t>
      </w:r>
      <w:proofErr w:type="spellEnd"/>
      <w:r>
        <w:rPr>
          <w:rFonts w:hint="cs"/>
          <w:rtl/>
        </w:rPr>
        <w:t xml:space="preserve"> נ"ע שאין זו הנהגה ראויה לבטל שום מנהג... אבל צ"ע אם יש להמשיך הנהגת </w:t>
      </w:r>
      <w:proofErr w:type="spellStart"/>
      <w:r>
        <w:rPr>
          <w:rFonts w:hint="cs"/>
          <w:rtl/>
        </w:rPr>
        <w:t>חומרא</w:t>
      </w:r>
      <w:proofErr w:type="spellEnd"/>
      <w:r>
        <w:rPr>
          <w:rFonts w:hint="cs"/>
          <w:rtl/>
        </w:rPr>
        <w:t xml:space="preserve"> זו גם לערים הסמוכות.</w:t>
      </w:r>
      <w:r>
        <w:rPr>
          <w:rStyle w:val="a4"/>
          <w:rtl/>
        </w:rPr>
        <w:footnoteReference w:id="35"/>
      </w:r>
    </w:p>
    <w:p w:rsidR="00FF6771" w:rsidRDefault="00FF6771" w:rsidP="00FF6771">
      <w:pPr>
        <w:rPr>
          <w:rtl/>
        </w:rPr>
      </w:pPr>
      <w:r>
        <w:rPr>
          <w:rFonts w:hint="cs"/>
          <w:rtl/>
        </w:rPr>
        <w:t>באלול תשס"ז הוקם ביפו גרעין תורני. לקראת פורים תשס"ח בירר הרב אליהו מאלי, ראש הגרעין וראש ישיבת יפו, אצל זקני יפו על מנהגם, והם טענו שהם לא זוכרים שנהגו לקרוא מגילה ביפו גם בט"ו באדר. לדבריהם המנהג בבתי הכנסת ביפו הוא לקרוא בי"ד באדר בלבד. חברי הגרעין לא חידשו את מנהג מקרא מגילה גם בט"ו באדר,</w:t>
      </w:r>
      <w:r>
        <w:rPr>
          <w:rStyle w:val="a4"/>
          <w:rtl/>
        </w:rPr>
        <w:footnoteReference w:id="36"/>
      </w:r>
      <w:r>
        <w:rPr>
          <w:rFonts w:hint="cs"/>
          <w:rtl/>
        </w:rPr>
        <w:t xml:space="preserve"> עם זאת שבבתי כנסת בדרום תל אביב, נהגו לקרוא מגילה גם בט"ו באדר.</w:t>
      </w:r>
    </w:p>
    <w:p w:rsidR="00FF6771" w:rsidRDefault="00FF6771" w:rsidP="00FF6771">
      <w:pPr>
        <w:rPr>
          <w:rtl/>
        </w:rPr>
      </w:pPr>
      <w:r>
        <w:rPr>
          <w:rFonts w:hint="cs"/>
          <w:rtl/>
        </w:rPr>
        <w:t>בשנת תשע"א כתב הרב יעקב אריאל רבה של רמת גן, שמי שמעוניין לקרוא מגילה ביפו גם בט"ו באדר יעשה זאת בתנאי שהוא גר ברדיוס של ק"מ אחד מהתל העתיק של יפו.</w:t>
      </w:r>
      <w:r>
        <w:rPr>
          <w:rStyle w:val="a4"/>
          <w:rtl/>
        </w:rPr>
        <w:footnoteReference w:id="37"/>
      </w:r>
      <w:r>
        <w:rPr>
          <w:rFonts w:hint="cs"/>
          <w:rtl/>
        </w:rPr>
        <w:t xml:space="preserve"> הרב אריאל הסביר לי שחוץ מירושלים יש להתייחס לכל הערים העתיקות כספק </w:t>
      </w:r>
      <w:proofErr w:type="spellStart"/>
      <w:r>
        <w:rPr>
          <w:rFonts w:hint="cs"/>
          <w:rtl/>
        </w:rPr>
        <w:t>מוק"ח</w:t>
      </w:r>
      <w:proofErr w:type="spellEnd"/>
      <w:r>
        <w:rPr>
          <w:rFonts w:hint="cs"/>
          <w:rtl/>
        </w:rPr>
        <w:t xml:space="preserve">, ובערים מסופקות לא מחילים דין סמוך ונראה. אין אנו יודעים עד היכן הגיעה יפו, ולכן יש מקום לחשוש לכל היותר למרחב של אלפיים אמה מיפו העתיקה כסברת </w:t>
      </w:r>
      <w:proofErr w:type="spellStart"/>
      <w:r>
        <w:rPr>
          <w:rFonts w:hint="cs"/>
          <w:rtl/>
        </w:rPr>
        <w:t>הרימ"ט</w:t>
      </w:r>
      <w:proofErr w:type="spellEnd"/>
      <w:r>
        <w:rPr>
          <w:rFonts w:hint="cs"/>
          <w:rtl/>
        </w:rPr>
        <w:t xml:space="preserve"> ביחס לירושלים. אמנם דעתו של </w:t>
      </w:r>
      <w:proofErr w:type="spellStart"/>
      <w:r>
        <w:rPr>
          <w:rFonts w:hint="cs"/>
          <w:rtl/>
        </w:rPr>
        <w:t>הרימ"ט</w:t>
      </w:r>
      <w:proofErr w:type="spellEnd"/>
      <w:r>
        <w:rPr>
          <w:rFonts w:hint="cs"/>
          <w:rtl/>
        </w:rPr>
        <w:t xml:space="preserve"> לא התקבלה בירושלים משום שירושלים היא ודאי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 אך בעיר מסופקת יש מקום לקבל את דעתו, אך אין לחשוש ליותר מזה.</w:t>
      </w:r>
      <w:r>
        <w:rPr>
          <w:rStyle w:val="a4"/>
          <w:rtl/>
        </w:rPr>
        <w:footnoteReference w:id="38"/>
      </w:r>
    </w:p>
    <w:p w:rsidR="00FF6771" w:rsidRDefault="00FF6771" w:rsidP="00FF6771">
      <w:pPr>
        <w:rPr>
          <w:rtl/>
        </w:rPr>
      </w:pPr>
      <w:r>
        <w:rPr>
          <w:rStyle w:val="a5"/>
          <w:rFonts w:hint="cs"/>
          <w:rtl/>
        </w:rPr>
        <w:t>סיכום:</w:t>
      </w:r>
      <w:r>
        <w:rPr>
          <w:rFonts w:hint="cs"/>
          <w:rtl/>
        </w:rPr>
        <w:t xml:space="preserve"> ביפו קראו מגילה גם בט"ו באדר עד שהישוב היהודי התפרק בעקבות מאורעות תרצ"ו. גם בשכונות הדרומיות של תל אביב הסמוכה, היו שקראו מגילה גם בט"ו באדר. יתכן שתושבי העיר תל אביב החדשה הרגישו בתחילה כחלק מיפו, ומאחר שביפו נהגו לקרוא גם בט"ו באדר – אף הם עשו כן, אך במשך השנים פחת מספרם של הנוהגים כן. יתכן שגם היחלשות המנהג לקרוא ביפו גם בט"ו באדר, גרם לכך שבתל אביב פסקו מלקרוא גם בט"ו באדר. עם התחדשות הישוב היהודי ביפו לאחר מלחמת השחרור, קראו ביפו בי"ד באדר בלבד. </w:t>
      </w:r>
    </w:p>
    <w:p w:rsidR="004F196B" w:rsidRDefault="00E87ADB"/>
    <w:sectPr w:rsidR="004F196B" w:rsidSect="00A07BC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ADB" w:rsidRDefault="00E87ADB" w:rsidP="00FF6771">
      <w:pPr>
        <w:spacing w:after="0" w:line="240" w:lineRule="auto"/>
      </w:pPr>
      <w:r>
        <w:separator/>
      </w:r>
    </w:p>
  </w:endnote>
  <w:endnote w:type="continuationSeparator" w:id="0">
    <w:p w:rsidR="00E87ADB" w:rsidRDefault="00E87ADB" w:rsidP="00FF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Times New Roman">
    <w:panose1 w:val="02020603050405020304"/>
    <w:charset w:val="00"/>
    <w:family w:val="roman"/>
    <w:pitch w:val="variable"/>
    <w:sig w:usb0="20002A87" w:usb1="80000000" w:usb2="00000008" w:usb3="00000000" w:csb0="000001FF" w:csb1="00000000"/>
  </w:font>
  <w:font w:name="FbSfaradiMedium">
    <w:panose1 w:val="00000000000000000000"/>
    <w:charset w:val="B1"/>
    <w:family w:val="auto"/>
    <w:notTrueType/>
    <w:pitch w:val="default"/>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ADB" w:rsidRDefault="00E87ADB" w:rsidP="00FF6771">
      <w:pPr>
        <w:spacing w:after="0" w:line="240" w:lineRule="auto"/>
      </w:pPr>
      <w:r>
        <w:separator/>
      </w:r>
    </w:p>
  </w:footnote>
  <w:footnote w:type="continuationSeparator" w:id="0">
    <w:p w:rsidR="00E87ADB" w:rsidRDefault="00E87ADB" w:rsidP="00FF6771">
      <w:pPr>
        <w:spacing w:after="0" w:line="240" w:lineRule="auto"/>
      </w:pPr>
      <w:r>
        <w:continuationSeparator/>
      </w:r>
    </w:p>
  </w:footnote>
  <w:footnote w:id="1">
    <w:p w:rsidR="00FF6771" w:rsidRDefault="00FF6771" w:rsidP="00FF6771">
      <w:pPr>
        <w:pStyle w:val="4"/>
        <w:rPr>
          <w:rtl/>
        </w:rPr>
      </w:pPr>
      <w:r>
        <w:rPr>
          <w:vertAlign w:val="superscript"/>
          <w:rtl/>
        </w:rPr>
        <w:footnoteRef/>
      </w:r>
      <w:r>
        <w:rPr>
          <w:rFonts w:hint="cs"/>
          <w:rtl/>
        </w:rPr>
        <w:t>.</w:t>
      </w:r>
      <w:r>
        <w:rPr>
          <w:rtl/>
        </w:rPr>
        <w:tab/>
      </w:r>
      <w:r>
        <w:rPr>
          <w:rFonts w:hint="cs"/>
          <w:rtl/>
        </w:rPr>
        <w:t>דברי הימים ב, טו; עזרא ג, ז. בעתיקות יפו נמצאו שרידי חומה וביצורים מתקופת הברזל והברונזה המאוחרת. ראה: האנציקלופדיה החדשה לחפירות ארכיאולוגיות בארץ ישראל</w:t>
      </w:r>
      <w:r>
        <w:rPr>
          <w:rFonts w:hint="cs"/>
          <w:rtl/>
        </w:rPr>
        <w:t xml:space="preserve"> </w:t>
      </w:r>
      <w:r>
        <w:rPr>
          <w:rFonts w:hint="cs"/>
          <w:rtl/>
        </w:rPr>
        <w:t xml:space="preserve">(עורך: אפרים שטרן), ירושלים תשנ"ב, חלק ב, עמ' 592-586; יואב ארבל, מרטין </w:t>
      </w:r>
      <w:proofErr w:type="spellStart"/>
      <w:r>
        <w:rPr>
          <w:rFonts w:hint="cs"/>
          <w:rtl/>
        </w:rPr>
        <w:t>פיילשטוקר</w:t>
      </w:r>
      <w:proofErr w:type="spellEnd"/>
      <w:r>
        <w:rPr>
          <w:rFonts w:hint="cs"/>
          <w:rtl/>
        </w:rPr>
        <w:t xml:space="preserve">, "העיר התחתונה של יפו", קדמוניות, 137 (תשס"ט), עמ' 42-31. </w:t>
      </w:r>
    </w:p>
  </w:footnote>
  <w:footnote w:id="2">
    <w:p w:rsidR="00FF6771" w:rsidRDefault="00FF6771" w:rsidP="00FF6771">
      <w:pPr>
        <w:pStyle w:val="4"/>
        <w:rPr>
          <w:rtl/>
        </w:rPr>
      </w:pPr>
      <w:r>
        <w:rPr>
          <w:vertAlign w:val="superscript"/>
          <w:rtl/>
        </w:rPr>
        <w:footnoteRef/>
      </w:r>
      <w:r>
        <w:rPr>
          <w:rFonts w:hint="cs"/>
          <w:rtl/>
        </w:rPr>
        <w:t>.</w:t>
      </w:r>
      <w:r>
        <w:rPr>
          <w:rtl/>
        </w:rPr>
        <w:tab/>
      </w:r>
      <w:r>
        <w:rPr>
          <w:rFonts w:hint="cs"/>
          <w:rtl/>
        </w:rPr>
        <w:t xml:space="preserve">כך פירשו: הרב שמשון </w:t>
      </w:r>
      <w:proofErr w:type="spellStart"/>
      <w:r>
        <w:rPr>
          <w:rFonts w:hint="cs"/>
          <w:rtl/>
        </w:rPr>
        <w:t>משאנץ</w:t>
      </w:r>
      <w:proofErr w:type="spellEnd"/>
      <w:r>
        <w:rPr>
          <w:rFonts w:hint="cs"/>
          <w:rtl/>
        </w:rPr>
        <w:t xml:space="preserve"> במשנה שם, ופרשני משנה נוספים. ראה גם: </w:t>
      </w:r>
      <w:proofErr w:type="spellStart"/>
      <w:r>
        <w:rPr>
          <w:rFonts w:hint="cs"/>
          <w:rtl/>
        </w:rPr>
        <w:t>תוס</w:t>
      </w:r>
      <w:proofErr w:type="spellEnd"/>
      <w:r>
        <w:rPr>
          <w:rFonts w:hint="cs"/>
          <w:rtl/>
        </w:rPr>
        <w:t xml:space="preserve">' ערכין לב ע"ב וקדשו; רמב"ם הל' טומאת צרעת י, ז; הל' שמיטה ויובל </w:t>
      </w:r>
      <w:proofErr w:type="spellStart"/>
      <w:r>
        <w:rPr>
          <w:rFonts w:hint="cs"/>
          <w:rtl/>
        </w:rPr>
        <w:t>יב</w:t>
      </w:r>
      <w:proofErr w:type="spellEnd"/>
      <w:r>
        <w:rPr>
          <w:rFonts w:hint="cs"/>
          <w:rtl/>
        </w:rPr>
        <w:t xml:space="preserve">, טז; הל' בית הבחירה ז, </w:t>
      </w:r>
      <w:proofErr w:type="spellStart"/>
      <w:r>
        <w:rPr>
          <w:rFonts w:hint="cs"/>
          <w:rtl/>
        </w:rPr>
        <w:t>יג</w:t>
      </w:r>
      <w:proofErr w:type="spellEnd"/>
      <w:r>
        <w:rPr>
          <w:rFonts w:hint="cs"/>
          <w:rtl/>
        </w:rPr>
        <w:t xml:space="preserve">, ובמפרשים שם. </w:t>
      </w:r>
    </w:p>
  </w:footnote>
  <w:footnote w:id="3">
    <w:p w:rsidR="00FF6771" w:rsidRDefault="00FF6771" w:rsidP="00FF6771">
      <w:pPr>
        <w:pStyle w:val="4"/>
        <w:rPr>
          <w:rtl/>
        </w:rPr>
      </w:pPr>
      <w:r>
        <w:rPr>
          <w:vertAlign w:val="superscript"/>
          <w:rtl/>
        </w:rPr>
        <w:footnoteRef/>
      </w:r>
      <w:r>
        <w:rPr>
          <w:rFonts w:hint="cs"/>
          <w:rtl/>
        </w:rPr>
        <w:t>.</w:t>
      </w:r>
      <w:r>
        <w:rPr>
          <w:rtl/>
        </w:rPr>
        <w:tab/>
      </w:r>
      <w:r>
        <w:rPr>
          <w:rFonts w:hint="cs"/>
          <w:rtl/>
        </w:rPr>
        <w:t xml:space="preserve">ספרא ויקרא יד, כח. מדרש הלכה זה נזכר גם בגמ' בקידושין </w:t>
      </w:r>
      <w:proofErr w:type="spellStart"/>
      <w:r>
        <w:rPr>
          <w:rFonts w:hint="cs"/>
          <w:rtl/>
        </w:rPr>
        <w:t>נז</w:t>
      </w:r>
      <w:proofErr w:type="spellEnd"/>
      <w:r>
        <w:rPr>
          <w:rFonts w:hint="cs"/>
          <w:rtl/>
        </w:rPr>
        <w:t xml:space="preserve"> ע"ב. </w:t>
      </w:r>
    </w:p>
  </w:footnote>
  <w:footnote w:id="4">
    <w:p w:rsidR="00FF6771" w:rsidRDefault="00FF6771" w:rsidP="00FF6771">
      <w:pPr>
        <w:pStyle w:val="4"/>
        <w:rPr>
          <w:rtl/>
        </w:rPr>
      </w:pPr>
      <w:r>
        <w:rPr>
          <w:vertAlign w:val="superscript"/>
          <w:rtl/>
        </w:rPr>
        <w:footnoteRef/>
      </w:r>
      <w:r>
        <w:rPr>
          <w:rFonts w:hint="cs"/>
          <w:rtl/>
        </w:rPr>
        <w:t>.</w:t>
      </w:r>
      <w:r>
        <w:rPr>
          <w:rtl/>
        </w:rPr>
        <w:tab/>
      </w:r>
      <w:r>
        <w:rPr>
          <w:rFonts w:hint="cs"/>
          <w:rtl/>
        </w:rPr>
        <w:t xml:space="preserve">מסקנה זו ממדרש ההלכה שהובא בגמרא בקידושין, הסיקו: הרב יעקב גולדמן, בני אשר, יפו תרפ"ד, עמ' 120; הרב צבי יהודה קוק, טוב רואי – קידושין, ירושלים תשמ"ו, עמ' </w:t>
      </w:r>
      <w:proofErr w:type="spellStart"/>
      <w:r>
        <w:rPr>
          <w:rFonts w:hint="cs"/>
          <w:rtl/>
        </w:rPr>
        <w:t>קפו</w:t>
      </w:r>
      <w:proofErr w:type="spellEnd"/>
      <w:r>
        <w:rPr>
          <w:rFonts w:hint="cs"/>
          <w:rtl/>
        </w:rPr>
        <w:t xml:space="preserve">, בשם אביו </w:t>
      </w:r>
      <w:proofErr w:type="spellStart"/>
      <w:r>
        <w:rPr>
          <w:rFonts w:hint="cs"/>
          <w:rtl/>
        </w:rPr>
        <w:t>הראי"ה</w:t>
      </w:r>
      <w:proofErr w:type="spellEnd"/>
      <w:r>
        <w:rPr>
          <w:rFonts w:hint="cs"/>
          <w:rtl/>
        </w:rPr>
        <w:t xml:space="preserve"> קוק; הרב צבי פסח פרנק, שו"ת הר צבי, אבן העזר, חלק ב, ירושלים תשס"ד, סימן </w:t>
      </w:r>
      <w:proofErr w:type="spellStart"/>
      <w:r>
        <w:rPr>
          <w:rFonts w:hint="cs"/>
          <w:rtl/>
        </w:rPr>
        <w:t>קכט</w:t>
      </w:r>
      <w:proofErr w:type="spellEnd"/>
      <w:r>
        <w:rPr>
          <w:rFonts w:hint="cs"/>
          <w:rtl/>
        </w:rPr>
        <w:t xml:space="preserve">; הרב יוסף שלום אלישיב, הערות במסכת קידושין, ירושלים תשנ"ט, עמ' שא. לא </w:t>
      </w:r>
      <w:proofErr w:type="spellStart"/>
      <w:r>
        <w:rPr>
          <w:rFonts w:hint="cs"/>
          <w:rtl/>
        </w:rPr>
        <w:t>הכל</w:t>
      </w:r>
      <w:proofErr w:type="spellEnd"/>
      <w:r>
        <w:rPr>
          <w:rFonts w:hint="cs"/>
          <w:rtl/>
        </w:rPr>
        <w:t xml:space="preserve"> קיבלו את ההוכחה מגמרא זו, ראה: הרב אריאל </w:t>
      </w:r>
      <w:proofErr w:type="spellStart"/>
      <w:r>
        <w:rPr>
          <w:rFonts w:hint="cs"/>
          <w:rtl/>
        </w:rPr>
        <w:t>בוקוולד</w:t>
      </w:r>
      <w:proofErr w:type="spellEnd"/>
      <w:r>
        <w:rPr>
          <w:rFonts w:hint="cs"/>
          <w:rtl/>
        </w:rPr>
        <w:t xml:space="preserve">, </w:t>
      </w:r>
      <w:proofErr w:type="spellStart"/>
      <w:r>
        <w:rPr>
          <w:rFonts w:hint="cs"/>
          <w:rtl/>
        </w:rPr>
        <w:t>קרית</w:t>
      </w:r>
      <w:proofErr w:type="spellEnd"/>
      <w:r>
        <w:rPr>
          <w:rFonts w:hint="cs"/>
          <w:rtl/>
        </w:rPr>
        <w:t xml:space="preserve"> אריאל, בני ברק תשנ"ח, עמ' שיד.</w:t>
      </w:r>
    </w:p>
  </w:footnote>
  <w:footnote w:id="5">
    <w:p w:rsidR="00FF6771" w:rsidRDefault="00FF6771" w:rsidP="00FF6771">
      <w:pPr>
        <w:pStyle w:val="4"/>
        <w:rPr>
          <w:rtl/>
        </w:rPr>
      </w:pPr>
      <w:r>
        <w:rPr>
          <w:vertAlign w:val="superscript"/>
          <w:rtl/>
        </w:rPr>
        <w:footnoteRef/>
      </w:r>
      <w:r>
        <w:rPr>
          <w:rFonts w:hint="cs"/>
          <w:rtl/>
        </w:rPr>
        <w:t>.</w:t>
      </w:r>
      <w:r>
        <w:rPr>
          <w:rtl/>
        </w:rPr>
        <w:tab/>
      </w:r>
      <w:r>
        <w:rPr>
          <w:rFonts w:hint="cs"/>
          <w:rtl/>
        </w:rPr>
        <w:t xml:space="preserve">ספרא ויקרא יד, מ. </w:t>
      </w:r>
    </w:p>
  </w:footnote>
  <w:footnote w:id="6">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מאיר שמחה הכהן </w:t>
      </w:r>
      <w:proofErr w:type="spellStart"/>
      <w:r>
        <w:rPr>
          <w:rFonts w:hint="cs"/>
          <w:rtl/>
        </w:rPr>
        <w:t>מדוינסק</w:t>
      </w:r>
      <w:proofErr w:type="spellEnd"/>
      <w:r>
        <w:rPr>
          <w:rFonts w:hint="cs"/>
          <w:rtl/>
        </w:rPr>
        <w:t xml:space="preserve">, משך חכמה, ויקרא יד, מ. בפרשנותו למדרש זה הוא יישב את תמיהתו של המשנה למלך על הרמב"ם הל' טומאת צרעת יא, א שתמה מה המקור לכך ששילוח הציפור חייב להיעשות מתוך עיר </w:t>
      </w:r>
      <w:proofErr w:type="spellStart"/>
      <w:r>
        <w:rPr>
          <w:rFonts w:hint="cs"/>
          <w:rtl/>
        </w:rPr>
        <w:t>מוק"ח</w:t>
      </w:r>
      <w:proofErr w:type="spellEnd"/>
      <w:r>
        <w:rPr>
          <w:rFonts w:hint="cs"/>
          <w:rtl/>
        </w:rPr>
        <w:t xml:space="preserve"> מימות </w:t>
      </w:r>
      <w:proofErr w:type="spellStart"/>
      <w:r>
        <w:rPr>
          <w:rFonts w:hint="cs"/>
          <w:rtl/>
        </w:rPr>
        <w:t>יב"ן</w:t>
      </w:r>
      <w:proofErr w:type="spellEnd"/>
      <w:r>
        <w:rPr>
          <w:rFonts w:hint="cs"/>
          <w:rtl/>
        </w:rPr>
        <w:t xml:space="preserve">. מדרש זה שונה מהסבר </w:t>
      </w:r>
      <w:proofErr w:type="spellStart"/>
      <w:r>
        <w:rPr>
          <w:rFonts w:hint="cs"/>
          <w:rtl/>
        </w:rPr>
        <w:t>התוס</w:t>
      </w:r>
      <w:proofErr w:type="spellEnd"/>
      <w:r>
        <w:rPr>
          <w:rFonts w:hint="cs"/>
          <w:rtl/>
        </w:rPr>
        <w:t xml:space="preserve">' (קידושין </w:t>
      </w:r>
      <w:proofErr w:type="spellStart"/>
      <w:r>
        <w:rPr>
          <w:rFonts w:hint="cs"/>
          <w:rtl/>
        </w:rPr>
        <w:t>נז</w:t>
      </w:r>
      <w:proofErr w:type="spellEnd"/>
      <w:r>
        <w:rPr>
          <w:rFonts w:hint="cs"/>
          <w:rtl/>
        </w:rPr>
        <w:t xml:space="preserve"> ע"ב ד"ה כל) שהסביר שלאחר טהרת המצורע היה: "הכהן נושאה או הוא או שלוחו לעיר ומשלחה חוץ לעיר". </w:t>
      </w:r>
    </w:p>
    <w:p w:rsidR="00FF6771" w:rsidRDefault="00FF6771" w:rsidP="00FF6771">
      <w:pPr>
        <w:pStyle w:val="4"/>
        <w:rPr>
          <w:rtl/>
        </w:rPr>
      </w:pPr>
    </w:p>
  </w:footnote>
  <w:footnote w:id="7">
    <w:p w:rsidR="00FF6771" w:rsidRDefault="00FF6771" w:rsidP="00FF6771">
      <w:pPr>
        <w:pStyle w:val="4"/>
        <w:rPr>
          <w:rtl/>
        </w:rPr>
      </w:pPr>
      <w:r>
        <w:rPr>
          <w:vertAlign w:val="superscript"/>
          <w:rtl/>
        </w:rPr>
        <w:footnoteRef/>
      </w:r>
      <w:r>
        <w:rPr>
          <w:rFonts w:hint="cs"/>
          <w:rtl/>
        </w:rPr>
        <w:t>.</w:t>
      </w:r>
      <w:r>
        <w:rPr>
          <w:rtl/>
        </w:rPr>
        <w:tab/>
      </w:r>
      <w:r>
        <w:rPr>
          <w:rFonts w:hint="cs"/>
          <w:rtl/>
        </w:rPr>
        <w:t xml:space="preserve">דבריו מופיעים אצל: הרב נפתלי הרץ הלוי, סידור </w:t>
      </w:r>
      <w:proofErr w:type="spellStart"/>
      <w:r>
        <w:rPr>
          <w:rFonts w:hint="cs"/>
          <w:rtl/>
        </w:rPr>
        <w:t>הגר"א</w:t>
      </w:r>
      <w:proofErr w:type="spellEnd"/>
      <w:r>
        <w:rPr>
          <w:rFonts w:hint="cs"/>
          <w:rtl/>
        </w:rPr>
        <w:t>, ירושלים תרנ"ה, חלק ב, דף קנט ע"ב-</w:t>
      </w:r>
      <w:proofErr w:type="spellStart"/>
      <w:r>
        <w:rPr>
          <w:rFonts w:hint="cs"/>
          <w:rtl/>
        </w:rPr>
        <w:t>קס</w:t>
      </w:r>
      <w:proofErr w:type="spellEnd"/>
      <w:r>
        <w:rPr>
          <w:rFonts w:hint="cs"/>
          <w:rtl/>
        </w:rPr>
        <w:t xml:space="preserve"> ע"א. </w:t>
      </w:r>
    </w:p>
  </w:footnote>
  <w:footnote w:id="8">
    <w:p w:rsidR="00FF6771" w:rsidRDefault="00FF6771" w:rsidP="00FF6771">
      <w:pPr>
        <w:pStyle w:val="4"/>
        <w:rPr>
          <w:rtl/>
        </w:rPr>
      </w:pPr>
      <w:r>
        <w:rPr>
          <w:vertAlign w:val="superscript"/>
          <w:rtl/>
        </w:rPr>
        <w:footnoteRef/>
      </w:r>
      <w:r>
        <w:rPr>
          <w:rFonts w:hint="cs"/>
          <w:rtl/>
        </w:rPr>
        <w:t>.</w:t>
      </w:r>
      <w:r>
        <w:rPr>
          <w:rtl/>
        </w:rPr>
        <w:tab/>
      </w:r>
      <w:proofErr w:type="spellStart"/>
      <w:r>
        <w:rPr>
          <w:rFonts w:hint="cs"/>
          <w:rtl/>
        </w:rPr>
        <w:t>הרימ"ט</w:t>
      </w:r>
      <w:proofErr w:type="spellEnd"/>
      <w:r>
        <w:rPr>
          <w:rFonts w:hint="cs"/>
          <w:rtl/>
        </w:rPr>
        <w:t xml:space="preserve">, לוח לארץ ישראל לשנת תרס"ה, ירושלים תרס"ד, עמ' 33-32. כך כתב גם </w:t>
      </w:r>
      <w:proofErr w:type="spellStart"/>
      <w:r>
        <w:rPr>
          <w:rFonts w:hint="cs"/>
          <w:rtl/>
        </w:rPr>
        <w:t>הרימ"ט</w:t>
      </w:r>
      <w:proofErr w:type="spellEnd"/>
      <w:r>
        <w:rPr>
          <w:rFonts w:hint="cs"/>
          <w:rtl/>
        </w:rPr>
        <w:t xml:space="preserve">, ספר ארץ ישראל, ירושלים תשט"ו, עמ' מד. </w:t>
      </w:r>
    </w:p>
  </w:footnote>
  <w:footnote w:id="9">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היוזמה והדחיפה להוציא לוח זה, באה מהרב אליהו דוד </w:t>
      </w:r>
      <w:proofErr w:type="spellStart"/>
      <w:r>
        <w:rPr>
          <w:rFonts w:hint="cs"/>
          <w:rtl/>
        </w:rPr>
        <w:t>רבינוביץ</w:t>
      </w:r>
      <w:proofErr w:type="spellEnd"/>
      <w:r>
        <w:rPr>
          <w:rFonts w:hint="cs"/>
          <w:rtl/>
        </w:rPr>
        <w:t xml:space="preserve">', </w:t>
      </w:r>
      <w:proofErr w:type="spellStart"/>
      <w:r>
        <w:rPr>
          <w:rFonts w:hint="cs"/>
          <w:rtl/>
        </w:rPr>
        <w:t>האדר"ת</w:t>
      </w:r>
      <w:proofErr w:type="spellEnd"/>
      <w:r>
        <w:rPr>
          <w:rFonts w:hint="cs"/>
          <w:rtl/>
        </w:rPr>
        <w:t xml:space="preserve">, רבה של ירושלים באותה עת, כפי שהוא מעיד במכתבו: "הלוח החדש שנדפס בפה מיוסד רק לארץ הקודש לבד </w:t>
      </w:r>
      <w:proofErr w:type="spellStart"/>
      <w:r>
        <w:rPr>
          <w:rFonts w:hint="cs"/>
          <w:rtl/>
        </w:rPr>
        <w:t>להפיצם</w:t>
      </w:r>
      <w:proofErr w:type="spellEnd"/>
      <w:r>
        <w:rPr>
          <w:rFonts w:hint="cs"/>
          <w:rtl/>
        </w:rPr>
        <w:t xml:space="preserve"> בבתי כנסיות... ואני ציותי </w:t>
      </w:r>
      <w:proofErr w:type="spellStart"/>
      <w:r>
        <w:rPr>
          <w:rFonts w:hint="cs"/>
          <w:rtl/>
        </w:rPr>
        <w:t>להרימ"ט</w:t>
      </w:r>
      <w:proofErr w:type="spellEnd"/>
      <w:r>
        <w:rPr>
          <w:rFonts w:hint="cs"/>
          <w:rtl/>
        </w:rPr>
        <w:t xml:space="preserve"> לחבר לוח זה" (בתוך: אגרות </w:t>
      </w:r>
      <w:proofErr w:type="spellStart"/>
      <w:r>
        <w:rPr>
          <w:rFonts w:hint="cs"/>
          <w:rtl/>
        </w:rPr>
        <w:t>לראי"ה</w:t>
      </w:r>
      <w:proofErr w:type="spellEnd"/>
      <w:r>
        <w:rPr>
          <w:rFonts w:hint="cs"/>
          <w:rtl/>
        </w:rPr>
        <w:t xml:space="preserve"> [עורך: בן ציון שפירא], ירושלים </w:t>
      </w:r>
      <w:proofErr w:type="spellStart"/>
      <w:r>
        <w:rPr>
          <w:rFonts w:hint="cs"/>
          <w:rtl/>
        </w:rPr>
        <w:t>תש"ן</w:t>
      </w:r>
      <w:proofErr w:type="spellEnd"/>
      <w:r>
        <w:rPr>
          <w:rFonts w:hint="cs"/>
          <w:rtl/>
        </w:rPr>
        <w:t xml:space="preserve">, עמ' מו). על יוזמה זו מעיד גם בנו הרב ניסן אהרון </w:t>
      </w:r>
      <w:proofErr w:type="spellStart"/>
      <w:r>
        <w:rPr>
          <w:rFonts w:hint="cs"/>
          <w:rtl/>
        </w:rPr>
        <w:t>טוקצינסקי</w:t>
      </w:r>
      <w:proofErr w:type="spellEnd"/>
      <w:r>
        <w:rPr>
          <w:rFonts w:hint="cs"/>
          <w:rtl/>
        </w:rPr>
        <w:t>, בפתח דבריו בלוח הראשון שלאחר פטירת אביו, לוח לארץ ישראל לשנת תשט"ז, עמ' 3.</w:t>
      </w:r>
    </w:p>
  </w:footnote>
  <w:footnote w:id="10">
    <w:p w:rsidR="00FF6771" w:rsidRDefault="00FF6771" w:rsidP="00FF6771">
      <w:pPr>
        <w:pStyle w:val="4"/>
        <w:rPr>
          <w:rtl/>
        </w:rPr>
      </w:pPr>
      <w:r>
        <w:rPr>
          <w:vertAlign w:val="superscript"/>
          <w:rtl/>
        </w:rPr>
        <w:footnoteRef/>
      </w:r>
      <w:r>
        <w:rPr>
          <w:rFonts w:hint="cs"/>
          <w:rtl/>
        </w:rPr>
        <w:t>.</w:t>
      </w:r>
      <w:r>
        <w:rPr>
          <w:rtl/>
        </w:rPr>
        <w:tab/>
      </w:r>
      <w:proofErr w:type="spellStart"/>
      <w:r>
        <w:rPr>
          <w:rFonts w:hint="cs"/>
          <w:rtl/>
        </w:rPr>
        <w:t>הרימ"ט</w:t>
      </w:r>
      <w:proofErr w:type="spellEnd"/>
      <w:r>
        <w:rPr>
          <w:rFonts w:hint="cs"/>
          <w:rtl/>
        </w:rPr>
        <w:t xml:space="preserve">, עיר הקדש והמקדש, ירושלים תשכ"ט, חלק ג, עמ' שפא. </w:t>
      </w:r>
    </w:p>
  </w:footnote>
  <w:footnote w:id="11">
    <w:p w:rsidR="00FF6771" w:rsidRDefault="00FF6771" w:rsidP="00FF6771">
      <w:pPr>
        <w:pStyle w:val="4"/>
        <w:rPr>
          <w:rtl/>
        </w:rPr>
      </w:pPr>
      <w:r>
        <w:rPr>
          <w:vertAlign w:val="superscript"/>
          <w:rtl/>
        </w:rPr>
        <w:footnoteRef/>
      </w:r>
      <w:r>
        <w:rPr>
          <w:rFonts w:hint="cs"/>
          <w:rtl/>
        </w:rPr>
        <w:t>.</w:t>
      </w:r>
      <w:r>
        <w:rPr>
          <w:rtl/>
        </w:rPr>
        <w:tab/>
      </w:r>
      <w:proofErr w:type="spellStart"/>
      <w:r>
        <w:rPr>
          <w:rFonts w:hint="cs"/>
          <w:rtl/>
        </w:rPr>
        <w:t>הראי"ה</w:t>
      </w:r>
      <w:proofErr w:type="spellEnd"/>
      <w:r>
        <w:rPr>
          <w:rFonts w:hint="cs"/>
          <w:rtl/>
        </w:rPr>
        <w:t xml:space="preserve"> קוק, אגרות </w:t>
      </w:r>
      <w:proofErr w:type="spellStart"/>
      <w:r>
        <w:rPr>
          <w:rFonts w:hint="cs"/>
          <w:rtl/>
        </w:rPr>
        <w:t>הראי"ה</w:t>
      </w:r>
      <w:proofErr w:type="spellEnd"/>
      <w:r>
        <w:rPr>
          <w:rFonts w:hint="cs"/>
          <w:rtl/>
        </w:rPr>
        <w:t xml:space="preserve">, חלק א, ירושלים תשכ"ב, עמ' לה, במכתב מג' במרחשוון תרס"ז: "פה עיה"ק יפו ת"ו יש לחבב מצד שהיא גבול המסומן בתורתנו הקדושה 'גבול ים' (במדבר לד, ו), ומצד שבה הלך יונה הנביא... בה הובאו הדוברות לשלמה המלך </w:t>
      </w:r>
      <w:proofErr w:type="spellStart"/>
      <w:r>
        <w:rPr>
          <w:rFonts w:hint="cs"/>
          <w:rtl/>
        </w:rPr>
        <w:t>לבנין</w:t>
      </w:r>
      <w:proofErr w:type="spellEnd"/>
      <w:r>
        <w:rPr>
          <w:rFonts w:hint="cs"/>
          <w:rtl/>
        </w:rPr>
        <w:t xml:space="preserve"> המקדש... נעשה הנס </w:t>
      </w:r>
      <w:proofErr w:type="spellStart"/>
      <w:r>
        <w:rPr>
          <w:rFonts w:hint="cs"/>
          <w:rtl/>
        </w:rPr>
        <w:t>לניקנור</w:t>
      </w:r>
      <w:proofErr w:type="spellEnd"/>
      <w:r>
        <w:rPr>
          <w:rFonts w:hint="cs"/>
          <w:rtl/>
        </w:rPr>
        <w:t xml:space="preserve"> פה עיה"ק בנמל יפו". </w:t>
      </w:r>
    </w:p>
  </w:footnote>
  <w:footnote w:id="12">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צבי יהודה קוק, טוב רואי – קידושין, ירושלים תשמ"ו, עמ' </w:t>
      </w:r>
      <w:proofErr w:type="spellStart"/>
      <w:r>
        <w:rPr>
          <w:rFonts w:hint="cs"/>
          <w:rtl/>
        </w:rPr>
        <w:t>קפו</w:t>
      </w:r>
      <w:proofErr w:type="spellEnd"/>
      <w:r>
        <w:rPr>
          <w:rFonts w:hint="cs"/>
          <w:rtl/>
        </w:rPr>
        <w:t xml:space="preserve">, בשם אביו </w:t>
      </w:r>
      <w:proofErr w:type="spellStart"/>
      <w:r>
        <w:rPr>
          <w:rFonts w:hint="cs"/>
          <w:rtl/>
        </w:rPr>
        <w:t>הראי"ה</w:t>
      </w:r>
      <w:proofErr w:type="spellEnd"/>
      <w:r>
        <w:rPr>
          <w:rFonts w:hint="cs"/>
          <w:rtl/>
        </w:rPr>
        <w:t xml:space="preserve"> קוק.</w:t>
      </w:r>
    </w:p>
  </w:footnote>
  <w:footnote w:id="13">
    <w:p w:rsidR="00FF6771" w:rsidRDefault="00FF6771" w:rsidP="00FF6771">
      <w:pPr>
        <w:pStyle w:val="4"/>
        <w:rPr>
          <w:rtl/>
        </w:rPr>
      </w:pPr>
      <w:r>
        <w:rPr>
          <w:vertAlign w:val="superscript"/>
          <w:rtl/>
        </w:rPr>
        <w:footnoteRef/>
      </w:r>
      <w:r>
        <w:rPr>
          <w:rFonts w:hint="cs"/>
          <w:rtl/>
        </w:rPr>
        <w:t>.</w:t>
      </w:r>
      <w:r>
        <w:rPr>
          <w:rtl/>
        </w:rPr>
        <w:tab/>
      </w:r>
      <w:r>
        <w:rPr>
          <w:rFonts w:hint="cs"/>
          <w:rtl/>
        </w:rPr>
        <w:t>הרב יעקב גולדמן, בני אשר, יפו תרפ"ד, עמ' 120.</w:t>
      </w:r>
    </w:p>
  </w:footnote>
  <w:footnote w:id="14">
    <w:p w:rsidR="00FF6771" w:rsidRDefault="00FF6771" w:rsidP="00FF6771">
      <w:pPr>
        <w:pStyle w:val="4"/>
        <w:rPr>
          <w:rtl/>
        </w:rPr>
      </w:pPr>
      <w:r>
        <w:rPr>
          <w:vertAlign w:val="superscript"/>
          <w:rtl/>
        </w:rPr>
        <w:footnoteRef/>
      </w:r>
      <w:r>
        <w:rPr>
          <w:rFonts w:hint="cs"/>
          <w:rtl/>
        </w:rPr>
        <w:t>.</w:t>
      </w:r>
      <w:r>
        <w:rPr>
          <w:rtl/>
        </w:rPr>
        <w:tab/>
      </w:r>
      <w:proofErr w:type="spellStart"/>
      <w:r>
        <w:rPr>
          <w:rFonts w:hint="cs"/>
          <w:rtl/>
        </w:rPr>
        <w:t>הרימ"ט</w:t>
      </w:r>
      <w:proofErr w:type="spellEnd"/>
      <w:r>
        <w:rPr>
          <w:rFonts w:hint="cs"/>
          <w:rtl/>
        </w:rPr>
        <w:t xml:space="preserve">, לוח לארץ ישראל לשנת תרפ"ז, ירושלים תרפ"ו, עמ' 39-38. כך הוא העיר גם בספר ארץ ישראל עמ' מה. </w:t>
      </w:r>
    </w:p>
  </w:footnote>
  <w:footnote w:id="15">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משה צבי נריה, חיי </w:t>
      </w:r>
      <w:proofErr w:type="spellStart"/>
      <w:r>
        <w:rPr>
          <w:rFonts w:hint="cs"/>
          <w:rtl/>
        </w:rPr>
        <w:t>הראי"ה</w:t>
      </w:r>
      <w:proofErr w:type="spellEnd"/>
      <w:r>
        <w:rPr>
          <w:rFonts w:hint="cs"/>
          <w:rtl/>
        </w:rPr>
        <w:t>, תל אביב תשמ"ג, עמ' רכה.</w:t>
      </w:r>
    </w:p>
  </w:footnote>
  <w:footnote w:id="16">
    <w:p w:rsidR="00FF6771" w:rsidRDefault="00FF6771" w:rsidP="00FF6771">
      <w:pPr>
        <w:pStyle w:val="4"/>
        <w:rPr>
          <w:rtl/>
        </w:rPr>
      </w:pPr>
      <w:r>
        <w:rPr>
          <w:vertAlign w:val="superscript"/>
          <w:rtl/>
        </w:rPr>
        <w:footnoteRef/>
      </w:r>
      <w:r>
        <w:rPr>
          <w:rFonts w:hint="cs"/>
          <w:rtl/>
        </w:rPr>
        <w:t>.</w:t>
      </w:r>
      <w:r>
        <w:rPr>
          <w:rtl/>
        </w:rPr>
        <w:tab/>
      </w:r>
      <w:r>
        <w:rPr>
          <w:rFonts w:hint="cs"/>
          <w:rtl/>
        </w:rPr>
        <w:t xml:space="preserve">בעמדת </w:t>
      </w:r>
      <w:proofErr w:type="spellStart"/>
      <w:r>
        <w:rPr>
          <w:rFonts w:hint="cs"/>
          <w:rtl/>
        </w:rPr>
        <w:t>הרימ"ט</w:t>
      </w:r>
      <w:proofErr w:type="spellEnd"/>
      <w:r>
        <w:rPr>
          <w:rFonts w:hint="cs"/>
          <w:rtl/>
        </w:rPr>
        <w:t xml:space="preserve">, עסקנו בפרקים ג-ד. </w:t>
      </w:r>
    </w:p>
  </w:footnote>
  <w:footnote w:id="17">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ש"י </w:t>
      </w:r>
      <w:proofErr w:type="spellStart"/>
      <w:r>
        <w:rPr>
          <w:rFonts w:hint="cs"/>
          <w:rtl/>
        </w:rPr>
        <w:t>זוין</w:t>
      </w:r>
      <w:proofErr w:type="spellEnd"/>
      <w:r>
        <w:rPr>
          <w:rFonts w:hint="cs"/>
          <w:rtl/>
        </w:rPr>
        <w:t xml:space="preserve">, "לוח לארץ ישראל", סופרים וספרים, ירושלים תשי"ט, עמ' 359-358. הספר סופרים וספרים הוא אסופה של מאמרים על סופרים וספרים שפרסם הרב </w:t>
      </w:r>
      <w:proofErr w:type="spellStart"/>
      <w:r>
        <w:rPr>
          <w:rFonts w:hint="cs"/>
          <w:rtl/>
        </w:rPr>
        <w:t>זוין</w:t>
      </w:r>
      <w:proofErr w:type="spellEnd"/>
      <w:r>
        <w:rPr>
          <w:rFonts w:hint="cs"/>
          <w:rtl/>
        </w:rPr>
        <w:t xml:space="preserve"> בעיתון 'הצופה' בין השנים תרצ"ה-תש"ג. לא הצלחנו למצוא מתי כתב הרב </w:t>
      </w:r>
      <w:proofErr w:type="spellStart"/>
      <w:r>
        <w:rPr>
          <w:rFonts w:hint="cs"/>
          <w:rtl/>
        </w:rPr>
        <w:t>זוין</w:t>
      </w:r>
      <w:proofErr w:type="spellEnd"/>
      <w:r>
        <w:rPr>
          <w:rFonts w:hint="cs"/>
          <w:rtl/>
        </w:rPr>
        <w:t xml:space="preserve"> את המאמר על הלוח לארץ ישראל. הרב </w:t>
      </w:r>
      <w:proofErr w:type="spellStart"/>
      <w:r>
        <w:rPr>
          <w:rFonts w:hint="cs"/>
          <w:rtl/>
        </w:rPr>
        <w:t>זוין</w:t>
      </w:r>
      <w:proofErr w:type="spellEnd"/>
      <w:r>
        <w:rPr>
          <w:rFonts w:hint="cs"/>
          <w:rtl/>
        </w:rPr>
        <w:t xml:space="preserve"> עצמו כתב שאכן בתל אביב יש לקרוא מגילה בי"ד באדר. ראה: הרב ש"י </w:t>
      </w:r>
      <w:proofErr w:type="spellStart"/>
      <w:r>
        <w:rPr>
          <w:rFonts w:hint="cs"/>
          <w:rtl/>
        </w:rPr>
        <w:t>זוין</w:t>
      </w:r>
      <w:proofErr w:type="spellEnd"/>
      <w:r>
        <w:rPr>
          <w:rFonts w:hint="cs"/>
          <w:rtl/>
        </w:rPr>
        <w:t xml:space="preserve">, המועדים בהלכה, ירושלים תשט"ו, עמ' </w:t>
      </w:r>
      <w:proofErr w:type="spellStart"/>
      <w:r>
        <w:rPr>
          <w:rFonts w:hint="cs"/>
          <w:rtl/>
        </w:rPr>
        <w:t>קצז</w:t>
      </w:r>
      <w:proofErr w:type="spellEnd"/>
      <w:r>
        <w:rPr>
          <w:rFonts w:hint="cs"/>
          <w:rtl/>
        </w:rPr>
        <w:t xml:space="preserve">. </w:t>
      </w:r>
    </w:p>
  </w:footnote>
  <w:footnote w:id="18">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טוביה יהודה </w:t>
      </w:r>
      <w:proofErr w:type="spellStart"/>
      <w:r>
        <w:rPr>
          <w:rFonts w:hint="cs"/>
          <w:rtl/>
        </w:rPr>
        <w:t>טביומי</w:t>
      </w:r>
      <w:proofErr w:type="spellEnd"/>
      <w:r>
        <w:rPr>
          <w:rFonts w:hint="cs"/>
          <w:rtl/>
        </w:rPr>
        <w:t xml:space="preserve">, "קריאת המגילה בתל אביב שכנה ליפו", שו"ת ארץ טובה, ירושלים תש"ז, סימן ל. </w:t>
      </w:r>
    </w:p>
  </w:footnote>
  <w:footnote w:id="19">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בן ציון מאיר חי עוזיאל, שו"ת משפטי עוזיאל, כרך ג, ירושלים תשנ"ט, אורח חיים, סימן עט. </w:t>
      </w:r>
    </w:p>
  </w:footnote>
  <w:footnote w:id="20">
    <w:p w:rsidR="00FF6771" w:rsidRDefault="00FF6771" w:rsidP="00FF6771">
      <w:pPr>
        <w:pStyle w:val="4"/>
        <w:rPr>
          <w:rtl/>
        </w:rPr>
      </w:pPr>
      <w:r>
        <w:rPr>
          <w:vertAlign w:val="superscript"/>
          <w:rtl/>
        </w:rPr>
        <w:footnoteRef/>
      </w:r>
      <w:r>
        <w:rPr>
          <w:rFonts w:hint="cs"/>
          <w:rtl/>
        </w:rPr>
        <w:t>.</w:t>
      </w:r>
      <w:r>
        <w:rPr>
          <w:rtl/>
        </w:rPr>
        <w:tab/>
      </w:r>
      <w:r>
        <w:rPr>
          <w:rFonts w:hint="cs"/>
          <w:rtl/>
        </w:rPr>
        <w:t xml:space="preserve">בסקרים ארכיאולוגיים שנערכו באזורים שונים בתל אביב (ברחוב ינאי, ברחוב נורדאו, ברחוב ז'בוטינסקי ועוד), נמצאו שרידי כלים מערות ובורות מהתקופה הכלקוליתית ומהתקופה הכנענית הקדומה, אך לא נראה שיש קשר בין הממצאים הללו ליפו. ראה: האנציקלופדיה החדשה לחפירות ארכיאולוגיות בארץ ישראל (עורך: אפרים שטרן), חלק ד, ירושלים תשנ"ב, עמ' 1583-1577. </w:t>
      </w:r>
    </w:p>
  </w:footnote>
  <w:footnote w:id="21">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יעקב </w:t>
      </w:r>
      <w:proofErr w:type="spellStart"/>
      <w:r>
        <w:rPr>
          <w:rFonts w:hint="cs"/>
          <w:rtl/>
        </w:rPr>
        <w:t>עדס</w:t>
      </w:r>
      <w:proofErr w:type="spellEnd"/>
      <w:r>
        <w:rPr>
          <w:rFonts w:hint="cs"/>
          <w:rtl/>
        </w:rPr>
        <w:t xml:space="preserve">, שו"ת חדות יעקב, חלק א, ירושלים תש"ס, סימן טז. לתשובה זו אין תאריך. הרב </w:t>
      </w:r>
      <w:proofErr w:type="spellStart"/>
      <w:r>
        <w:rPr>
          <w:rFonts w:hint="cs"/>
          <w:rtl/>
        </w:rPr>
        <w:t>עדס</w:t>
      </w:r>
      <w:proofErr w:type="spellEnd"/>
      <w:r>
        <w:rPr>
          <w:rFonts w:hint="cs"/>
          <w:rtl/>
        </w:rPr>
        <w:t xml:space="preserve"> כתב בשנת תרצ"ב ובשנת תש"ב תשובות בסוגיית בן כרך ובן עיר לעניין מקרא מגילה (שם סימנים </w:t>
      </w:r>
      <w:proofErr w:type="spellStart"/>
      <w:r>
        <w:rPr>
          <w:rFonts w:hint="cs"/>
          <w:rtl/>
        </w:rPr>
        <w:t>יג</w:t>
      </w:r>
      <w:proofErr w:type="spellEnd"/>
      <w:r>
        <w:rPr>
          <w:rFonts w:hint="cs"/>
          <w:rtl/>
        </w:rPr>
        <w:t xml:space="preserve">-טו, יז). יש סבירות רבה שגם תשובה זו נכתבה בשנים הללו, בעת ששימש דיין בבית הדין הרבני בתל אביב. </w:t>
      </w:r>
    </w:p>
  </w:footnote>
  <w:footnote w:id="22">
    <w:p w:rsidR="00FF6771" w:rsidRDefault="00FF6771" w:rsidP="00FF6771">
      <w:pPr>
        <w:pStyle w:val="4"/>
        <w:rPr>
          <w:rtl/>
        </w:rPr>
      </w:pPr>
      <w:r>
        <w:rPr>
          <w:vertAlign w:val="superscript"/>
          <w:rtl/>
        </w:rPr>
        <w:footnoteRef/>
      </w:r>
      <w:r>
        <w:rPr>
          <w:rFonts w:hint="cs"/>
          <w:rtl/>
        </w:rPr>
        <w:t>.</w:t>
      </w:r>
      <w:r>
        <w:rPr>
          <w:rtl/>
        </w:rPr>
        <w:tab/>
      </w:r>
      <w:proofErr w:type="spellStart"/>
      <w:r>
        <w:rPr>
          <w:rFonts w:hint="cs"/>
          <w:rtl/>
        </w:rPr>
        <w:t>הרימ"ט</w:t>
      </w:r>
      <w:proofErr w:type="spellEnd"/>
      <w:r>
        <w:rPr>
          <w:rFonts w:hint="cs"/>
          <w:rtl/>
        </w:rPr>
        <w:t xml:space="preserve">, לוח לארץ ישראל לשנת תש"ז, ירושלים תש"ו, עמ' 38. </w:t>
      </w:r>
    </w:p>
    <w:p w:rsidR="00FF6771" w:rsidRDefault="00FF6771" w:rsidP="00FF6771">
      <w:pPr>
        <w:pStyle w:val="4"/>
        <w:rPr>
          <w:rtl/>
        </w:rPr>
      </w:pPr>
    </w:p>
  </w:footnote>
  <w:footnote w:id="23">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אהרון שלמה </w:t>
      </w:r>
      <w:proofErr w:type="spellStart"/>
      <w:r>
        <w:rPr>
          <w:rFonts w:hint="cs"/>
          <w:rtl/>
        </w:rPr>
        <w:t>אלברג</w:t>
      </w:r>
      <w:proofErr w:type="spellEnd"/>
      <w:r>
        <w:rPr>
          <w:rFonts w:hint="cs"/>
          <w:rtl/>
        </w:rPr>
        <w:t xml:space="preserve">, "מצות משלוח מנות", בית הלל – ספר היובל לרב הלל פוסק (עורך: אפרים </w:t>
      </w:r>
      <w:proofErr w:type="spellStart"/>
      <w:r>
        <w:rPr>
          <w:rFonts w:hint="cs"/>
          <w:rtl/>
        </w:rPr>
        <w:t>טובנהויז</w:t>
      </w:r>
      <w:proofErr w:type="spellEnd"/>
      <w:r>
        <w:rPr>
          <w:rFonts w:hint="cs"/>
          <w:rtl/>
        </w:rPr>
        <w:t>), תל אביב תשי"א, עמ' 85.</w:t>
      </w:r>
    </w:p>
  </w:footnote>
  <w:footnote w:id="24">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w:t>
      </w:r>
      <w:proofErr w:type="spellStart"/>
      <w:r>
        <w:rPr>
          <w:rFonts w:hint="cs"/>
          <w:rtl/>
        </w:rPr>
        <w:t>אלברג</w:t>
      </w:r>
      <w:proofErr w:type="spellEnd"/>
      <w:r>
        <w:rPr>
          <w:rFonts w:hint="cs"/>
          <w:rtl/>
        </w:rPr>
        <w:t xml:space="preserve"> כתב שהוא כבר העיר על כך שבתל אביב יש לקרוא גם בט"ו באדר. יתכן שכוונתו למכתב שהוא שלח לרבה של ירושלים הרב צבי פסח פרנק </w:t>
      </w:r>
      <w:proofErr w:type="spellStart"/>
      <w:r>
        <w:rPr>
          <w:rFonts w:hint="cs"/>
          <w:rtl/>
        </w:rPr>
        <w:t>בענין</w:t>
      </w:r>
      <w:proofErr w:type="spellEnd"/>
      <w:r>
        <w:rPr>
          <w:rFonts w:hint="cs"/>
          <w:rtl/>
        </w:rPr>
        <w:t xml:space="preserve"> כתיבת מקום בגט שניתן בתל אביב. על המכתב ניתן ללמוד מתשובת הרב פרנק אליו בחודש כסלו תש"ט, עוד לפני החלטת הממשלה לאחד את שתי הערים. ראה: הרב צבי פסח פרנק, שו"ת הר צבי, אבן העזר, חלק ב, ירושלים תשס"ד, סימן </w:t>
      </w:r>
      <w:proofErr w:type="spellStart"/>
      <w:r>
        <w:rPr>
          <w:rFonts w:hint="cs"/>
          <w:rtl/>
        </w:rPr>
        <w:t>קכט</w:t>
      </w:r>
      <w:proofErr w:type="spellEnd"/>
      <w:r>
        <w:rPr>
          <w:rFonts w:hint="cs"/>
          <w:rtl/>
        </w:rPr>
        <w:t xml:space="preserve">. </w:t>
      </w:r>
    </w:p>
  </w:footnote>
  <w:footnote w:id="25">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שריה </w:t>
      </w:r>
      <w:proofErr w:type="spellStart"/>
      <w:r>
        <w:rPr>
          <w:rFonts w:hint="cs"/>
          <w:rtl/>
        </w:rPr>
        <w:t>דבליצקי</w:t>
      </w:r>
      <w:proofErr w:type="spellEnd"/>
      <w:r>
        <w:rPr>
          <w:rFonts w:hint="cs"/>
          <w:rtl/>
        </w:rPr>
        <w:t xml:space="preserve">, בינו שנות דור ודור, בני ברק תשס"ו, עמ' </w:t>
      </w:r>
      <w:proofErr w:type="spellStart"/>
      <w:r>
        <w:rPr>
          <w:rFonts w:hint="cs"/>
          <w:rtl/>
        </w:rPr>
        <w:t>עו</w:t>
      </w:r>
      <w:proofErr w:type="spellEnd"/>
      <w:r>
        <w:rPr>
          <w:rFonts w:hint="cs"/>
          <w:rtl/>
        </w:rPr>
        <w:t xml:space="preserve">, פ. הרב יהודה עמיחי, יליד תל אביב, וכיום ראש צוות המחקר של מכון 'התורה והארץ' באשקלון, סיפר לי (בשיחה בי"ג שבט תש"ע) שהוא זוכר מילדותו בשנת תש"כ לערך, שבאזור שוק הכרמל, מסגד חסן </w:t>
      </w:r>
      <w:proofErr w:type="spellStart"/>
      <w:r>
        <w:rPr>
          <w:rFonts w:hint="cs"/>
          <w:rtl/>
        </w:rPr>
        <w:t>בק</w:t>
      </w:r>
      <w:proofErr w:type="spellEnd"/>
      <w:r>
        <w:rPr>
          <w:rFonts w:hint="cs"/>
          <w:rtl/>
        </w:rPr>
        <w:t xml:space="preserve">, היו קוראים מגילה בביתו של אדם ששם משפחתו בר נתן גם בט"ו בלא ברכה. איתן </w:t>
      </w:r>
      <w:proofErr w:type="spellStart"/>
      <w:r>
        <w:rPr>
          <w:rFonts w:hint="cs"/>
          <w:rtl/>
        </w:rPr>
        <w:t>ויינשטיין</w:t>
      </w:r>
      <w:proofErr w:type="spellEnd"/>
      <w:r>
        <w:rPr>
          <w:rFonts w:hint="cs"/>
          <w:rtl/>
        </w:rPr>
        <w:t xml:space="preserve">, תושב היישוב בני נצרים, סיפר לי (בשיחה ביום ח' באדר תשע"ב) שסבו סיפר לו שבישיבת היכל התלמוד </w:t>
      </w:r>
      <w:proofErr w:type="spellStart"/>
      <w:r>
        <w:rPr>
          <w:rFonts w:hint="cs"/>
          <w:rtl/>
        </w:rPr>
        <w:t>שהיתה</w:t>
      </w:r>
      <w:proofErr w:type="spellEnd"/>
      <w:r>
        <w:rPr>
          <w:rFonts w:hint="cs"/>
          <w:rtl/>
        </w:rPr>
        <w:t xml:space="preserve"> ברח' יהודה הלוי בתל אביב, קראו בשנותיה הראשונות מגילה גם</w:t>
      </w:r>
      <w:r>
        <w:rPr>
          <w:rFonts w:hint="cs"/>
          <w:rtl/>
        </w:rPr>
        <w:t xml:space="preserve"> </w:t>
      </w:r>
      <w:r>
        <w:rPr>
          <w:rFonts w:hint="cs"/>
          <w:rtl/>
        </w:rPr>
        <w:t xml:space="preserve">בט"ו באדר. </w:t>
      </w:r>
    </w:p>
  </w:footnote>
  <w:footnote w:id="26">
    <w:p w:rsidR="00FF6771" w:rsidRDefault="00FF6771" w:rsidP="00FF6771">
      <w:pPr>
        <w:pStyle w:val="4"/>
        <w:rPr>
          <w:rtl/>
        </w:rPr>
      </w:pPr>
      <w:r>
        <w:rPr>
          <w:vertAlign w:val="superscript"/>
          <w:rtl/>
        </w:rPr>
        <w:footnoteRef/>
      </w:r>
      <w:r>
        <w:rPr>
          <w:rFonts w:hint="cs"/>
          <w:rtl/>
        </w:rPr>
        <w:t>.</w:t>
      </w:r>
      <w:r>
        <w:rPr>
          <w:rtl/>
        </w:rPr>
        <w:tab/>
      </w:r>
      <w:r>
        <w:rPr>
          <w:rFonts w:hint="cs"/>
          <w:rtl/>
        </w:rPr>
        <w:t>הרב יצחק יוסף, ילקוט יוסף – מועדים, ירושלים תשמ"ח, עמ' 306.</w:t>
      </w:r>
    </w:p>
  </w:footnote>
  <w:footnote w:id="27">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יצחק יוסף, קיצור ילקוט יוסף, חלק ב, ירושלים תשס"ו, עמ' תו. הרב דוד יוסף, בן אחר של הרב עובדיה יוסף, כתב שיש מחמירים לקרוא בת"א בט"ו באדר ללא ברכה ותבוא עליהם ברכה. ראה: הרב דוד יוסף, תורת המועדים, ירושלים תשס"א, עמ' 185. </w:t>
      </w:r>
    </w:p>
  </w:footnote>
  <w:footnote w:id="28">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שמואל אהרון </w:t>
      </w:r>
      <w:proofErr w:type="spellStart"/>
      <w:r>
        <w:rPr>
          <w:rFonts w:hint="cs"/>
          <w:rtl/>
        </w:rPr>
        <w:t>יודלביץ</w:t>
      </w:r>
      <w:proofErr w:type="spellEnd"/>
      <w:r>
        <w:rPr>
          <w:rFonts w:hint="cs"/>
          <w:rtl/>
        </w:rPr>
        <w:t>', "קריאת המגילה בירושלים", נעם, יז (תשל"ד), עמ' קל-</w:t>
      </w:r>
      <w:proofErr w:type="spellStart"/>
      <w:r>
        <w:rPr>
          <w:rFonts w:hint="cs"/>
          <w:rtl/>
        </w:rPr>
        <w:t>קנד</w:t>
      </w:r>
      <w:proofErr w:type="spellEnd"/>
      <w:r>
        <w:rPr>
          <w:rFonts w:hint="cs"/>
          <w:rtl/>
        </w:rPr>
        <w:t>.</w:t>
      </w:r>
    </w:p>
  </w:footnote>
  <w:footnote w:id="29">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משה הררי, מקראי קודש – פורים, ירושלים תשע"א, עמ' 123, בשם הרב שאול ישראלי. </w:t>
      </w:r>
    </w:p>
  </w:footnote>
  <w:footnote w:id="30">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משה הררי, מקראי קודש – פורים, ירושלים תשנ"ד, עמ' 107. הרב משה לוי, "בדין כרך וכל הסמוך לו וכל הנראה עמו", הרב משה לוי, שו"ת תפילה למשה – מועדים, חלק ב, בני ברק תשמ"ו, סימן </w:t>
      </w:r>
      <w:proofErr w:type="spellStart"/>
      <w:r>
        <w:rPr>
          <w:rFonts w:hint="cs"/>
          <w:rtl/>
        </w:rPr>
        <w:t>נג</w:t>
      </w:r>
      <w:proofErr w:type="spellEnd"/>
      <w:r>
        <w:rPr>
          <w:rFonts w:hint="cs"/>
          <w:rtl/>
        </w:rPr>
        <w:t xml:space="preserve">, כתב שעל פי הידוע לו, רבנים ספרדים בת"א – הרב </w:t>
      </w:r>
      <w:proofErr w:type="spellStart"/>
      <w:r>
        <w:rPr>
          <w:rFonts w:hint="cs"/>
          <w:rtl/>
        </w:rPr>
        <w:t>בצמ"ח</w:t>
      </w:r>
      <w:proofErr w:type="spellEnd"/>
      <w:r>
        <w:rPr>
          <w:rFonts w:hint="cs"/>
          <w:rtl/>
        </w:rPr>
        <w:t xml:space="preserve"> עוזיאל, הרב יעקב משה </w:t>
      </w:r>
      <w:proofErr w:type="spellStart"/>
      <w:r>
        <w:rPr>
          <w:rFonts w:hint="cs"/>
          <w:rtl/>
        </w:rPr>
        <w:t>טולדנו</w:t>
      </w:r>
      <w:proofErr w:type="spellEnd"/>
      <w:r>
        <w:rPr>
          <w:rFonts w:hint="cs"/>
          <w:rtl/>
        </w:rPr>
        <w:t xml:space="preserve"> והרב עובדיה יוסף – קראו מגילה בת"א רק בי"ד באדר. הרב מאיר מזוז העיר שם (במכתב משנת תשמ"ג) שהרב עובדיה יוסף קרא מגילה גם בט"ו באדר. כאמור, הרב </w:t>
      </w:r>
      <w:proofErr w:type="spellStart"/>
      <w:r>
        <w:rPr>
          <w:rFonts w:hint="cs"/>
          <w:rtl/>
        </w:rPr>
        <w:t>בצמ"ח</w:t>
      </w:r>
      <w:proofErr w:type="spellEnd"/>
      <w:r>
        <w:rPr>
          <w:rFonts w:hint="cs"/>
          <w:rtl/>
        </w:rPr>
        <w:t xml:space="preserve"> עוזיאל כתב שיש לקרוא בתל אביב גם בט"ו באדר. באשר לרב </w:t>
      </w:r>
      <w:proofErr w:type="spellStart"/>
      <w:r>
        <w:rPr>
          <w:rFonts w:hint="cs"/>
          <w:rtl/>
        </w:rPr>
        <w:t>טולדנו</w:t>
      </w:r>
      <w:proofErr w:type="spellEnd"/>
      <w:r>
        <w:rPr>
          <w:rFonts w:hint="cs"/>
          <w:rtl/>
        </w:rPr>
        <w:t xml:space="preserve"> לא ידוע לנו דבר. הרב יוסף שני, שו"ת ברית אברהם, סימן כה, עמ' </w:t>
      </w:r>
      <w:proofErr w:type="spellStart"/>
      <w:r>
        <w:rPr>
          <w:rFonts w:hint="cs"/>
          <w:rtl/>
        </w:rPr>
        <w:t>רפג</w:t>
      </w:r>
      <w:proofErr w:type="spellEnd"/>
      <w:r>
        <w:rPr>
          <w:rFonts w:hint="cs"/>
          <w:rtl/>
        </w:rPr>
        <w:t xml:space="preserve"> קרא לתושבי יפו לקרוא מגילה בט"ו באדר בלבד, מאחר שאין ספק שיפו העתיקה יושבת על מקומה הקדום, וכך יש לנהוג בכל המקומות הסמוכים והנראים לה.</w:t>
      </w:r>
    </w:p>
  </w:footnote>
  <w:footnote w:id="31">
    <w:p w:rsidR="00FF6771" w:rsidRDefault="00FF6771" w:rsidP="00FF6771">
      <w:pPr>
        <w:pStyle w:val="4"/>
        <w:rPr>
          <w:rtl/>
        </w:rPr>
      </w:pPr>
      <w:r>
        <w:rPr>
          <w:vertAlign w:val="superscript"/>
          <w:rtl/>
        </w:rPr>
        <w:footnoteRef/>
      </w:r>
      <w:r>
        <w:rPr>
          <w:rFonts w:hint="cs"/>
          <w:rtl/>
        </w:rPr>
        <w:t>.</w:t>
      </w:r>
      <w:r>
        <w:rPr>
          <w:rtl/>
        </w:rPr>
        <w:tab/>
      </w:r>
      <w:r>
        <w:rPr>
          <w:rFonts w:hint="cs"/>
          <w:rtl/>
        </w:rPr>
        <w:t xml:space="preserve">כך סיפר לי הרב </w:t>
      </w:r>
      <w:proofErr w:type="spellStart"/>
      <w:r>
        <w:rPr>
          <w:rFonts w:hint="cs"/>
          <w:rtl/>
        </w:rPr>
        <w:t>אחיעד</w:t>
      </w:r>
      <w:proofErr w:type="spellEnd"/>
      <w:r>
        <w:rPr>
          <w:rFonts w:hint="cs"/>
          <w:rtl/>
        </w:rPr>
        <w:t xml:space="preserve"> אטינגר, המתגורר בדרום תל אביב, בשיחה עמו בכ' באדר תשע"ב. הוא פרסם על כך לקראת פורים תשע"ב באתר ערוץ 7. </w:t>
      </w:r>
    </w:p>
    <w:p w:rsidR="00FF6771" w:rsidRDefault="00FF6771" w:rsidP="00FF6771">
      <w:pPr>
        <w:pStyle w:val="4"/>
        <w:rPr>
          <w:rtl/>
        </w:rPr>
      </w:pPr>
      <w:r>
        <w:rPr>
          <w:rtl/>
        </w:rPr>
        <w:tab/>
      </w:r>
      <w:proofErr w:type="spellStart"/>
      <w:r>
        <w:rPr>
          <w:rStyle w:val="a7"/>
        </w:rPr>
        <w:t>cthttp</w:t>
      </w:r>
      <w:proofErr w:type="spellEnd"/>
      <w:r>
        <w:rPr>
          <w:rStyle w:val="a7"/>
          <w:rtl/>
        </w:rPr>
        <w:t>://</w:t>
      </w:r>
      <w:r>
        <w:rPr>
          <w:rStyle w:val="a7"/>
        </w:rPr>
        <w:t>www</w:t>
      </w:r>
      <w:r>
        <w:rPr>
          <w:rStyle w:val="a7"/>
          <w:rtl/>
        </w:rPr>
        <w:t>.</w:t>
      </w:r>
      <w:r>
        <w:rPr>
          <w:rStyle w:val="a7"/>
        </w:rPr>
        <w:t>inn</w:t>
      </w:r>
      <w:r>
        <w:rPr>
          <w:rStyle w:val="a7"/>
          <w:rtl/>
        </w:rPr>
        <w:t>.</w:t>
      </w:r>
      <w:r>
        <w:rPr>
          <w:rStyle w:val="a7"/>
        </w:rPr>
        <w:t>co</w:t>
      </w:r>
      <w:r>
        <w:rPr>
          <w:rStyle w:val="a7"/>
          <w:rtl/>
        </w:rPr>
        <w:t>.</w:t>
      </w:r>
      <w:proofErr w:type="spellStart"/>
      <w:r>
        <w:rPr>
          <w:rStyle w:val="a7"/>
        </w:rPr>
        <w:t>il</w:t>
      </w:r>
      <w:proofErr w:type="spellEnd"/>
      <w:r>
        <w:rPr>
          <w:rStyle w:val="a7"/>
          <w:rtl/>
        </w:rPr>
        <w:t>/</w:t>
      </w:r>
      <w:r>
        <w:rPr>
          <w:rStyle w:val="a7"/>
        </w:rPr>
        <w:t>News</w:t>
      </w:r>
      <w:r>
        <w:rPr>
          <w:rStyle w:val="a7"/>
          <w:rtl/>
        </w:rPr>
        <w:t>/</w:t>
      </w:r>
      <w:r>
        <w:rPr>
          <w:rStyle w:val="a7"/>
        </w:rPr>
        <w:t>News</w:t>
      </w:r>
      <w:r>
        <w:rPr>
          <w:rStyle w:val="a7"/>
          <w:rtl/>
        </w:rPr>
        <w:t>.</w:t>
      </w:r>
      <w:proofErr w:type="spellStart"/>
      <w:r>
        <w:rPr>
          <w:rStyle w:val="a7"/>
        </w:rPr>
        <w:t>aspx</w:t>
      </w:r>
      <w:proofErr w:type="spellEnd"/>
      <w:r>
        <w:rPr>
          <w:rStyle w:val="a7"/>
          <w:rtl/>
        </w:rPr>
        <w:t>/234777</w:t>
      </w:r>
    </w:p>
  </w:footnote>
  <w:footnote w:id="32">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משה לוי, הרב משה לוי, שו"ת תפילה למשה – מועדים, חלק ב, בני ברק תשמ"ו, סימן </w:t>
      </w:r>
      <w:proofErr w:type="spellStart"/>
      <w:r>
        <w:rPr>
          <w:rFonts w:hint="cs"/>
          <w:rtl/>
        </w:rPr>
        <w:t>נג</w:t>
      </w:r>
      <w:proofErr w:type="spellEnd"/>
      <w:r>
        <w:rPr>
          <w:rFonts w:hint="cs"/>
          <w:rtl/>
        </w:rPr>
        <w:t xml:space="preserve">. </w:t>
      </w:r>
    </w:p>
  </w:footnote>
  <w:footnote w:id="33">
    <w:p w:rsidR="00FF6771" w:rsidRDefault="00FF6771" w:rsidP="00FF6771">
      <w:pPr>
        <w:pStyle w:val="4"/>
        <w:rPr>
          <w:rtl/>
        </w:rPr>
      </w:pPr>
      <w:r>
        <w:rPr>
          <w:vertAlign w:val="superscript"/>
          <w:rtl/>
        </w:rPr>
        <w:footnoteRef/>
      </w:r>
      <w:r>
        <w:rPr>
          <w:rFonts w:hint="cs"/>
          <w:rtl/>
        </w:rPr>
        <w:t>.</w:t>
      </w:r>
      <w:r>
        <w:rPr>
          <w:rtl/>
        </w:rPr>
        <w:tab/>
      </w:r>
      <w:r>
        <w:rPr>
          <w:rFonts w:hint="cs"/>
          <w:rtl/>
        </w:rPr>
        <w:t xml:space="preserve">כך אמר לי הרב דוד לאו, רב העיר מודיעין, בל' מנחם אב תשע"א. </w:t>
      </w:r>
    </w:p>
  </w:footnote>
  <w:footnote w:id="34">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נחום </w:t>
      </w:r>
      <w:proofErr w:type="spellStart"/>
      <w:r>
        <w:rPr>
          <w:rFonts w:hint="cs"/>
          <w:rtl/>
        </w:rPr>
        <w:t>סטפנסקי</w:t>
      </w:r>
      <w:proofErr w:type="spellEnd"/>
      <w:r>
        <w:rPr>
          <w:rFonts w:hint="cs"/>
          <w:rtl/>
        </w:rPr>
        <w:t xml:space="preserve">, ועלהו לא יבול – מהנהגותיו והדרכותיו של הרב שלמה זלמן </w:t>
      </w:r>
      <w:proofErr w:type="spellStart"/>
      <w:r>
        <w:rPr>
          <w:rFonts w:hint="cs"/>
          <w:rtl/>
        </w:rPr>
        <w:t>אויערבך</w:t>
      </w:r>
      <w:proofErr w:type="spellEnd"/>
      <w:r>
        <w:rPr>
          <w:rFonts w:hint="cs"/>
          <w:rtl/>
        </w:rPr>
        <w:t xml:space="preserve"> זצ"ל, ירושלים תשנ"ט, עמ' </w:t>
      </w:r>
      <w:proofErr w:type="spellStart"/>
      <w:r>
        <w:rPr>
          <w:rFonts w:hint="cs"/>
          <w:rtl/>
        </w:rPr>
        <w:t>רמד</w:t>
      </w:r>
      <w:proofErr w:type="spellEnd"/>
      <w:r>
        <w:rPr>
          <w:rFonts w:hint="cs"/>
          <w:rtl/>
        </w:rPr>
        <w:t xml:space="preserve">. הרב שלמה זלמן </w:t>
      </w:r>
      <w:proofErr w:type="spellStart"/>
      <w:r>
        <w:rPr>
          <w:rFonts w:hint="cs"/>
          <w:rtl/>
        </w:rPr>
        <w:t>אויערבך</w:t>
      </w:r>
      <w:proofErr w:type="spellEnd"/>
      <w:r>
        <w:rPr>
          <w:rFonts w:hint="cs"/>
          <w:rtl/>
        </w:rPr>
        <w:t xml:space="preserve">, הליכות שלמה, ירושלים תש"ס, עמ' שנו, כתב שהקריטריון הקובע הגדרת עיר </w:t>
      </w:r>
      <w:proofErr w:type="spellStart"/>
      <w:r>
        <w:rPr>
          <w:rFonts w:hint="cs"/>
          <w:rtl/>
        </w:rPr>
        <w:t>מוק"ח</w:t>
      </w:r>
      <w:proofErr w:type="spellEnd"/>
      <w:r>
        <w:rPr>
          <w:rFonts w:hint="cs"/>
          <w:rtl/>
        </w:rPr>
        <w:t xml:space="preserve"> הוא הרשות המוניציפאלית. לפי עיקרון זה היה עליו לפסוק שבתל אביב יקראו מגילה כמו ביפו, מאז שהערים אוחדו לעיר אחת מבחינה מוניציפאלית. אך עיקרון זה נכון רק בכרך ודאי ולא במקום מסופק. כך הסביר את עמדת </w:t>
      </w: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xml:space="preserve">, הרב ישעיהו שכטר, ימי הפורים, בני ברק תשס"ט, עמ' </w:t>
      </w:r>
      <w:proofErr w:type="spellStart"/>
      <w:r>
        <w:rPr>
          <w:rFonts w:hint="cs"/>
          <w:rtl/>
        </w:rPr>
        <w:t>סו</w:t>
      </w:r>
      <w:proofErr w:type="spellEnd"/>
      <w:r>
        <w:rPr>
          <w:rFonts w:hint="cs"/>
          <w:rtl/>
        </w:rPr>
        <w:t xml:space="preserve">, </w:t>
      </w:r>
      <w:proofErr w:type="spellStart"/>
      <w:r>
        <w:rPr>
          <w:rFonts w:hint="cs"/>
          <w:rtl/>
        </w:rPr>
        <w:t>קסה</w:t>
      </w:r>
      <w:proofErr w:type="spellEnd"/>
      <w:r>
        <w:rPr>
          <w:rFonts w:hint="cs"/>
          <w:rtl/>
        </w:rPr>
        <w:t>.</w:t>
      </w:r>
    </w:p>
    <w:p w:rsidR="00FF6771" w:rsidRDefault="00FF6771" w:rsidP="00FF6771">
      <w:pPr>
        <w:pStyle w:val="4"/>
        <w:rPr>
          <w:rtl/>
        </w:rPr>
      </w:pPr>
    </w:p>
  </w:footnote>
  <w:footnote w:id="35">
    <w:p w:rsidR="00FF6771" w:rsidRDefault="00FF6771" w:rsidP="00FF6771">
      <w:pPr>
        <w:pStyle w:val="4"/>
        <w:rPr>
          <w:rtl/>
        </w:rPr>
      </w:pPr>
      <w:r>
        <w:rPr>
          <w:vertAlign w:val="superscript"/>
          <w:rtl/>
        </w:rPr>
        <w:footnoteRef/>
      </w:r>
      <w:r>
        <w:rPr>
          <w:rFonts w:hint="cs"/>
          <w:rtl/>
        </w:rPr>
        <w:t>.</w:t>
      </w:r>
      <w:r>
        <w:rPr>
          <w:rtl/>
        </w:rPr>
        <w:tab/>
      </w:r>
      <w:r>
        <w:rPr>
          <w:rFonts w:hint="cs"/>
          <w:rtl/>
        </w:rPr>
        <w:t xml:space="preserve">הרב אפרים אריאל </w:t>
      </w:r>
      <w:proofErr w:type="spellStart"/>
      <w:r>
        <w:rPr>
          <w:rFonts w:hint="cs"/>
          <w:rtl/>
        </w:rPr>
        <w:t>בוקוולד</w:t>
      </w:r>
      <w:proofErr w:type="spellEnd"/>
      <w:r>
        <w:rPr>
          <w:rFonts w:hint="cs"/>
          <w:rtl/>
        </w:rPr>
        <w:t xml:space="preserve">, </w:t>
      </w:r>
      <w:proofErr w:type="spellStart"/>
      <w:r>
        <w:rPr>
          <w:rFonts w:hint="cs"/>
          <w:rtl/>
        </w:rPr>
        <w:t>קרית</w:t>
      </w:r>
      <w:proofErr w:type="spellEnd"/>
      <w:r>
        <w:rPr>
          <w:rFonts w:hint="cs"/>
          <w:rtl/>
        </w:rPr>
        <w:t xml:space="preserve"> אריאל, בני ברק תשנ"ח, עמ' שיא-שטו.</w:t>
      </w:r>
    </w:p>
  </w:footnote>
  <w:footnote w:id="36">
    <w:p w:rsidR="00FF6771" w:rsidRDefault="00FF6771" w:rsidP="00FF6771">
      <w:pPr>
        <w:pStyle w:val="4"/>
        <w:rPr>
          <w:rtl/>
        </w:rPr>
      </w:pPr>
      <w:r>
        <w:rPr>
          <w:vertAlign w:val="superscript"/>
          <w:rtl/>
        </w:rPr>
        <w:footnoteRef/>
      </w:r>
      <w:r>
        <w:rPr>
          <w:rFonts w:hint="cs"/>
          <w:rtl/>
        </w:rPr>
        <w:t>.</w:t>
      </w:r>
      <w:r>
        <w:rPr>
          <w:rtl/>
        </w:rPr>
        <w:tab/>
      </w:r>
      <w:r>
        <w:rPr>
          <w:rFonts w:hint="cs"/>
          <w:rtl/>
        </w:rPr>
        <w:t>בשיחה בב' באדר תש"ע עם הרב אליהו מאלי.</w:t>
      </w:r>
    </w:p>
  </w:footnote>
  <w:footnote w:id="37">
    <w:p w:rsidR="00FF6771" w:rsidRDefault="00FF6771" w:rsidP="00FF6771">
      <w:pPr>
        <w:pStyle w:val="4"/>
        <w:rPr>
          <w:rFonts w:hint="cs"/>
          <w:rtl/>
        </w:rPr>
      </w:pPr>
      <w:r>
        <w:rPr>
          <w:vertAlign w:val="superscript"/>
          <w:rtl/>
        </w:rPr>
        <w:footnoteRef/>
      </w:r>
      <w:r>
        <w:rPr>
          <w:rFonts w:hint="cs"/>
          <w:rtl/>
        </w:rPr>
        <w:t>.</w:t>
      </w:r>
      <w:r>
        <w:rPr>
          <w:rtl/>
        </w:rPr>
        <w:tab/>
      </w:r>
      <w:r>
        <w:rPr>
          <w:rFonts w:hint="cs"/>
          <w:rtl/>
        </w:rPr>
        <w:t xml:space="preserve">בתשובה מיום ט"ו באדר ב' תשע"א </w:t>
      </w:r>
      <w:r>
        <w:rPr>
          <w:rStyle w:val="a7"/>
        </w:rPr>
        <w:t>http</w:t>
      </w:r>
      <w:r>
        <w:rPr>
          <w:rStyle w:val="a7"/>
          <w:rtl/>
        </w:rPr>
        <w:t>://</w:t>
      </w:r>
      <w:r>
        <w:rPr>
          <w:rStyle w:val="a7"/>
        </w:rPr>
        <w:t>www</w:t>
      </w:r>
      <w:r>
        <w:rPr>
          <w:rStyle w:val="a7"/>
          <w:rtl/>
        </w:rPr>
        <w:t>.</w:t>
      </w:r>
      <w:r>
        <w:rPr>
          <w:rStyle w:val="a7"/>
        </w:rPr>
        <w:t>yeshiva</w:t>
      </w:r>
      <w:r>
        <w:rPr>
          <w:rStyle w:val="a7"/>
          <w:rtl/>
        </w:rPr>
        <w:t>.</w:t>
      </w:r>
      <w:r>
        <w:rPr>
          <w:rStyle w:val="a7"/>
        </w:rPr>
        <w:t>org</w:t>
      </w:r>
      <w:r>
        <w:rPr>
          <w:rStyle w:val="a7"/>
          <w:rtl/>
        </w:rPr>
        <w:t>.</w:t>
      </w:r>
      <w:proofErr w:type="spellStart"/>
      <w:r>
        <w:rPr>
          <w:rStyle w:val="a7"/>
        </w:rPr>
        <w:t>il</w:t>
      </w:r>
      <w:proofErr w:type="spellEnd"/>
      <w:r>
        <w:rPr>
          <w:rStyle w:val="a7"/>
          <w:rtl/>
        </w:rPr>
        <w:t>/</w:t>
      </w:r>
      <w:r>
        <w:rPr>
          <w:rStyle w:val="a7"/>
        </w:rPr>
        <w:t>ask</w:t>
      </w:r>
      <w:r>
        <w:rPr>
          <w:rStyle w:val="a7"/>
          <w:rtl/>
        </w:rPr>
        <w:t>/?</w:t>
      </w:r>
      <w:r>
        <w:rPr>
          <w:rStyle w:val="a7"/>
        </w:rPr>
        <w:t>cat</w:t>
      </w:r>
      <w:r>
        <w:rPr>
          <w:rStyle w:val="a7"/>
          <w:rtl/>
        </w:rPr>
        <w:t>=165</w:t>
      </w:r>
    </w:p>
  </w:footnote>
  <w:footnote w:id="38">
    <w:p w:rsidR="00FF6771" w:rsidRDefault="00FF6771" w:rsidP="00FF6771">
      <w:pPr>
        <w:pStyle w:val="4"/>
        <w:rPr>
          <w:rtl/>
        </w:rPr>
      </w:pPr>
      <w:r>
        <w:rPr>
          <w:vertAlign w:val="superscript"/>
          <w:rtl/>
        </w:rPr>
        <w:footnoteRef/>
      </w:r>
      <w:r>
        <w:rPr>
          <w:rFonts w:hint="cs"/>
          <w:rtl/>
        </w:rPr>
        <w:t>.</w:t>
      </w:r>
      <w:r>
        <w:rPr>
          <w:rtl/>
        </w:rPr>
        <w:tab/>
      </w:r>
      <w:r>
        <w:rPr>
          <w:rFonts w:hint="cs"/>
          <w:rtl/>
        </w:rPr>
        <w:t>בשיחה בה' בשבט תשע"ב. דברים דומים כתב הרב יעקב אריאל בדברי ברכה לחוברת של הרב שמואל דביר, "פורים בבאר שבע", באר שבע תשע"א, באשר למקרא מגילה בסמוך לעתיקות באר שבע.</w:t>
      </w:r>
    </w:p>
    <w:p w:rsidR="00FF6771" w:rsidRDefault="00FF6771" w:rsidP="00FF6771">
      <w:pPr>
        <w:pStyle w:val="4"/>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0122386"/>
      <w:docPartObj>
        <w:docPartGallery w:val="Page Numbers (Top of Page)"/>
        <w:docPartUnique/>
      </w:docPartObj>
    </w:sdtPr>
    <w:sdtEndPr>
      <w:rPr>
        <w:noProof/>
        <w:lang w:val="he-IL"/>
      </w:rPr>
    </w:sdtEndPr>
    <w:sdtContent>
      <w:p w:rsidR="00FF6771" w:rsidRDefault="00FF6771">
        <w:pPr>
          <w:pStyle w:val="a8"/>
          <w:jc w:val="right"/>
        </w:pPr>
        <w:r>
          <w:fldChar w:fldCharType="begin"/>
        </w:r>
        <w:r>
          <w:instrText xml:space="preserve"> PAGE   \* MERGEFORMAT </w:instrText>
        </w:r>
        <w:r>
          <w:fldChar w:fldCharType="separate"/>
        </w:r>
        <w:r w:rsidRPr="00FF6771">
          <w:rPr>
            <w:rFonts w:cs="Calibri"/>
            <w:noProof/>
            <w:rtl/>
            <w:lang w:val="he-IL"/>
          </w:rPr>
          <w:t>1</w:t>
        </w:r>
        <w:r>
          <w:rPr>
            <w:noProof/>
            <w:lang w:val="he-IL"/>
          </w:rPr>
          <w:fldChar w:fldCharType="end"/>
        </w:r>
      </w:p>
    </w:sdtContent>
  </w:sdt>
  <w:p w:rsidR="00FF6771" w:rsidRDefault="00FF677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92"/>
    <w:rsid w:val="00A07BC7"/>
    <w:rsid w:val="00A37130"/>
    <w:rsid w:val="00CF5892"/>
    <w:rsid w:val="00E87ADB"/>
    <w:rsid w:val="00EC799B"/>
    <w:rsid w:val="00FF67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F6771"/>
    <w:pPr>
      <w:widowControl w:val="0"/>
      <w:suppressAutoHyphens/>
      <w:autoSpaceDE w:val="0"/>
      <w:autoSpaceDN w:val="0"/>
      <w:bidi/>
      <w:adjustRightInd w:val="0"/>
      <w:spacing w:after="85" w:line="306" w:lineRule="atLeast"/>
      <w:ind w:firstLine="227"/>
      <w:jc w:val="both"/>
      <w:textAlignment w:val="center"/>
    </w:pPr>
    <w:rPr>
      <w:rFonts w:ascii="Narkisim" w:eastAsiaTheme="minorEastAsia" w:cs="Narkisim"/>
      <w:color w:val="000000"/>
      <w:sz w:val="24"/>
      <w:szCs w:val="24"/>
    </w:rPr>
  </w:style>
  <w:style w:type="paragraph" w:styleId="3">
    <w:name w:val="heading 3"/>
    <w:basedOn w:val="a"/>
    <w:next w:val="a"/>
    <w:link w:val="30"/>
    <w:uiPriority w:val="99"/>
    <w:qFormat/>
    <w:rsid w:val="00FF6771"/>
    <w:pPr>
      <w:keepNext/>
      <w:spacing w:before="170" w:line="320" w:lineRule="atLeast"/>
      <w:ind w:firstLine="0"/>
      <w:outlineLvl w:val="2"/>
    </w:pPr>
    <w:rPr>
      <w:rFonts w:ascii="FbSfaradiMedium" w:cs="FbSfaradiMedium"/>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9"/>
    <w:rsid w:val="00FF6771"/>
    <w:rPr>
      <w:rFonts w:ascii="FbSfaradiMedium" w:eastAsiaTheme="minorEastAsia" w:cs="FbSfaradiMedium"/>
      <w:color w:val="000000"/>
      <w:sz w:val="27"/>
      <w:szCs w:val="27"/>
    </w:rPr>
  </w:style>
  <w:style w:type="paragraph" w:customStyle="1" w:styleId="a3">
    <w:name w:val="רגיל ראשון"/>
    <w:basedOn w:val="a"/>
    <w:uiPriority w:val="99"/>
    <w:rsid w:val="00FF6771"/>
    <w:pPr>
      <w:ind w:firstLine="0"/>
    </w:pPr>
  </w:style>
  <w:style w:type="paragraph" w:customStyle="1" w:styleId="2">
    <w:name w:val="ציטוט2"/>
    <w:basedOn w:val="a"/>
    <w:uiPriority w:val="99"/>
    <w:rsid w:val="00FF6771"/>
    <w:pPr>
      <w:spacing w:line="302" w:lineRule="atLeast"/>
      <w:ind w:left="567" w:right="567" w:firstLine="0"/>
    </w:pPr>
    <w:rPr>
      <w:sz w:val="23"/>
      <w:szCs w:val="23"/>
    </w:rPr>
  </w:style>
  <w:style w:type="paragraph" w:customStyle="1" w:styleId="4">
    <w:name w:val="הערות4"/>
    <w:basedOn w:val="a"/>
    <w:uiPriority w:val="99"/>
    <w:rsid w:val="00FF6771"/>
    <w:pPr>
      <w:spacing w:after="0" w:line="256" w:lineRule="atLeast"/>
      <w:ind w:left="340" w:hanging="340"/>
    </w:pPr>
    <w:rPr>
      <w:sz w:val="19"/>
      <w:szCs w:val="19"/>
    </w:rPr>
  </w:style>
  <w:style w:type="character" w:customStyle="1" w:styleId="a4">
    <w:name w:val="הפניה"/>
    <w:uiPriority w:val="99"/>
    <w:rsid w:val="00FF6771"/>
    <w:rPr>
      <w:rFonts w:ascii="David" w:cs="David"/>
      <w:vertAlign w:val="superscript"/>
      <w:lang w:bidi="he-IL"/>
    </w:rPr>
  </w:style>
  <w:style w:type="character" w:customStyle="1" w:styleId="a5">
    <w:name w:val="מודגש"/>
    <w:uiPriority w:val="99"/>
    <w:rsid w:val="00FF6771"/>
    <w:rPr>
      <w:rFonts w:ascii="Narkisim" w:cs="Narkisim"/>
      <w:b/>
      <w:bCs/>
      <w:lang w:bidi="he-IL"/>
    </w:rPr>
  </w:style>
  <w:style w:type="character" w:customStyle="1" w:styleId="a6">
    <w:name w:val="סוגריים רגיל"/>
    <w:uiPriority w:val="99"/>
    <w:rsid w:val="00FF6771"/>
    <w:rPr>
      <w:w w:val="100"/>
    </w:rPr>
  </w:style>
  <w:style w:type="character" w:customStyle="1" w:styleId="a7">
    <w:name w:val="אנגלית"/>
    <w:uiPriority w:val="99"/>
    <w:rsid w:val="00FF6771"/>
    <w:rPr>
      <w:rFonts w:ascii="Times New Roman" w:hAnsi="Times New Roman" w:cs="Times New Roman"/>
      <w:sz w:val="18"/>
      <w:szCs w:val="18"/>
    </w:rPr>
  </w:style>
  <w:style w:type="paragraph" w:styleId="a8">
    <w:name w:val="header"/>
    <w:basedOn w:val="a"/>
    <w:link w:val="a9"/>
    <w:uiPriority w:val="99"/>
    <w:unhideWhenUsed/>
    <w:rsid w:val="00FF6771"/>
    <w:pPr>
      <w:tabs>
        <w:tab w:val="center" w:pos="4153"/>
        <w:tab w:val="right" w:pos="8306"/>
      </w:tabs>
      <w:spacing w:after="0" w:line="240" w:lineRule="auto"/>
    </w:pPr>
  </w:style>
  <w:style w:type="character" w:customStyle="1" w:styleId="a9">
    <w:name w:val="כותרת עליונה תו"/>
    <w:basedOn w:val="a0"/>
    <w:link w:val="a8"/>
    <w:uiPriority w:val="99"/>
    <w:rsid w:val="00FF6771"/>
    <w:rPr>
      <w:rFonts w:ascii="Narkisim" w:eastAsiaTheme="minorEastAsia" w:cs="Narkisim"/>
      <w:color w:val="000000"/>
      <w:sz w:val="24"/>
      <w:szCs w:val="24"/>
    </w:rPr>
  </w:style>
  <w:style w:type="paragraph" w:styleId="aa">
    <w:name w:val="footer"/>
    <w:basedOn w:val="a"/>
    <w:link w:val="ab"/>
    <w:uiPriority w:val="99"/>
    <w:unhideWhenUsed/>
    <w:rsid w:val="00FF6771"/>
    <w:pPr>
      <w:tabs>
        <w:tab w:val="center" w:pos="4153"/>
        <w:tab w:val="right" w:pos="8306"/>
      </w:tabs>
      <w:spacing w:after="0" w:line="240" w:lineRule="auto"/>
    </w:pPr>
  </w:style>
  <w:style w:type="character" w:customStyle="1" w:styleId="ab">
    <w:name w:val="כותרת תחתונה תו"/>
    <w:basedOn w:val="a0"/>
    <w:link w:val="aa"/>
    <w:uiPriority w:val="99"/>
    <w:rsid w:val="00FF6771"/>
    <w:rPr>
      <w:rFonts w:ascii="Narkisim" w:eastAsiaTheme="minorEastAsia" w:cs="Narkisi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F6771"/>
    <w:pPr>
      <w:widowControl w:val="0"/>
      <w:suppressAutoHyphens/>
      <w:autoSpaceDE w:val="0"/>
      <w:autoSpaceDN w:val="0"/>
      <w:bidi/>
      <w:adjustRightInd w:val="0"/>
      <w:spacing w:after="85" w:line="306" w:lineRule="atLeast"/>
      <w:ind w:firstLine="227"/>
      <w:jc w:val="both"/>
      <w:textAlignment w:val="center"/>
    </w:pPr>
    <w:rPr>
      <w:rFonts w:ascii="Narkisim" w:eastAsiaTheme="minorEastAsia" w:cs="Narkisim"/>
      <w:color w:val="000000"/>
      <w:sz w:val="24"/>
      <w:szCs w:val="24"/>
    </w:rPr>
  </w:style>
  <w:style w:type="paragraph" w:styleId="3">
    <w:name w:val="heading 3"/>
    <w:basedOn w:val="a"/>
    <w:next w:val="a"/>
    <w:link w:val="30"/>
    <w:uiPriority w:val="99"/>
    <w:qFormat/>
    <w:rsid w:val="00FF6771"/>
    <w:pPr>
      <w:keepNext/>
      <w:spacing w:before="170" w:line="320" w:lineRule="atLeast"/>
      <w:ind w:firstLine="0"/>
      <w:outlineLvl w:val="2"/>
    </w:pPr>
    <w:rPr>
      <w:rFonts w:ascii="FbSfaradiMedium" w:cs="FbSfaradiMedium"/>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9"/>
    <w:rsid w:val="00FF6771"/>
    <w:rPr>
      <w:rFonts w:ascii="FbSfaradiMedium" w:eastAsiaTheme="minorEastAsia" w:cs="FbSfaradiMedium"/>
      <w:color w:val="000000"/>
      <w:sz w:val="27"/>
      <w:szCs w:val="27"/>
    </w:rPr>
  </w:style>
  <w:style w:type="paragraph" w:customStyle="1" w:styleId="a3">
    <w:name w:val="רגיל ראשון"/>
    <w:basedOn w:val="a"/>
    <w:uiPriority w:val="99"/>
    <w:rsid w:val="00FF6771"/>
    <w:pPr>
      <w:ind w:firstLine="0"/>
    </w:pPr>
  </w:style>
  <w:style w:type="paragraph" w:customStyle="1" w:styleId="2">
    <w:name w:val="ציטוט2"/>
    <w:basedOn w:val="a"/>
    <w:uiPriority w:val="99"/>
    <w:rsid w:val="00FF6771"/>
    <w:pPr>
      <w:spacing w:line="302" w:lineRule="atLeast"/>
      <w:ind w:left="567" w:right="567" w:firstLine="0"/>
    </w:pPr>
    <w:rPr>
      <w:sz w:val="23"/>
      <w:szCs w:val="23"/>
    </w:rPr>
  </w:style>
  <w:style w:type="paragraph" w:customStyle="1" w:styleId="4">
    <w:name w:val="הערות4"/>
    <w:basedOn w:val="a"/>
    <w:uiPriority w:val="99"/>
    <w:rsid w:val="00FF6771"/>
    <w:pPr>
      <w:spacing w:after="0" w:line="256" w:lineRule="atLeast"/>
      <w:ind w:left="340" w:hanging="340"/>
    </w:pPr>
    <w:rPr>
      <w:sz w:val="19"/>
      <w:szCs w:val="19"/>
    </w:rPr>
  </w:style>
  <w:style w:type="character" w:customStyle="1" w:styleId="a4">
    <w:name w:val="הפניה"/>
    <w:uiPriority w:val="99"/>
    <w:rsid w:val="00FF6771"/>
    <w:rPr>
      <w:rFonts w:ascii="David" w:cs="David"/>
      <w:vertAlign w:val="superscript"/>
      <w:lang w:bidi="he-IL"/>
    </w:rPr>
  </w:style>
  <w:style w:type="character" w:customStyle="1" w:styleId="a5">
    <w:name w:val="מודגש"/>
    <w:uiPriority w:val="99"/>
    <w:rsid w:val="00FF6771"/>
    <w:rPr>
      <w:rFonts w:ascii="Narkisim" w:cs="Narkisim"/>
      <w:b/>
      <w:bCs/>
      <w:lang w:bidi="he-IL"/>
    </w:rPr>
  </w:style>
  <w:style w:type="character" w:customStyle="1" w:styleId="a6">
    <w:name w:val="סוגריים רגיל"/>
    <w:uiPriority w:val="99"/>
    <w:rsid w:val="00FF6771"/>
    <w:rPr>
      <w:w w:val="100"/>
    </w:rPr>
  </w:style>
  <w:style w:type="character" w:customStyle="1" w:styleId="a7">
    <w:name w:val="אנגלית"/>
    <w:uiPriority w:val="99"/>
    <w:rsid w:val="00FF6771"/>
    <w:rPr>
      <w:rFonts w:ascii="Times New Roman" w:hAnsi="Times New Roman" w:cs="Times New Roman"/>
      <w:sz w:val="18"/>
      <w:szCs w:val="18"/>
    </w:rPr>
  </w:style>
  <w:style w:type="paragraph" w:styleId="a8">
    <w:name w:val="header"/>
    <w:basedOn w:val="a"/>
    <w:link w:val="a9"/>
    <w:uiPriority w:val="99"/>
    <w:unhideWhenUsed/>
    <w:rsid w:val="00FF6771"/>
    <w:pPr>
      <w:tabs>
        <w:tab w:val="center" w:pos="4153"/>
        <w:tab w:val="right" w:pos="8306"/>
      </w:tabs>
      <w:spacing w:after="0" w:line="240" w:lineRule="auto"/>
    </w:pPr>
  </w:style>
  <w:style w:type="character" w:customStyle="1" w:styleId="a9">
    <w:name w:val="כותרת עליונה תו"/>
    <w:basedOn w:val="a0"/>
    <w:link w:val="a8"/>
    <w:uiPriority w:val="99"/>
    <w:rsid w:val="00FF6771"/>
    <w:rPr>
      <w:rFonts w:ascii="Narkisim" w:eastAsiaTheme="minorEastAsia" w:cs="Narkisim"/>
      <w:color w:val="000000"/>
      <w:sz w:val="24"/>
      <w:szCs w:val="24"/>
    </w:rPr>
  </w:style>
  <w:style w:type="paragraph" w:styleId="aa">
    <w:name w:val="footer"/>
    <w:basedOn w:val="a"/>
    <w:link w:val="ab"/>
    <w:uiPriority w:val="99"/>
    <w:unhideWhenUsed/>
    <w:rsid w:val="00FF6771"/>
    <w:pPr>
      <w:tabs>
        <w:tab w:val="center" w:pos="4153"/>
        <w:tab w:val="right" w:pos="8306"/>
      </w:tabs>
      <w:spacing w:after="0" w:line="240" w:lineRule="auto"/>
    </w:pPr>
  </w:style>
  <w:style w:type="character" w:customStyle="1" w:styleId="ab">
    <w:name w:val="כותרת תחתונה תו"/>
    <w:basedOn w:val="a0"/>
    <w:link w:val="aa"/>
    <w:uiPriority w:val="99"/>
    <w:rsid w:val="00FF6771"/>
    <w:rPr>
      <w:rFonts w:ascii="Narkisim" w:eastAsiaTheme="minorEastAsia" w:cs="Narkisi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2440</Words>
  <Characters>12200</Characters>
  <Application>Microsoft Office Word</Application>
  <DocSecurity>0</DocSecurity>
  <Lines>101</Lines>
  <Paragraphs>29</Paragraphs>
  <ScaleCrop>false</ScaleCrop>
  <Company>z</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zoldan</cp:lastModifiedBy>
  <cp:revision>2</cp:revision>
  <dcterms:created xsi:type="dcterms:W3CDTF">2016-01-26T09:02:00Z</dcterms:created>
  <dcterms:modified xsi:type="dcterms:W3CDTF">2016-01-26T09:10:00Z</dcterms:modified>
</cp:coreProperties>
</file>