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77" w:rsidRDefault="0032049C" w:rsidP="008A3C74">
      <w:pPr>
        <w:pStyle w:val="1"/>
        <w:rPr>
          <w:rtl/>
        </w:rPr>
      </w:pPr>
      <w:bookmarkStart w:id="0" w:name="_GoBack"/>
      <w:bookmarkEnd w:id="0"/>
      <w:r>
        <w:rPr>
          <w:rFonts w:hint="cs"/>
          <w:rtl/>
        </w:rPr>
        <w:t xml:space="preserve">הבא לסמוך בצד </w:t>
      </w:r>
      <w:proofErr w:type="spellStart"/>
      <w:r>
        <w:rPr>
          <w:rFonts w:hint="cs"/>
          <w:rtl/>
        </w:rPr>
        <w:t>המיצר</w:t>
      </w:r>
      <w:proofErr w:type="spellEnd"/>
      <w:r w:rsidR="005D0D0B">
        <w:rPr>
          <w:rFonts w:hint="cs"/>
          <w:sz w:val="28"/>
          <w:szCs w:val="28"/>
          <w:rtl/>
        </w:rPr>
        <w:t>*</w:t>
      </w:r>
    </w:p>
    <w:p w:rsidR="00084CA2" w:rsidRDefault="002F1577" w:rsidP="00676B04">
      <w:pPr>
        <w:rPr>
          <w:rtl/>
        </w:rPr>
      </w:pPr>
      <w:r>
        <w:rPr>
          <w:rFonts w:hint="cs"/>
          <w:rtl/>
        </w:rPr>
        <w:t xml:space="preserve">במשנה בב"ב בתחילת פרק לא יחפור </w:t>
      </w:r>
      <w:r w:rsidRPr="002F1577">
        <w:rPr>
          <w:rFonts w:hint="cs"/>
          <w:sz w:val="20"/>
          <w:szCs w:val="20"/>
          <w:rtl/>
        </w:rPr>
        <w:t>(</w:t>
      </w:r>
      <w:proofErr w:type="spellStart"/>
      <w:r w:rsidRPr="002F1577">
        <w:rPr>
          <w:rFonts w:hint="cs"/>
          <w:sz w:val="20"/>
          <w:szCs w:val="20"/>
          <w:rtl/>
        </w:rPr>
        <w:t>יז</w:t>
      </w:r>
      <w:proofErr w:type="spellEnd"/>
      <w:r>
        <w:rPr>
          <w:rFonts w:hint="cs"/>
          <w:sz w:val="20"/>
          <w:szCs w:val="20"/>
          <w:rtl/>
        </w:rPr>
        <w:t>.</w:t>
      </w:r>
      <w:r w:rsidRPr="002F1577">
        <w:rPr>
          <w:rFonts w:hint="cs"/>
          <w:sz w:val="20"/>
          <w:szCs w:val="20"/>
          <w:rtl/>
        </w:rPr>
        <w:t>)</w:t>
      </w:r>
      <w:r w:rsidR="003B200B" w:rsidRPr="00867AFB">
        <w:rPr>
          <w:rFonts w:hint="cs"/>
          <w:rtl/>
        </w:rPr>
        <w:t xml:space="preserve"> שנינו</w:t>
      </w:r>
      <w:r w:rsidR="00867AFB" w:rsidRPr="00867AFB">
        <w:rPr>
          <w:rFonts w:hint="cs"/>
          <w:rtl/>
        </w:rPr>
        <w:t xml:space="preserve"> שאסור לאדם לחפור בור</w:t>
      </w:r>
      <w:r w:rsidR="00867AFB">
        <w:rPr>
          <w:rFonts w:hint="cs"/>
          <w:rtl/>
        </w:rPr>
        <w:t xml:space="preserve"> סמוך לבורו של חבירו אלא צריך להרחיק שלושה טפחים. ו</w:t>
      </w:r>
      <w:r>
        <w:rPr>
          <w:rFonts w:hint="cs"/>
          <w:rtl/>
        </w:rPr>
        <w:t xml:space="preserve">בגמ' שם </w:t>
      </w:r>
      <w:r w:rsidRPr="002F1577">
        <w:rPr>
          <w:rFonts w:hint="cs"/>
          <w:rtl/>
        </w:rPr>
        <w:t>נחלקו אביי ורבא</w:t>
      </w:r>
      <w:r w:rsidR="00867AFB">
        <w:rPr>
          <w:rFonts w:hint="cs"/>
          <w:rtl/>
        </w:rPr>
        <w:t xml:space="preserve"> לגבי </w:t>
      </w:r>
      <w:r>
        <w:rPr>
          <w:rFonts w:hint="cs"/>
          <w:rtl/>
        </w:rPr>
        <w:t xml:space="preserve">הבא לסמוך </w:t>
      </w:r>
      <w:r w:rsidR="00C40C75">
        <w:rPr>
          <w:rFonts w:hint="cs"/>
          <w:rtl/>
        </w:rPr>
        <w:t xml:space="preserve">את בורו </w:t>
      </w:r>
      <w:r>
        <w:rPr>
          <w:rFonts w:hint="cs"/>
          <w:rtl/>
        </w:rPr>
        <w:t xml:space="preserve">בצד </w:t>
      </w:r>
      <w:proofErr w:type="spellStart"/>
      <w:r>
        <w:rPr>
          <w:rFonts w:hint="cs"/>
          <w:rtl/>
        </w:rPr>
        <w:t>המ</w:t>
      </w:r>
      <w:r w:rsidR="0080489D">
        <w:rPr>
          <w:rFonts w:hint="cs"/>
          <w:rtl/>
        </w:rPr>
        <w:t>י</w:t>
      </w:r>
      <w:r>
        <w:rPr>
          <w:rFonts w:hint="cs"/>
          <w:rtl/>
        </w:rPr>
        <w:t>צר</w:t>
      </w:r>
      <w:proofErr w:type="spellEnd"/>
      <w:r w:rsidR="0080489D">
        <w:rPr>
          <w:rFonts w:hint="cs"/>
          <w:rtl/>
        </w:rPr>
        <w:t xml:space="preserve"> שבי</w:t>
      </w:r>
      <w:r w:rsidR="00676B04">
        <w:rPr>
          <w:rFonts w:hint="cs"/>
          <w:rtl/>
        </w:rPr>
        <w:t>ן שדהו</w:t>
      </w:r>
      <w:r w:rsidR="0080489D">
        <w:rPr>
          <w:rFonts w:hint="cs"/>
          <w:rtl/>
        </w:rPr>
        <w:t xml:space="preserve"> ל</w:t>
      </w:r>
      <w:r w:rsidR="00676B04">
        <w:rPr>
          <w:rFonts w:hint="cs"/>
          <w:rtl/>
        </w:rPr>
        <w:t>שדה</w:t>
      </w:r>
      <w:r w:rsidR="0080489D">
        <w:rPr>
          <w:rFonts w:hint="cs"/>
          <w:rtl/>
        </w:rPr>
        <w:t xml:space="preserve"> חבירו</w:t>
      </w:r>
      <w:r w:rsidR="00867AFB">
        <w:rPr>
          <w:rFonts w:hint="cs"/>
          <w:rtl/>
        </w:rPr>
        <w:t>,</w:t>
      </w:r>
      <w:r w:rsidR="00F3040F">
        <w:rPr>
          <w:rFonts w:hint="cs"/>
          <w:rtl/>
        </w:rPr>
        <w:t xml:space="preserve"> </w:t>
      </w:r>
      <w:proofErr w:type="spellStart"/>
      <w:r w:rsidR="00867AFB">
        <w:rPr>
          <w:rFonts w:hint="cs"/>
          <w:rtl/>
        </w:rPr>
        <w:t>ש</w:t>
      </w:r>
      <w:r>
        <w:rPr>
          <w:rFonts w:hint="cs"/>
          <w:rtl/>
        </w:rPr>
        <w:t>אביי</w:t>
      </w:r>
      <w:proofErr w:type="spellEnd"/>
      <w:r>
        <w:rPr>
          <w:rFonts w:hint="cs"/>
          <w:rtl/>
        </w:rPr>
        <w:t xml:space="preserve"> אמר סומך, ורבא אמר אינו סומך.</w:t>
      </w:r>
      <w:r w:rsidR="00867AFB">
        <w:rPr>
          <w:rFonts w:hint="cs"/>
          <w:rtl/>
        </w:rPr>
        <w:t xml:space="preserve"> </w:t>
      </w:r>
      <w:proofErr w:type="spellStart"/>
      <w:r w:rsidR="00C40C75">
        <w:rPr>
          <w:rFonts w:hint="cs"/>
          <w:rtl/>
        </w:rPr>
        <w:t>ל</w:t>
      </w:r>
      <w:r w:rsidR="00867AFB">
        <w:rPr>
          <w:rFonts w:hint="cs"/>
          <w:rtl/>
        </w:rPr>
        <w:t>אח</w:t>
      </w:r>
      <w:r w:rsidR="00C40C75">
        <w:rPr>
          <w:rFonts w:hint="cs"/>
          <w:rtl/>
        </w:rPr>
        <w:t>מ</w:t>
      </w:r>
      <w:r w:rsidR="00867AFB">
        <w:rPr>
          <w:rFonts w:hint="cs"/>
          <w:rtl/>
        </w:rPr>
        <w:t>"כ</w:t>
      </w:r>
      <w:proofErr w:type="spellEnd"/>
      <w:r w:rsidR="00196A62">
        <w:rPr>
          <w:rFonts w:hint="cs"/>
          <w:rtl/>
        </w:rPr>
        <w:t xml:space="preserve"> מקשה הגמרא מלשון המשניות שבמשך הפרק</w:t>
      </w:r>
      <w:r w:rsidR="00F17C92">
        <w:rPr>
          <w:rFonts w:hint="cs"/>
          <w:rtl/>
        </w:rPr>
        <w:t xml:space="preserve">, שמפשטות לשונם משמע כאביי, </w:t>
      </w:r>
      <w:r w:rsidR="00867AFB">
        <w:rPr>
          <w:rFonts w:hint="cs"/>
          <w:rtl/>
        </w:rPr>
        <w:t>ו</w:t>
      </w:r>
      <w:r w:rsidR="00F17C92">
        <w:rPr>
          <w:rFonts w:hint="cs"/>
          <w:rtl/>
        </w:rPr>
        <w:t>מתרצת אותם כך שיסתדרו גם עם דברי רבא</w:t>
      </w:r>
      <w:r w:rsidR="009E27F3">
        <w:rPr>
          <w:rFonts w:hint="cs"/>
          <w:rtl/>
        </w:rPr>
        <w:t xml:space="preserve"> </w:t>
      </w:r>
      <w:r w:rsidR="009E27F3" w:rsidRPr="00C40C75">
        <w:rPr>
          <w:rFonts w:hint="cs"/>
          <w:i/>
          <w:iCs/>
          <w:sz w:val="20"/>
          <w:szCs w:val="20"/>
          <w:rtl/>
        </w:rPr>
        <w:t xml:space="preserve">[לצורך בהירות ההבנה </w:t>
      </w:r>
      <w:r w:rsidR="009E27F3">
        <w:rPr>
          <w:rFonts w:hint="cs"/>
          <w:i/>
          <w:iCs/>
          <w:sz w:val="20"/>
          <w:szCs w:val="20"/>
          <w:rtl/>
        </w:rPr>
        <w:t>הבאנו</w:t>
      </w:r>
      <w:r w:rsidR="009E27F3" w:rsidRPr="00C40C75">
        <w:rPr>
          <w:rFonts w:hint="cs"/>
          <w:i/>
          <w:iCs/>
          <w:sz w:val="20"/>
          <w:szCs w:val="20"/>
          <w:rtl/>
        </w:rPr>
        <w:t xml:space="preserve"> </w:t>
      </w:r>
      <w:r w:rsidR="009E27F3">
        <w:rPr>
          <w:rFonts w:hint="cs"/>
          <w:i/>
          <w:iCs/>
          <w:sz w:val="20"/>
          <w:szCs w:val="20"/>
          <w:rtl/>
        </w:rPr>
        <w:t xml:space="preserve">בסוף המאמר </w:t>
      </w:r>
      <w:r w:rsidR="001F10FC">
        <w:rPr>
          <w:rFonts w:hint="cs"/>
          <w:i/>
          <w:iCs/>
          <w:sz w:val="20"/>
          <w:szCs w:val="20"/>
          <w:rtl/>
        </w:rPr>
        <w:t xml:space="preserve">את </w:t>
      </w:r>
      <w:r w:rsidR="009E27F3" w:rsidRPr="00C40C75">
        <w:rPr>
          <w:rFonts w:hint="cs"/>
          <w:i/>
          <w:iCs/>
          <w:sz w:val="20"/>
          <w:szCs w:val="20"/>
          <w:rtl/>
        </w:rPr>
        <w:t xml:space="preserve">קושיות </w:t>
      </w:r>
      <w:r w:rsidR="001F10FC">
        <w:rPr>
          <w:rFonts w:hint="cs"/>
          <w:i/>
          <w:iCs/>
          <w:sz w:val="20"/>
          <w:szCs w:val="20"/>
          <w:rtl/>
        </w:rPr>
        <w:t xml:space="preserve">הגמ' </w:t>
      </w:r>
      <w:r w:rsidR="009E27F3" w:rsidRPr="00C40C75">
        <w:rPr>
          <w:rFonts w:hint="cs"/>
          <w:i/>
          <w:iCs/>
          <w:sz w:val="20"/>
          <w:szCs w:val="20"/>
          <w:rtl/>
        </w:rPr>
        <w:t>והתירוצים</w:t>
      </w:r>
      <w:r w:rsidR="009E27F3">
        <w:rPr>
          <w:rFonts w:hint="cs"/>
          <w:i/>
          <w:iCs/>
          <w:sz w:val="20"/>
          <w:szCs w:val="20"/>
          <w:rtl/>
        </w:rPr>
        <w:t xml:space="preserve"> בקצרה</w:t>
      </w:r>
      <w:r w:rsidR="009E27F3">
        <w:rPr>
          <w:rStyle w:val="af4"/>
          <w:i/>
          <w:iCs/>
          <w:sz w:val="20"/>
          <w:szCs w:val="20"/>
          <w:rtl/>
        </w:rPr>
        <w:endnoteReference w:id="1"/>
      </w:r>
      <w:r w:rsidR="009E27F3">
        <w:rPr>
          <w:rFonts w:hint="cs"/>
          <w:i/>
          <w:iCs/>
          <w:sz w:val="20"/>
          <w:szCs w:val="20"/>
          <w:rtl/>
        </w:rPr>
        <w:t>]</w:t>
      </w:r>
      <w:r w:rsidR="00F17C92">
        <w:rPr>
          <w:rFonts w:hint="cs"/>
          <w:rtl/>
        </w:rPr>
        <w:t>.</w:t>
      </w:r>
    </w:p>
    <w:p w:rsidR="00C34E26" w:rsidRDefault="0085787C" w:rsidP="00D8711A">
      <w:pPr>
        <w:rPr>
          <w:rtl/>
        </w:rPr>
      </w:pPr>
      <w:r>
        <w:rPr>
          <w:rFonts w:hint="cs"/>
          <w:rtl/>
        </w:rPr>
        <w:t xml:space="preserve">והנה, </w:t>
      </w:r>
      <w:r w:rsidR="00084CA2">
        <w:rPr>
          <w:rFonts w:hint="cs"/>
          <w:rtl/>
        </w:rPr>
        <w:t>ה</w:t>
      </w:r>
      <w:r w:rsidR="000871DB">
        <w:rPr>
          <w:rFonts w:hint="cs"/>
          <w:rtl/>
        </w:rPr>
        <w:t>רמב"ם</w:t>
      </w:r>
      <w:r w:rsidR="00084CA2">
        <w:rPr>
          <w:rFonts w:hint="cs"/>
          <w:rtl/>
        </w:rPr>
        <w:t xml:space="preserve"> </w:t>
      </w:r>
      <w:r>
        <w:rPr>
          <w:rFonts w:hint="cs"/>
          <w:rtl/>
        </w:rPr>
        <w:t xml:space="preserve">מביא </w:t>
      </w:r>
      <w:r w:rsidR="008A3C74">
        <w:rPr>
          <w:rFonts w:hint="cs"/>
          <w:rtl/>
        </w:rPr>
        <w:t xml:space="preserve">להלכה </w:t>
      </w:r>
      <w:r>
        <w:rPr>
          <w:rFonts w:hint="cs"/>
          <w:rtl/>
        </w:rPr>
        <w:t>את המשניות בפרק כלשונם</w:t>
      </w:r>
      <w:r w:rsidR="008A3C74">
        <w:rPr>
          <w:rFonts w:hint="cs"/>
          <w:rtl/>
        </w:rPr>
        <w:t xml:space="preserve"> ממש</w:t>
      </w:r>
      <w:r>
        <w:rPr>
          <w:rFonts w:hint="cs"/>
          <w:rtl/>
        </w:rPr>
        <w:t xml:space="preserve"> מבלי </w:t>
      </w:r>
      <w:proofErr w:type="spellStart"/>
      <w:r>
        <w:rPr>
          <w:rFonts w:hint="cs"/>
          <w:rtl/>
        </w:rPr>
        <w:t>לשנותם</w:t>
      </w:r>
      <w:proofErr w:type="spellEnd"/>
      <w:r>
        <w:rPr>
          <w:rFonts w:hint="cs"/>
          <w:rtl/>
        </w:rPr>
        <w:t xml:space="preserve"> </w:t>
      </w:r>
      <w:r w:rsidR="008A3C74">
        <w:rPr>
          <w:rFonts w:hint="cs"/>
          <w:rtl/>
        </w:rPr>
        <w:t xml:space="preserve">ולהסבירם עפ"י </w:t>
      </w:r>
      <w:r>
        <w:rPr>
          <w:rFonts w:hint="cs"/>
          <w:rtl/>
        </w:rPr>
        <w:t xml:space="preserve">תירוצי הגמרא </w:t>
      </w:r>
      <w:r w:rsidR="008A3C74">
        <w:rPr>
          <w:rFonts w:hint="cs"/>
          <w:rtl/>
        </w:rPr>
        <w:t>ב</w:t>
      </w:r>
      <w:r>
        <w:rPr>
          <w:rFonts w:hint="cs"/>
          <w:rtl/>
        </w:rPr>
        <w:t>דעת רבא</w:t>
      </w:r>
      <w:r w:rsidR="001F10FC">
        <w:rPr>
          <w:rStyle w:val="af4"/>
          <w:rtl/>
        </w:rPr>
        <w:endnoteReference w:id="2"/>
      </w:r>
      <w:r w:rsidR="001F10FC">
        <w:rPr>
          <w:rFonts w:hint="cs"/>
          <w:rtl/>
        </w:rPr>
        <w:t>,</w:t>
      </w:r>
      <w:r w:rsidR="000871DB">
        <w:rPr>
          <w:rFonts w:hint="cs"/>
          <w:rtl/>
        </w:rPr>
        <w:t xml:space="preserve"> אף שה</w:t>
      </w:r>
      <w:r w:rsidR="00622F0A">
        <w:rPr>
          <w:rFonts w:hint="cs"/>
          <w:rtl/>
        </w:rPr>
        <w:t>לכה כמותו</w:t>
      </w:r>
      <w:r w:rsidR="000871DB">
        <w:rPr>
          <w:rFonts w:hint="cs"/>
          <w:rtl/>
        </w:rPr>
        <w:t xml:space="preserve"> </w:t>
      </w:r>
      <w:r w:rsidR="000871DB" w:rsidRPr="00084CA2">
        <w:rPr>
          <w:rFonts w:hint="cs"/>
          <w:sz w:val="20"/>
          <w:szCs w:val="20"/>
          <w:rtl/>
        </w:rPr>
        <w:t>(שכנים ט, י</w:t>
      </w:r>
      <w:r w:rsidR="00D8711A">
        <w:rPr>
          <w:rStyle w:val="af3"/>
          <w:rtl/>
        </w:rPr>
        <w:footnoteReference w:id="1"/>
      </w:r>
      <w:r w:rsidR="000871DB">
        <w:rPr>
          <w:rFonts w:hint="cs"/>
          <w:sz w:val="20"/>
          <w:szCs w:val="20"/>
          <w:rtl/>
        </w:rPr>
        <w:t>)</w:t>
      </w:r>
      <w:r w:rsidR="00B8183B">
        <w:rPr>
          <w:rFonts w:hint="cs"/>
          <w:rtl/>
        </w:rPr>
        <w:t xml:space="preserve">. ותמוה ביותר, </w:t>
      </w:r>
      <w:r>
        <w:rPr>
          <w:rFonts w:hint="cs"/>
          <w:rtl/>
        </w:rPr>
        <w:t>הרי</w:t>
      </w:r>
      <w:r w:rsidR="00B8183B">
        <w:rPr>
          <w:rFonts w:hint="cs"/>
          <w:rtl/>
        </w:rPr>
        <w:t xml:space="preserve"> מכיוון שהגמרא הבינה בפשטות את פשט המשניות כאביי היה על הרמב"ם להוסיף עכ"פ את פירושי הגמרא למשניות הללו</w:t>
      </w:r>
      <w:r w:rsidR="008A3C74">
        <w:rPr>
          <w:rFonts w:hint="cs"/>
          <w:rtl/>
        </w:rPr>
        <w:t>.</w:t>
      </w:r>
    </w:p>
    <w:p w:rsidR="004E5DB2" w:rsidRDefault="006C3A67" w:rsidP="004A7A60">
      <w:pPr>
        <w:rPr>
          <w:rtl/>
        </w:rPr>
      </w:pPr>
      <w:r>
        <w:rPr>
          <w:rFonts w:hint="cs"/>
          <w:rtl/>
        </w:rPr>
        <w:t>לצורך הסברת העניין נקדים ש</w:t>
      </w:r>
      <w:r w:rsidR="004E5DB2">
        <w:rPr>
          <w:rFonts w:hint="cs"/>
          <w:rtl/>
        </w:rPr>
        <w:t xml:space="preserve">הדבר מוסכם וברור שאסור לאדם לעשות דבר שמזיק לחבירו בצורה ישירה, ועל זה כתב הרמב"ם </w:t>
      </w:r>
      <w:r w:rsidR="004E5DB2" w:rsidRPr="004E5DB2">
        <w:rPr>
          <w:sz w:val="20"/>
          <w:szCs w:val="20"/>
          <w:rtl/>
        </w:rPr>
        <w:t>(</w:t>
      </w:r>
      <w:r w:rsidR="004E5DB2">
        <w:rPr>
          <w:rFonts w:hint="cs"/>
          <w:sz w:val="20"/>
          <w:szCs w:val="20"/>
          <w:rtl/>
        </w:rPr>
        <w:t>י</w:t>
      </w:r>
      <w:r w:rsidR="004E5DB2" w:rsidRPr="004E5DB2">
        <w:rPr>
          <w:sz w:val="20"/>
          <w:szCs w:val="20"/>
          <w:rtl/>
        </w:rPr>
        <w:t>, ה)</w:t>
      </w:r>
      <w:r w:rsidR="004E5DB2">
        <w:rPr>
          <w:rFonts w:hint="cs"/>
          <w:rtl/>
        </w:rPr>
        <w:t>:</w:t>
      </w:r>
      <w:r w:rsidR="004E5DB2" w:rsidRPr="004E5DB2">
        <w:rPr>
          <w:rtl/>
        </w:rPr>
        <w:t xml:space="preserve"> </w:t>
      </w:r>
      <w:r w:rsidR="004E5DB2">
        <w:rPr>
          <w:rFonts w:hint="cs"/>
          <w:rtl/>
        </w:rPr>
        <w:t>"</w:t>
      </w:r>
      <w:r w:rsidR="004E5DB2" w:rsidRPr="004E5DB2">
        <w:rPr>
          <w:rtl/>
        </w:rPr>
        <w:t xml:space="preserve">אם היו מעשיו של זה שעושה ברשותו </w:t>
      </w:r>
      <w:proofErr w:type="spellStart"/>
      <w:r w:rsidR="004E5DB2" w:rsidRPr="004E5DB2">
        <w:rPr>
          <w:rtl/>
        </w:rPr>
        <w:t>מזיקין</w:t>
      </w:r>
      <w:proofErr w:type="spellEnd"/>
      <w:r w:rsidR="004E5DB2" w:rsidRPr="004E5DB2">
        <w:rPr>
          <w:rtl/>
        </w:rPr>
        <w:t xml:space="preserve"> את חבירו בשעת עשייתו</w:t>
      </w:r>
      <w:r w:rsidR="004E5DB2">
        <w:rPr>
          <w:rFonts w:hint="cs"/>
          <w:rtl/>
        </w:rPr>
        <w:t>,</w:t>
      </w:r>
      <w:r w:rsidR="004E5DB2" w:rsidRPr="004E5DB2">
        <w:rPr>
          <w:rtl/>
        </w:rPr>
        <w:t xml:space="preserve"> הרי זה כמי שמזיק בידו. הא למה זה דומה למי שעומד ברשותו ויורה</w:t>
      </w:r>
      <w:r w:rsidR="004E5DB2">
        <w:rPr>
          <w:rFonts w:hint="cs"/>
          <w:rtl/>
        </w:rPr>
        <w:t xml:space="preserve"> </w:t>
      </w:r>
      <w:r w:rsidR="004E5DB2" w:rsidRPr="004E5DB2">
        <w:rPr>
          <w:rtl/>
        </w:rPr>
        <w:t>חצים לחצר חבירו ואמר ברשותי אני עושה</w:t>
      </w:r>
      <w:r w:rsidR="00C218EB">
        <w:rPr>
          <w:rFonts w:hint="cs"/>
          <w:rtl/>
        </w:rPr>
        <w:t>,</w:t>
      </w:r>
      <w:r w:rsidR="004E5DB2" w:rsidRPr="004E5DB2">
        <w:rPr>
          <w:rtl/>
        </w:rPr>
        <w:t xml:space="preserve"> </w:t>
      </w:r>
      <w:proofErr w:type="spellStart"/>
      <w:r w:rsidR="004E5DB2" w:rsidRPr="004E5DB2">
        <w:rPr>
          <w:rtl/>
        </w:rPr>
        <w:t>שמונעין</w:t>
      </w:r>
      <w:proofErr w:type="spellEnd"/>
      <w:r w:rsidR="004E5DB2" w:rsidRPr="004E5DB2">
        <w:rPr>
          <w:rtl/>
        </w:rPr>
        <w:t xml:space="preserve"> אותו. וכן כל הרחקות האמורות למעלה </w:t>
      </w:r>
      <w:proofErr w:type="spellStart"/>
      <w:r w:rsidR="004E5DB2" w:rsidRPr="004E5DB2">
        <w:rPr>
          <w:rtl/>
        </w:rPr>
        <w:t>בענין</w:t>
      </w:r>
      <w:proofErr w:type="spellEnd"/>
      <w:r w:rsidR="004E5DB2" w:rsidRPr="004E5DB2">
        <w:rPr>
          <w:rtl/>
        </w:rPr>
        <w:t xml:space="preserve"> זה</w:t>
      </w:r>
      <w:r w:rsidR="00C218EB">
        <w:rPr>
          <w:rFonts w:hint="cs"/>
          <w:rtl/>
        </w:rPr>
        <w:t>,</w:t>
      </w:r>
      <w:r w:rsidR="004E5DB2" w:rsidRPr="004E5DB2">
        <w:rPr>
          <w:rtl/>
        </w:rPr>
        <w:t xml:space="preserve"> אם לא הרחיקו הרי זה כמי שהזיק בחציו</w:t>
      </w:r>
      <w:r w:rsidR="00C218EB">
        <w:rPr>
          <w:rFonts w:hint="cs"/>
          <w:rtl/>
        </w:rPr>
        <w:t>,</w:t>
      </w:r>
      <w:r w:rsidR="004E5DB2" w:rsidRPr="004E5DB2">
        <w:rPr>
          <w:rtl/>
        </w:rPr>
        <w:t xml:space="preserve"> לפיכך צריך שירחיק משרה מן הירק </w:t>
      </w:r>
      <w:proofErr w:type="spellStart"/>
      <w:r w:rsidR="004E5DB2" w:rsidRPr="004E5DB2">
        <w:rPr>
          <w:rtl/>
        </w:rPr>
        <w:t>וכרישין</w:t>
      </w:r>
      <w:proofErr w:type="spellEnd"/>
      <w:r w:rsidR="004E5DB2" w:rsidRPr="004E5DB2">
        <w:rPr>
          <w:rtl/>
        </w:rPr>
        <w:t xml:space="preserve"> מן הבצלים וחרדל מן הדבורים שלשה טפחים או יתר מעט כדי שלא יהיה היזק </w:t>
      </w:r>
      <w:proofErr w:type="spellStart"/>
      <w:r w:rsidR="004E5DB2" w:rsidRPr="004E5DB2">
        <w:rPr>
          <w:rtl/>
        </w:rPr>
        <w:t>בידים</w:t>
      </w:r>
      <w:proofErr w:type="spellEnd"/>
      <w:r w:rsidR="00853F91">
        <w:rPr>
          <w:rFonts w:hint="cs"/>
          <w:rtl/>
        </w:rPr>
        <w:t>". אמנם, במקרה שהנזק לא מגיע בצורה ישירה אלא "</w:t>
      </w:r>
      <w:r w:rsidR="00853F91" w:rsidRPr="00853F91">
        <w:rPr>
          <w:rtl/>
        </w:rPr>
        <w:t>היה הנזק בא</w:t>
      </w:r>
      <w:r w:rsidR="00853F91">
        <w:rPr>
          <w:rtl/>
        </w:rPr>
        <w:t xml:space="preserve"> מאליו אחר שיפסקו מעשיו של מזיק</w:t>
      </w:r>
      <w:r w:rsidR="00853F91">
        <w:rPr>
          <w:rFonts w:hint="cs"/>
          <w:rtl/>
        </w:rPr>
        <w:t xml:space="preserve">" </w:t>
      </w:r>
      <w:r w:rsidR="00853F91" w:rsidRPr="00853F91">
        <w:rPr>
          <w:rFonts w:hint="cs"/>
          <w:sz w:val="20"/>
          <w:szCs w:val="20"/>
          <w:rtl/>
        </w:rPr>
        <w:t>(לשון הרמב"ם שם)</w:t>
      </w:r>
      <w:r w:rsidR="00853F91">
        <w:rPr>
          <w:rFonts w:hint="cs"/>
          <w:rtl/>
        </w:rPr>
        <w:t xml:space="preserve"> </w:t>
      </w:r>
      <w:r w:rsidR="00853F91">
        <w:rPr>
          <w:rFonts w:hint="eastAsia"/>
          <w:rtl/>
        </w:rPr>
        <w:t xml:space="preserve">– </w:t>
      </w:r>
      <w:r w:rsidR="00853F91">
        <w:rPr>
          <w:rFonts w:hint="cs"/>
          <w:rtl/>
        </w:rPr>
        <w:t>נחלקו ר' יוסי וחכמים אם אדם רשאי לעשות זאת ברשותו: ר' יוסי ס</w:t>
      </w:r>
      <w:r w:rsidR="004A7A60">
        <w:rPr>
          <w:rFonts w:hint="cs"/>
          <w:rtl/>
        </w:rPr>
        <w:t>ו</w:t>
      </w:r>
      <w:r w:rsidR="00853F91">
        <w:rPr>
          <w:rFonts w:hint="cs"/>
          <w:rtl/>
        </w:rPr>
        <w:t>בר רשאי "ו</w:t>
      </w:r>
      <w:r w:rsidR="00853F91" w:rsidRPr="00853F91">
        <w:rPr>
          <w:rtl/>
        </w:rPr>
        <w:t>על הניזק להרחיק את עצמו אם ירצה עד שלא יגיע לו הנזק</w:t>
      </w:r>
      <w:r w:rsidR="00853F91">
        <w:rPr>
          <w:rFonts w:hint="cs"/>
          <w:rtl/>
        </w:rPr>
        <w:t>,</w:t>
      </w:r>
      <w:r w:rsidR="00853F91" w:rsidRPr="00853F91">
        <w:rPr>
          <w:rtl/>
        </w:rPr>
        <w:t xml:space="preserve"> שזה בתוך שלו הוא עושה והנזק בא לחבירו מאליו</w:t>
      </w:r>
      <w:r w:rsidR="00853F91">
        <w:rPr>
          <w:rFonts w:hint="cs"/>
          <w:rtl/>
        </w:rPr>
        <w:t xml:space="preserve">" </w:t>
      </w:r>
      <w:r w:rsidR="00853F91" w:rsidRPr="00853F91">
        <w:rPr>
          <w:rFonts w:hint="cs"/>
          <w:sz w:val="20"/>
          <w:szCs w:val="20"/>
          <w:rtl/>
        </w:rPr>
        <w:t>(שם)</w:t>
      </w:r>
      <w:r w:rsidR="00853F91">
        <w:rPr>
          <w:rFonts w:hint="cs"/>
          <w:rtl/>
        </w:rPr>
        <w:t xml:space="preserve">, וחכמים </w:t>
      </w:r>
      <w:r w:rsidR="004A7A60">
        <w:rPr>
          <w:rFonts w:hint="cs"/>
          <w:rtl/>
        </w:rPr>
        <w:t>סוברים שאינו רשאי ועל המזיק להרחיק את עצמו</w:t>
      </w:r>
      <w:r w:rsidR="00853F91">
        <w:rPr>
          <w:rFonts w:hint="cs"/>
          <w:rtl/>
        </w:rPr>
        <w:t>.</w:t>
      </w:r>
      <w:r w:rsidR="004A7A60">
        <w:rPr>
          <w:rFonts w:hint="cs"/>
          <w:rtl/>
        </w:rPr>
        <w:t xml:space="preserve"> להלכה פסקה הגמרא כר' יוסי </w:t>
      </w:r>
      <w:r w:rsidR="004A7A60" w:rsidRPr="004A7A60">
        <w:rPr>
          <w:rFonts w:hint="cs"/>
          <w:sz w:val="20"/>
          <w:szCs w:val="20"/>
          <w:rtl/>
        </w:rPr>
        <w:t>(כה:)</w:t>
      </w:r>
      <w:r w:rsidR="004A7A60">
        <w:rPr>
          <w:rFonts w:hint="cs"/>
          <w:rtl/>
        </w:rPr>
        <w:t xml:space="preserve"> וכך כמובן פסק הרמב"ם.</w:t>
      </w:r>
    </w:p>
    <w:p w:rsidR="00CB7DEB" w:rsidRDefault="008F36AE" w:rsidP="00CB7DEB">
      <w:pPr>
        <w:spacing w:after="0"/>
        <w:rPr>
          <w:rtl/>
        </w:rPr>
      </w:pPr>
      <w:r>
        <w:rPr>
          <w:rFonts w:hint="cs"/>
          <w:rtl/>
        </w:rPr>
        <w:t>נראה ש</w:t>
      </w:r>
      <w:r w:rsidR="006C3A67">
        <w:rPr>
          <w:rFonts w:hint="cs"/>
          <w:rtl/>
        </w:rPr>
        <w:t>הרמב"ם הבין (בשונה מכל הראשונים) שמחלוקת אביי ורבא איננה נוגעת בדין הנ"ל</w:t>
      </w:r>
      <w:r w:rsidR="00276758">
        <w:rPr>
          <w:rFonts w:hint="cs"/>
          <w:rtl/>
        </w:rPr>
        <w:t>, כלומר כל הדין הנ"ל שאסור ל</w:t>
      </w:r>
      <w:r>
        <w:rPr>
          <w:rFonts w:hint="cs"/>
          <w:rtl/>
        </w:rPr>
        <w:t>עשות דבר שמזיק לחבירו</w:t>
      </w:r>
      <w:r w:rsidR="00276758">
        <w:rPr>
          <w:rFonts w:hint="cs"/>
          <w:rtl/>
        </w:rPr>
        <w:t xml:space="preserve"> אמור דווקא במקרה שיש ניזוק אך </w:t>
      </w:r>
      <w:r>
        <w:rPr>
          <w:rFonts w:hint="cs"/>
          <w:rtl/>
        </w:rPr>
        <w:t>כ</w:t>
      </w:r>
      <w:r w:rsidR="00276758">
        <w:rPr>
          <w:rFonts w:hint="cs"/>
          <w:rtl/>
        </w:rPr>
        <w:t>שאין שום דבר שניזוק אין שום איסור לעשות פעולה כזאת</w:t>
      </w:r>
      <w:r w:rsidR="009005EF">
        <w:rPr>
          <w:rStyle w:val="af3"/>
          <w:rtl/>
        </w:rPr>
        <w:footnoteReference w:id="2"/>
      </w:r>
      <w:r w:rsidR="00276758">
        <w:rPr>
          <w:rFonts w:hint="cs"/>
          <w:rtl/>
        </w:rPr>
        <w:t>.</w:t>
      </w:r>
    </w:p>
    <w:p w:rsidR="00CB7DEB" w:rsidRDefault="000B3844" w:rsidP="000B3844">
      <w:pPr>
        <w:spacing w:after="0"/>
        <w:rPr>
          <w:rtl/>
        </w:rPr>
      </w:pPr>
      <w:r>
        <w:rPr>
          <w:rFonts w:hint="cs"/>
          <w:rtl/>
        </w:rPr>
        <w:t>ומחלוקת אביי ורבא היא</w:t>
      </w:r>
      <w:r w:rsidR="009C685D" w:rsidRPr="00CB7DEB">
        <w:rPr>
          <w:rFonts w:hint="cs"/>
          <w:rtl/>
        </w:rPr>
        <w:t xml:space="preserve"> בדין אחר לגמרי</w:t>
      </w:r>
      <w:r w:rsidR="00D0283A">
        <w:rPr>
          <w:rStyle w:val="af3"/>
          <w:rtl/>
        </w:rPr>
        <w:footnoteReference w:id="3"/>
      </w:r>
      <w:r w:rsidR="009C685D" w:rsidRPr="00CB7DEB">
        <w:rPr>
          <w:rFonts w:hint="cs"/>
          <w:rtl/>
        </w:rPr>
        <w:t>:</w:t>
      </w:r>
      <w:r w:rsidR="0018793C" w:rsidRPr="00CB7DEB">
        <w:rPr>
          <w:rFonts w:hint="cs"/>
          <w:rtl/>
        </w:rPr>
        <w:t xml:space="preserve"> אביי סבר ש</w:t>
      </w:r>
      <w:r w:rsidR="005D2FF0" w:rsidRPr="00CB7DEB">
        <w:rPr>
          <w:rFonts w:hint="cs"/>
          <w:rtl/>
        </w:rPr>
        <w:t>מ</w:t>
      </w:r>
      <w:r w:rsidR="0018793C" w:rsidRPr="00CB7DEB">
        <w:rPr>
          <w:rFonts w:hint="cs"/>
          <w:rtl/>
        </w:rPr>
        <w:t xml:space="preserve">אחר שהאדם </w:t>
      </w:r>
      <w:r w:rsidR="005D2FF0" w:rsidRPr="00CB7DEB">
        <w:rPr>
          <w:rFonts w:hint="cs"/>
          <w:rtl/>
        </w:rPr>
        <w:t>עשה את תשמישו בחצר בהיתר (</w:t>
      </w:r>
      <w:proofErr w:type="spellStart"/>
      <w:r w:rsidR="005D2FF0" w:rsidRPr="00CB7DEB">
        <w:rPr>
          <w:rFonts w:hint="cs"/>
          <w:rtl/>
        </w:rPr>
        <w:t>כשלחבירו</w:t>
      </w:r>
      <w:proofErr w:type="spellEnd"/>
      <w:r w:rsidR="005D2FF0" w:rsidRPr="00CB7DEB">
        <w:rPr>
          <w:rFonts w:hint="cs"/>
          <w:rtl/>
        </w:rPr>
        <w:t xml:space="preserve"> עוד לא</w:t>
      </w:r>
      <w:r w:rsidR="005D2FF0">
        <w:rPr>
          <w:rFonts w:hint="cs"/>
          <w:rtl/>
        </w:rPr>
        <w:t xml:space="preserve"> היה סמוך למיצר שום דבר הניזוק מאותו התשמיש) הרי שהוא החזיק בזה ושוב שכינו אינו רשאי לעכבו אף </w:t>
      </w:r>
      <w:r w:rsidR="007F756A">
        <w:rPr>
          <w:rFonts w:hint="cs"/>
          <w:rtl/>
        </w:rPr>
        <w:t>אם</w:t>
      </w:r>
      <w:r w:rsidR="005D2FF0">
        <w:rPr>
          <w:rFonts w:hint="cs"/>
          <w:rtl/>
        </w:rPr>
        <w:t xml:space="preserve"> הוא החליט</w:t>
      </w:r>
      <w:r w:rsidR="007F756A">
        <w:rPr>
          <w:rFonts w:hint="cs"/>
          <w:rtl/>
        </w:rPr>
        <w:t xml:space="preserve"> אח"כ</w:t>
      </w:r>
      <w:r w:rsidR="005D2FF0">
        <w:rPr>
          <w:rFonts w:hint="cs"/>
          <w:rtl/>
        </w:rPr>
        <w:t xml:space="preserve"> לסמוך למיצר דבר שניזוק מאותו התשמיש</w:t>
      </w:r>
      <w:r w:rsidR="007210A6">
        <w:rPr>
          <w:rFonts w:hint="cs"/>
          <w:rtl/>
        </w:rPr>
        <w:t xml:space="preserve"> </w:t>
      </w:r>
      <w:r w:rsidR="007210A6">
        <w:rPr>
          <w:rFonts w:hint="eastAsia"/>
          <w:rtl/>
        </w:rPr>
        <w:t xml:space="preserve">– </w:t>
      </w:r>
      <w:r w:rsidR="007F756A">
        <w:rPr>
          <w:rFonts w:hint="cs"/>
          <w:rtl/>
        </w:rPr>
        <w:t xml:space="preserve">לכן </w:t>
      </w:r>
      <w:r w:rsidR="007210A6">
        <w:rPr>
          <w:rFonts w:hint="eastAsia"/>
          <w:rtl/>
        </w:rPr>
        <w:t xml:space="preserve">לגבי הבא לסמוך בורו בצד </w:t>
      </w:r>
      <w:proofErr w:type="spellStart"/>
      <w:r w:rsidR="007210A6">
        <w:rPr>
          <w:rFonts w:hint="eastAsia"/>
          <w:rtl/>
        </w:rPr>
        <w:t>המיצר</w:t>
      </w:r>
      <w:proofErr w:type="spellEnd"/>
      <w:r w:rsidR="007F756A">
        <w:rPr>
          <w:rFonts w:hint="cs"/>
          <w:rtl/>
        </w:rPr>
        <w:t xml:space="preserve"> אביי אמר שהוא רשאי </w:t>
      </w:r>
      <w:r w:rsidR="007210A6">
        <w:rPr>
          <w:rFonts w:hint="eastAsia"/>
          <w:rtl/>
        </w:rPr>
        <w:t>אף שבחפירתו הוא מרפה את הקרקע ומזיקה באופן שלא יהיה אפשר לחפור</w:t>
      </w:r>
      <w:r w:rsidR="007F756A">
        <w:rPr>
          <w:rFonts w:hint="cs"/>
          <w:rtl/>
        </w:rPr>
        <w:t xml:space="preserve"> אח"כ</w:t>
      </w:r>
      <w:r w:rsidR="007210A6">
        <w:rPr>
          <w:rFonts w:hint="eastAsia"/>
          <w:rtl/>
        </w:rPr>
        <w:t xml:space="preserve"> בור בצד השני של </w:t>
      </w:r>
      <w:proofErr w:type="spellStart"/>
      <w:r w:rsidR="007210A6">
        <w:rPr>
          <w:rFonts w:hint="eastAsia"/>
          <w:rtl/>
        </w:rPr>
        <w:t>המיצר</w:t>
      </w:r>
      <w:proofErr w:type="spellEnd"/>
      <w:r w:rsidR="00285A1D">
        <w:rPr>
          <w:rFonts w:hint="cs"/>
          <w:rtl/>
        </w:rPr>
        <w:t>.</w:t>
      </w:r>
    </w:p>
    <w:p w:rsidR="00CB7DEB" w:rsidRDefault="005D2FF0" w:rsidP="00CB7DEB">
      <w:pPr>
        <w:spacing w:after="0"/>
        <w:rPr>
          <w:rtl/>
        </w:rPr>
      </w:pPr>
      <w:r w:rsidRPr="00CB7DEB">
        <w:rPr>
          <w:rFonts w:hint="cs"/>
          <w:rtl/>
        </w:rPr>
        <w:t xml:space="preserve">ורבא לעומת זאת סבר שאין </w:t>
      </w:r>
      <w:r w:rsidR="002745E7" w:rsidRPr="00CB7DEB">
        <w:rPr>
          <w:rFonts w:hint="cs"/>
          <w:rtl/>
        </w:rPr>
        <w:t>חזקה כזאת והעובדה שהוא עשה את תשמישו ראשון אינה נותנת לו שום זכות בקרקע, ולכן</w:t>
      </w:r>
      <w:r w:rsidR="002745E7">
        <w:rPr>
          <w:rFonts w:hint="cs"/>
          <w:rtl/>
        </w:rPr>
        <w:t xml:space="preserve"> במקרה </w:t>
      </w:r>
      <w:proofErr w:type="spellStart"/>
      <w:r w:rsidR="002745E7">
        <w:rPr>
          <w:rFonts w:hint="cs"/>
          <w:rtl/>
        </w:rPr>
        <w:t>ששכינו</w:t>
      </w:r>
      <w:proofErr w:type="spellEnd"/>
      <w:r w:rsidR="002745E7">
        <w:rPr>
          <w:rFonts w:hint="cs"/>
          <w:rtl/>
        </w:rPr>
        <w:t xml:space="preserve"> יחליט לסמוך למיצר דבר הניזוק מאותו התשמיש הרי שרשאי לעכבו ולמנוע ממנו את אותו התשמיש</w:t>
      </w:r>
      <w:r w:rsidR="007210A6">
        <w:rPr>
          <w:rFonts w:hint="cs"/>
          <w:rtl/>
        </w:rPr>
        <w:t xml:space="preserve"> </w:t>
      </w:r>
      <w:r w:rsidR="007210A6">
        <w:rPr>
          <w:rFonts w:hint="eastAsia"/>
          <w:rtl/>
        </w:rPr>
        <w:t xml:space="preserve">– לכן </w:t>
      </w:r>
      <w:r w:rsidR="007F756A">
        <w:rPr>
          <w:rFonts w:hint="cs"/>
          <w:rtl/>
        </w:rPr>
        <w:t xml:space="preserve">בנידון </w:t>
      </w:r>
      <w:proofErr w:type="spellStart"/>
      <w:r w:rsidR="007F756A">
        <w:rPr>
          <w:rFonts w:hint="cs"/>
          <w:rtl/>
        </w:rPr>
        <w:t>דידן</w:t>
      </w:r>
      <w:proofErr w:type="spellEnd"/>
      <w:r w:rsidR="007210A6">
        <w:rPr>
          <w:rFonts w:hint="eastAsia"/>
          <w:rtl/>
        </w:rPr>
        <w:t xml:space="preserve"> הוא סבר שאסור לסמוך את בורו למיצר, אף שכרגע אין </w:t>
      </w:r>
      <w:proofErr w:type="spellStart"/>
      <w:r w:rsidR="007210A6">
        <w:rPr>
          <w:rFonts w:hint="eastAsia"/>
          <w:rtl/>
        </w:rPr>
        <w:t>לשכינו</w:t>
      </w:r>
      <w:proofErr w:type="spellEnd"/>
      <w:r w:rsidR="007210A6">
        <w:rPr>
          <w:rFonts w:hint="eastAsia"/>
          <w:rtl/>
        </w:rPr>
        <w:t xml:space="preserve"> בור ושום דבר לא ניזוק, מ</w:t>
      </w:r>
      <w:r w:rsidR="007210A6">
        <w:rPr>
          <w:rFonts w:hint="cs"/>
          <w:rtl/>
        </w:rPr>
        <w:t>"מ כיוון שזה מרפה לשכן את הקרקע ומזיקה וזה מונע מהשכן לחפור שם בור אם ירצה לכן הוא נחשב מזיק את הקרקע</w:t>
      </w:r>
      <w:r w:rsidR="002745E7">
        <w:rPr>
          <w:rFonts w:hint="cs"/>
          <w:rtl/>
        </w:rPr>
        <w:t>.</w:t>
      </w:r>
    </w:p>
    <w:p w:rsidR="0018793C" w:rsidRDefault="00230E7D" w:rsidP="007F756A">
      <w:pPr>
        <w:rPr>
          <w:rtl/>
        </w:rPr>
      </w:pPr>
      <w:r w:rsidRPr="00CB7DEB">
        <w:rPr>
          <w:rFonts w:hint="cs"/>
          <w:rtl/>
        </w:rPr>
        <w:t>ובמילים אחרות:</w:t>
      </w:r>
      <w:r w:rsidRPr="00CB7DEB">
        <w:rPr>
          <w:rtl/>
        </w:rPr>
        <w:t xml:space="preserve"> המחלוקת בין אביי </w:t>
      </w:r>
      <w:proofErr w:type="spellStart"/>
      <w:r w:rsidRPr="00CB7DEB">
        <w:rPr>
          <w:rtl/>
        </w:rPr>
        <w:t>לרבא</w:t>
      </w:r>
      <w:proofErr w:type="spellEnd"/>
      <w:r w:rsidRPr="00CB7DEB">
        <w:rPr>
          <w:rtl/>
        </w:rPr>
        <w:t xml:space="preserve"> אינה האם הראשון מקלקל את האדמה, אלא האם יש לו זכות לקלקל את</w:t>
      </w:r>
      <w:r>
        <w:rPr>
          <w:rtl/>
        </w:rPr>
        <w:t xml:space="preserve"> האדמה בזה שהוא ראשון</w:t>
      </w:r>
      <w:r>
        <w:rPr>
          <w:rFonts w:hint="cs"/>
          <w:rtl/>
        </w:rPr>
        <w:t>,</w:t>
      </w:r>
      <w:r>
        <w:rPr>
          <w:rtl/>
        </w:rPr>
        <w:t xml:space="preserve"> אביי סובר שכן ורבא סובר שלא</w:t>
      </w:r>
      <w:r>
        <w:rPr>
          <w:rFonts w:hint="cs"/>
          <w:rtl/>
        </w:rPr>
        <w:t xml:space="preserve">, אך כל זה שייך דווקא בבור שבחפירתו האדמה מתקלקלת עוד לפני שהשכן סמך, אך במזיקים אחרים גם רבא יודה שמותר לסמוך (אלא </w:t>
      </w:r>
      <w:proofErr w:type="spellStart"/>
      <w:r>
        <w:rPr>
          <w:rFonts w:hint="cs"/>
          <w:rtl/>
        </w:rPr>
        <w:t>שלאחמ"כ</w:t>
      </w:r>
      <w:proofErr w:type="spellEnd"/>
      <w:r>
        <w:rPr>
          <w:rFonts w:hint="cs"/>
          <w:rtl/>
        </w:rPr>
        <w:t xml:space="preserve"> אם השכן יחליט שהוא רוצה לסמוך כותל למיצר הרי שהוא יכול לדרוש ממנו להרחיק את המזיק</w:t>
      </w:r>
      <w:r w:rsidR="00C0499A">
        <w:rPr>
          <w:rFonts w:hint="cs"/>
          <w:rtl/>
        </w:rPr>
        <w:t xml:space="preserve"> לפי רבא</w:t>
      </w:r>
      <w:r>
        <w:rPr>
          <w:rFonts w:hint="cs"/>
          <w:rtl/>
        </w:rPr>
        <w:t>).</w:t>
      </w:r>
      <w:r w:rsidR="00285A1D">
        <w:rPr>
          <w:rStyle w:val="af3"/>
          <w:rtl/>
        </w:rPr>
        <w:footnoteReference w:id="4"/>
      </w:r>
    </w:p>
    <w:p w:rsidR="00CB7DEB" w:rsidRDefault="00CB7DEB" w:rsidP="00D83BFF">
      <w:pPr>
        <w:rPr>
          <w:rtl/>
        </w:rPr>
      </w:pPr>
      <w:proofErr w:type="spellStart"/>
      <w:r>
        <w:rPr>
          <w:rFonts w:hint="cs"/>
          <w:rtl/>
        </w:rPr>
        <w:t>לפי"ז</w:t>
      </w:r>
      <w:proofErr w:type="spellEnd"/>
      <w:r>
        <w:rPr>
          <w:rFonts w:hint="cs"/>
          <w:rtl/>
        </w:rPr>
        <w:t xml:space="preserve"> צריך לפרש שקושיות הגמרא על רבא מהמשניות במשך </w:t>
      </w:r>
      <w:r w:rsidR="000871DB">
        <w:rPr>
          <w:rFonts w:hint="cs"/>
          <w:rtl/>
        </w:rPr>
        <w:t>ה</w:t>
      </w:r>
      <w:r>
        <w:rPr>
          <w:rFonts w:hint="cs"/>
          <w:rtl/>
        </w:rPr>
        <w:t>פרק אינם מזה שרוא</w:t>
      </w:r>
      <w:r w:rsidR="00D83BFF">
        <w:rPr>
          <w:rFonts w:hint="cs"/>
          <w:rtl/>
        </w:rPr>
        <w:t>ים שאם אין ניזוק אזי מותר לסמוך</w:t>
      </w:r>
      <w:r>
        <w:rPr>
          <w:rFonts w:hint="cs"/>
          <w:rtl/>
        </w:rPr>
        <w:t xml:space="preserve"> </w:t>
      </w:r>
      <w:r w:rsidR="00D83BFF">
        <w:rPr>
          <w:rFonts w:hint="cs"/>
          <w:rtl/>
        </w:rPr>
        <w:t>(</w:t>
      </w:r>
      <w:r>
        <w:rPr>
          <w:rFonts w:hint="cs"/>
          <w:rtl/>
        </w:rPr>
        <w:t>שהרי בזה כולם מודים כפי שביארנו</w:t>
      </w:r>
      <w:r w:rsidR="00D83BFF">
        <w:rPr>
          <w:rFonts w:hint="cs"/>
          <w:rtl/>
        </w:rPr>
        <w:t>)</w:t>
      </w:r>
      <w:r>
        <w:rPr>
          <w:rFonts w:hint="cs"/>
          <w:rtl/>
        </w:rPr>
        <w:t xml:space="preserve"> </w:t>
      </w:r>
      <w:r w:rsidR="00E15903">
        <w:rPr>
          <w:rFonts w:hint="cs"/>
          <w:rtl/>
        </w:rPr>
        <w:t>אלא מזה שבפשטות משמע שלא רק ש</w:t>
      </w:r>
      <w:r w:rsidR="00996A96">
        <w:rPr>
          <w:rFonts w:hint="cs"/>
          <w:rtl/>
        </w:rPr>
        <w:t xml:space="preserve">במקרה שאין ניזוק לא </w:t>
      </w:r>
      <w:proofErr w:type="spellStart"/>
      <w:r w:rsidR="00996A96">
        <w:rPr>
          <w:rFonts w:hint="cs"/>
          <w:rtl/>
        </w:rPr>
        <w:t>מרחיקין</w:t>
      </w:r>
      <w:proofErr w:type="spellEnd"/>
      <w:r w:rsidR="00D83BFF">
        <w:rPr>
          <w:rFonts w:hint="cs"/>
          <w:rtl/>
        </w:rPr>
        <w:t xml:space="preserve"> (שאין בזה </w:t>
      </w:r>
      <w:r w:rsidR="00D83BFF">
        <w:rPr>
          <w:rFonts w:hint="cs"/>
          <w:rtl/>
        </w:rPr>
        <w:lastRenderedPageBreak/>
        <w:t xml:space="preserve">שום חידוש </w:t>
      </w:r>
      <w:proofErr w:type="spellStart"/>
      <w:r w:rsidR="00D83BFF">
        <w:rPr>
          <w:rFonts w:hint="cs"/>
          <w:rtl/>
        </w:rPr>
        <w:t>לפמשנ"ת</w:t>
      </w:r>
      <w:proofErr w:type="spellEnd"/>
      <w:r w:rsidR="00D83BFF">
        <w:rPr>
          <w:rFonts w:hint="cs"/>
          <w:rtl/>
        </w:rPr>
        <w:t>)</w:t>
      </w:r>
      <w:r w:rsidR="00996A96">
        <w:rPr>
          <w:rFonts w:hint="cs"/>
          <w:rtl/>
        </w:rPr>
        <w:t xml:space="preserve"> אלא אפילו אם אח"כ השכן סמך דבר הניזוק </w:t>
      </w:r>
      <w:r w:rsidR="00996A96">
        <w:rPr>
          <w:rFonts w:hint="eastAsia"/>
          <w:rtl/>
        </w:rPr>
        <w:t>–</w:t>
      </w:r>
      <w:r w:rsidR="00996A96">
        <w:rPr>
          <w:rFonts w:hint="cs"/>
          <w:rtl/>
        </w:rPr>
        <w:t xml:space="preserve"> עדיין הראשון אינו צריך להרחיק</w:t>
      </w:r>
      <w:r w:rsidR="00285A1D">
        <w:rPr>
          <w:rStyle w:val="af3"/>
          <w:rtl/>
        </w:rPr>
        <w:footnoteReference w:id="5"/>
      </w:r>
      <w:r w:rsidR="00996A96">
        <w:rPr>
          <w:rFonts w:hint="cs"/>
          <w:rtl/>
        </w:rPr>
        <w:t>.</w:t>
      </w:r>
      <w:r w:rsidR="00D83BFF">
        <w:rPr>
          <w:rFonts w:hint="cs"/>
          <w:rtl/>
        </w:rPr>
        <w:t xml:space="preserve"> ועל זה הגמרא תירצה בדעת רבא שבאמת לאחר שהשכן סמך דבר הניזוק אזי המזיק צריך להרחיק, ומה שהמשניות כתבו את הדבר הניזוק זה בשביל ללמד שהדברים ההם אכן ניזוקים מהסמיכה.</w:t>
      </w:r>
    </w:p>
    <w:p w:rsidR="00FB24A2" w:rsidRDefault="00E85D96" w:rsidP="005A1C72">
      <w:pPr>
        <w:rPr>
          <w:rtl/>
        </w:rPr>
      </w:pPr>
      <w:proofErr w:type="spellStart"/>
      <w:r>
        <w:rPr>
          <w:rFonts w:hint="cs"/>
          <w:rtl/>
        </w:rPr>
        <w:t>עפי"ז</w:t>
      </w:r>
      <w:proofErr w:type="spellEnd"/>
      <w:r w:rsidR="00FB24A2">
        <w:rPr>
          <w:rFonts w:hint="cs"/>
          <w:rtl/>
        </w:rPr>
        <w:t xml:space="preserve"> מה שהגמרא </w:t>
      </w:r>
      <w:r w:rsidR="00B5268A">
        <w:rPr>
          <w:rFonts w:hint="cs"/>
          <w:rtl/>
        </w:rPr>
        <w:t>אמרה</w:t>
      </w:r>
      <w:r w:rsidR="00FB24A2">
        <w:rPr>
          <w:rFonts w:hint="cs"/>
          <w:rtl/>
        </w:rPr>
        <w:t xml:space="preserve"> </w:t>
      </w:r>
      <w:r w:rsidR="00B5268A" w:rsidRPr="00B5268A">
        <w:rPr>
          <w:rFonts w:hint="cs"/>
          <w:sz w:val="20"/>
          <w:szCs w:val="20"/>
          <w:rtl/>
        </w:rPr>
        <w:t>(</w:t>
      </w:r>
      <w:proofErr w:type="spellStart"/>
      <w:r w:rsidR="00B5268A" w:rsidRPr="00B5268A">
        <w:rPr>
          <w:rFonts w:hint="cs"/>
          <w:sz w:val="20"/>
          <w:szCs w:val="20"/>
          <w:rtl/>
        </w:rPr>
        <w:t>יח</w:t>
      </w:r>
      <w:proofErr w:type="spellEnd"/>
      <w:r w:rsidR="00B5268A" w:rsidRPr="00B5268A">
        <w:rPr>
          <w:rFonts w:hint="cs"/>
          <w:sz w:val="20"/>
          <w:szCs w:val="20"/>
          <w:rtl/>
        </w:rPr>
        <w:t>.)</w:t>
      </w:r>
      <w:r w:rsidR="00B5268A">
        <w:rPr>
          <w:rFonts w:hint="cs"/>
          <w:rtl/>
        </w:rPr>
        <w:t xml:space="preserve"> לגבי מה שמשמע במשנה </w:t>
      </w:r>
      <w:r w:rsidR="00B5268A" w:rsidRPr="00B5268A">
        <w:rPr>
          <w:rFonts w:hint="cs"/>
          <w:sz w:val="20"/>
          <w:szCs w:val="20"/>
          <w:rtl/>
        </w:rPr>
        <w:t>(כ:)</w:t>
      </w:r>
      <w:r w:rsidR="00B5268A">
        <w:rPr>
          <w:rFonts w:hint="cs"/>
          <w:rtl/>
        </w:rPr>
        <w:t xml:space="preserve"> שדווקא "תחת אוצרו של חבירו" אסור לפתוח חנות ורפת בקר אך בסתם מותר לפתוח, שהטעם הוא משום </w:t>
      </w:r>
      <w:proofErr w:type="spellStart"/>
      <w:r>
        <w:rPr>
          <w:rFonts w:hint="cs"/>
          <w:rtl/>
        </w:rPr>
        <w:t>ד"דירה</w:t>
      </w:r>
      <w:proofErr w:type="spellEnd"/>
      <w:r>
        <w:rPr>
          <w:rFonts w:hint="cs"/>
          <w:rtl/>
        </w:rPr>
        <w:t xml:space="preserve"> שאני". צריך לומר שהכוונה היא שבדירה רבא מודה שמי שתפס ראשון הוא זכה בחזקה בתשמיש שתפס ולכן אין חבירו יכול לעכב עליו, </w:t>
      </w:r>
      <w:r w:rsidR="00D27C10">
        <w:rPr>
          <w:rFonts w:hint="cs"/>
          <w:rtl/>
        </w:rPr>
        <w:t xml:space="preserve">או </w:t>
      </w:r>
      <w:r>
        <w:rPr>
          <w:rFonts w:hint="cs"/>
          <w:rtl/>
        </w:rPr>
        <w:t>משום שבדירתו ש</w:t>
      </w:r>
      <w:r w:rsidR="00D27C10">
        <w:rPr>
          <w:rFonts w:hint="cs"/>
          <w:rtl/>
        </w:rPr>
        <w:t xml:space="preserve">ל אדם לא מגבילים אותו, </w:t>
      </w:r>
      <w:r w:rsidR="00D27C10">
        <w:rPr>
          <w:rtl/>
        </w:rPr>
        <w:t xml:space="preserve">או כפירוש </w:t>
      </w:r>
      <w:proofErr w:type="spellStart"/>
      <w:r w:rsidR="00D27C10">
        <w:rPr>
          <w:rtl/>
        </w:rPr>
        <w:t>הר"י</w:t>
      </w:r>
      <w:proofErr w:type="spellEnd"/>
      <w:r w:rsidR="00D27C10">
        <w:rPr>
          <w:rtl/>
        </w:rPr>
        <w:t xml:space="preserve"> </w:t>
      </w:r>
      <w:proofErr w:type="spellStart"/>
      <w:r w:rsidR="00D27C10">
        <w:rPr>
          <w:rtl/>
        </w:rPr>
        <w:t>מיגש</w:t>
      </w:r>
      <w:proofErr w:type="spellEnd"/>
      <w:r w:rsidR="00D27C10">
        <w:rPr>
          <w:rtl/>
        </w:rPr>
        <w:t xml:space="preserve"> שהראשון לא היה צריך להעלות על דעתו שהשני יבנה בבית שלו רפת</w:t>
      </w:r>
      <w:r w:rsidR="00D27C10">
        <w:rPr>
          <w:rFonts w:hint="cs"/>
          <w:rtl/>
        </w:rPr>
        <w:t>)</w:t>
      </w:r>
      <w:r>
        <w:rPr>
          <w:rFonts w:hint="cs"/>
          <w:rtl/>
        </w:rPr>
        <w:t>.</w:t>
      </w:r>
      <w:r w:rsidR="00D27C10">
        <w:rPr>
          <w:rFonts w:hint="cs"/>
          <w:rtl/>
        </w:rPr>
        <w:t xml:space="preserve"> וא"כ מה שהגמרא אומרת על תירוץ זה "</w:t>
      </w:r>
      <w:proofErr w:type="spellStart"/>
      <w:r w:rsidR="00D27C10">
        <w:rPr>
          <w:rFonts w:hint="cs"/>
          <w:rtl/>
        </w:rPr>
        <w:t>דייקא</w:t>
      </w:r>
      <w:proofErr w:type="spellEnd"/>
      <w:r w:rsidR="00D27C10">
        <w:rPr>
          <w:rFonts w:hint="cs"/>
          <w:rtl/>
        </w:rPr>
        <w:t xml:space="preserve"> נמי </w:t>
      </w:r>
      <w:proofErr w:type="spellStart"/>
      <w:r w:rsidR="00D27C10">
        <w:rPr>
          <w:rFonts w:hint="cs"/>
          <w:rtl/>
        </w:rPr>
        <w:t>דתני</w:t>
      </w:r>
      <w:proofErr w:type="spellEnd"/>
      <w:r w:rsidR="00D27C10">
        <w:rPr>
          <w:rFonts w:hint="cs"/>
          <w:rtl/>
        </w:rPr>
        <w:t xml:space="preserve"> עלה אם </w:t>
      </w:r>
      <w:proofErr w:type="spellStart"/>
      <w:r w:rsidR="00D27C10">
        <w:rPr>
          <w:rFonts w:hint="cs"/>
          <w:rtl/>
        </w:rPr>
        <w:t>היתה</w:t>
      </w:r>
      <w:proofErr w:type="spellEnd"/>
      <w:r w:rsidR="00D27C10">
        <w:rPr>
          <w:rFonts w:hint="cs"/>
          <w:rtl/>
        </w:rPr>
        <w:t xml:space="preserve"> רפת בקר קודמת לאוצר מותר" אין זה דיוק נגד אביי</w:t>
      </w:r>
      <w:r w:rsidR="00B5268A">
        <w:rPr>
          <w:rFonts w:hint="cs"/>
          <w:rtl/>
        </w:rPr>
        <w:t xml:space="preserve"> </w:t>
      </w:r>
      <w:r w:rsidR="00D27C10">
        <w:rPr>
          <w:rFonts w:hint="cs"/>
          <w:rtl/>
        </w:rPr>
        <w:t>(כשיטת שאר הראשונים</w:t>
      </w:r>
      <w:r w:rsidR="009737D5">
        <w:rPr>
          <w:rStyle w:val="af3"/>
          <w:rtl/>
        </w:rPr>
        <w:footnoteReference w:id="6"/>
      </w:r>
      <w:r w:rsidR="00D27C10">
        <w:rPr>
          <w:rFonts w:hint="cs"/>
          <w:rtl/>
        </w:rPr>
        <w:t>) אלא רק דיוק ש</w:t>
      </w:r>
      <w:r w:rsidR="005A1C72">
        <w:rPr>
          <w:rFonts w:hint="cs"/>
          <w:rtl/>
        </w:rPr>
        <w:t xml:space="preserve">חייבים לומר בדעת רבא </w:t>
      </w:r>
      <w:r w:rsidR="00D27C10">
        <w:rPr>
          <w:rFonts w:hint="cs"/>
          <w:rtl/>
        </w:rPr>
        <w:t>"דירה שאני"</w:t>
      </w:r>
      <w:r w:rsidR="005A1C72">
        <w:rPr>
          <w:rFonts w:hint="cs"/>
          <w:rtl/>
        </w:rPr>
        <w:t xml:space="preserve"> ולא</w:t>
      </w:r>
      <w:r w:rsidR="005A1C72">
        <w:rPr>
          <w:rtl/>
        </w:rPr>
        <w:t xml:space="preserve"> לתרץ </w:t>
      </w:r>
      <w:r w:rsidR="005A1C72">
        <w:rPr>
          <w:rFonts w:hint="cs"/>
          <w:rtl/>
        </w:rPr>
        <w:t xml:space="preserve">לשיטתו כמו שתירצנו בשאר </w:t>
      </w:r>
      <w:proofErr w:type="spellStart"/>
      <w:r w:rsidR="005A1C72">
        <w:rPr>
          <w:rFonts w:hint="cs"/>
          <w:rtl/>
        </w:rPr>
        <w:t>הסוגיא</w:t>
      </w:r>
      <w:proofErr w:type="spellEnd"/>
      <w:r w:rsidR="005A1C72">
        <w:rPr>
          <w:rFonts w:hint="cs"/>
          <w:rtl/>
        </w:rPr>
        <w:t xml:space="preserve"> דהיינו </w:t>
      </w:r>
      <w:r w:rsidR="005A1C72">
        <w:rPr>
          <w:rtl/>
        </w:rPr>
        <w:t xml:space="preserve">שבאמת אסור לסמוך גם </w:t>
      </w:r>
      <w:r w:rsidR="005A1C72">
        <w:rPr>
          <w:rFonts w:hint="cs"/>
          <w:rtl/>
        </w:rPr>
        <w:t>כשאין אוצר (ומה שכתוב אוצר להשמיענו שהחנות והרפת קשים לאוצר)</w:t>
      </w:r>
      <w:r w:rsidR="005A1C72">
        <w:rPr>
          <w:rtl/>
        </w:rPr>
        <w:t xml:space="preserve">, </w:t>
      </w:r>
      <w:r w:rsidR="005A1C72">
        <w:rPr>
          <w:rFonts w:hint="cs"/>
          <w:rtl/>
        </w:rPr>
        <w:t>והדיוק הוא מזה ש</w:t>
      </w:r>
      <w:r w:rsidR="005A1C72">
        <w:rPr>
          <w:rtl/>
        </w:rPr>
        <w:t xml:space="preserve">כתוב בפירוש </w:t>
      </w:r>
      <w:r w:rsidR="005A1C72">
        <w:rPr>
          <w:rFonts w:hint="cs"/>
          <w:rtl/>
        </w:rPr>
        <w:t xml:space="preserve">בברייתא </w:t>
      </w:r>
      <w:r w:rsidR="005A1C72">
        <w:rPr>
          <w:rtl/>
        </w:rPr>
        <w:t>שכאן הסמיכה מועילה</w:t>
      </w:r>
      <w:r w:rsidR="005A1C72">
        <w:rPr>
          <w:rFonts w:hint="cs"/>
          <w:rtl/>
        </w:rPr>
        <w:t xml:space="preserve"> לקנות זכות שימוש גם אם </w:t>
      </w:r>
      <w:proofErr w:type="spellStart"/>
      <w:r w:rsidR="005A1C72">
        <w:rPr>
          <w:rFonts w:hint="cs"/>
          <w:rtl/>
        </w:rPr>
        <w:t>לאחמ"כ</w:t>
      </w:r>
      <w:proofErr w:type="spellEnd"/>
      <w:r w:rsidR="005A1C72">
        <w:rPr>
          <w:rFonts w:hint="cs"/>
          <w:rtl/>
        </w:rPr>
        <w:t xml:space="preserve"> השכן יבנה אוצר</w:t>
      </w:r>
      <w:r w:rsidR="00422F00">
        <w:rPr>
          <w:rStyle w:val="af3"/>
          <w:rtl/>
        </w:rPr>
        <w:footnoteReference w:id="7"/>
      </w:r>
      <w:r w:rsidR="005A1C72">
        <w:rPr>
          <w:rFonts w:hint="cs"/>
          <w:rtl/>
        </w:rPr>
        <w:t>.</w:t>
      </w:r>
    </w:p>
    <w:p w:rsidR="000871DB" w:rsidRDefault="000871DB" w:rsidP="00075B63">
      <w:pPr>
        <w:rPr>
          <w:rtl/>
        </w:rPr>
      </w:pPr>
      <w:r>
        <w:rPr>
          <w:rFonts w:hint="cs"/>
          <w:rtl/>
        </w:rPr>
        <w:t>כעת מובן מדוע הרמב"ם לא הוצרך להסביר</w:t>
      </w:r>
      <w:r w:rsidR="00956D65">
        <w:rPr>
          <w:rFonts w:hint="cs"/>
          <w:rtl/>
        </w:rPr>
        <w:t xml:space="preserve"> כתירוצי הגמרא</w:t>
      </w:r>
      <w:r>
        <w:rPr>
          <w:rFonts w:hint="cs"/>
          <w:rtl/>
        </w:rPr>
        <w:t xml:space="preserve"> את המשניות שפסק, שהרי כבר פסק כן מפורש בפרק י' </w:t>
      </w:r>
      <w:r w:rsidRPr="00A06DC8">
        <w:rPr>
          <w:rFonts w:hint="cs"/>
          <w:sz w:val="20"/>
          <w:szCs w:val="20"/>
          <w:rtl/>
        </w:rPr>
        <w:t>(הלכה ה')</w:t>
      </w:r>
      <w:r>
        <w:rPr>
          <w:rFonts w:hint="cs"/>
          <w:rtl/>
        </w:rPr>
        <w:t xml:space="preserve"> </w:t>
      </w:r>
      <w:r w:rsidR="00D725D5">
        <w:rPr>
          <w:rFonts w:hint="cs"/>
          <w:rtl/>
        </w:rPr>
        <w:t>ש</w:t>
      </w:r>
      <w:r>
        <w:rPr>
          <w:rFonts w:hint="cs"/>
          <w:rtl/>
        </w:rPr>
        <w:t>אסור לאדם לעשות מעשים שמזיקים לשכן באופן ישיר</w:t>
      </w:r>
      <w:r w:rsidR="00075B63">
        <w:rPr>
          <w:rFonts w:hint="cs"/>
          <w:rtl/>
        </w:rPr>
        <w:t xml:space="preserve">, וא"כ באופן פשוט גם במקרה שהדבר המזיק כבר היה קודם מ"מ צריך להרחיקו. </w:t>
      </w:r>
      <w:r w:rsidR="00B46CBE">
        <w:rPr>
          <w:rFonts w:hint="cs"/>
          <w:rtl/>
        </w:rPr>
        <w:t>ואדרבה</w:t>
      </w:r>
      <w:r w:rsidR="00FB24A2">
        <w:rPr>
          <w:rFonts w:hint="cs"/>
          <w:rtl/>
        </w:rPr>
        <w:t xml:space="preserve">, יותר </w:t>
      </w:r>
      <w:proofErr w:type="spellStart"/>
      <w:r w:rsidR="00FB24A2">
        <w:rPr>
          <w:rFonts w:hint="cs"/>
          <w:rtl/>
        </w:rPr>
        <w:t>מדוייק</w:t>
      </w:r>
      <w:proofErr w:type="spellEnd"/>
      <w:r w:rsidR="00FB24A2">
        <w:rPr>
          <w:rFonts w:hint="cs"/>
          <w:rtl/>
        </w:rPr>
        <w:t xml:space="preserve"> לכתוב את המשניות כלשונם משום שבכך ברור שכל ההרחקות של המשנה הם רק כשיש ניזק </w:t>
      </w:r>
      <w:r w:rsidR="00FB24A2">
        <w:rPr>
          <w:rtl/>
        </w:rPr>
        <w:t>(חוץ מבור שאת זה הוא כותב במפורש)</w:t>
      </w:r>
      <w:r w:rsidR="00FB24A2">
        <w:rPr>
          <w:rFonts w:hint="cs"/>
          <w:rtl/>
        </w:rPr>
        <w:t>.</w:t>
      </w:r>
    </w:p>
    <w:p w:rsidR="003B200B" w:rsidRPr="003B200B" w:rsidRDefault="00536401" w:rsidP="0080489D">
      <w:r>
        <w:rPr>
          <w:rFonts w:hint="cs"/>
          <w:rtl/>
        </w:rPr>
        <w:t>מה ש</w:t>
      </w:r>
      <w:r w:rsidR="005A0A54">
        <w:rPr>
          <w:rFonts w:hint="cs"/>
          <w:rtl/>
        </w:rPr>
        <w:t>יוצא מכאן להלכה הוא</w:t>
      </w:r>
      <w:r w:rsidR="005A0A54">
        <w:rPr>
          <w:rFonts w:cs="David" w:hint="cs"/>
          <w:b/>
          <w:bCs/>
          <w:sz w:val="20"/>
          <w:szCs w:val="20"/>
          <w:rtl/>
        </w:rPr>
        <w:t xml:space="preserve"> </w:t>
      </w:r>
      <w:r w:rsidR="00C34E26">
        <w:rPr>
          <w:rtl/>
        </w:rPr>
        <w:t>שלפי הרמב"ם מותר לסמוך כל עוד אין ניזק</w:t>
      </w:r>
      <w:r>
        <w:rPr>
          <w:rFonts w:hint="cs"/>
          <w:rtl/>
        </w:rPr>
        <w:t xml:space="preserve"> אך </w:t>
      </w:r>
      <w:r w:rsidR="00C34E26">
        <w:rPr>
          <w:rtl/>
        </w:rPr>
        <w:t>לאחר שיהיה נ</w:t>
      </w:r>
      <w:r>
        <w:rPr>
          <w:rtl/>
        </w:rPr>
        <w:t>יזק המזיק יצטרך להרחיק את עצמו.</w:t>
      </w:r>
      <w:r w:rsidR="007458A9">
        <w:rPr>
          <w:rFonts w:hint="cs"/>
          <w:rtl/>
        </w:rPr>
        <w:t xml:space="preserve"> וזה ממש מתאים לשיטת </w:t>
      </w:r>
      <w:proofErr w:type="spellStart"/>
      <w:r w:rsidR="007458A9">
        <w:rPr>
          <w:rFonts w:hint="cs"/>
          <w:rtl/>
        </w:rPr>
        <w:t>הר"י</w:t>
      </w:r>
      <w:proofErr w:type="spellEnd"/>
      <w:r w:rsidR="007458A9">
        <w:rPr>
          <w:rFonts w:hint="cs"/>
          <w:rtl/>
        </w:rPr>
        <w:t xml:space="preserve"> </w:t>
      </w:r>
      <w:proofErr w:type="spellStart"/>
      <w:r w:rsidR="007458A9">
        <w:rPr>
          <w:rFonts w:hint="cs"/>
          <w:rtl/>
        </w:rPr>
        <w:t>מיגאש</w:t>
      </w:r>
      <w:proofErr w:type="spellEnd"/>
      <w:r w:rsidR="004544F1">
        <w:rPr>
          <w:rStyle w:val="af3"/>
          <w:rtl/>
        </w:rPr>
        <w:footnoteReference w:id="8"/>
      </w:r>
      <w:r w:rsidR="007458A9">
        <w:rPr>
          <w:rFonts w:hint="cs"/>
          <w:rtl/>
        </w:rPr>
        <w:t xml:space="preserve"> (שכידוע נחשב כרבו של הרמב"ם) שאמנם את מהלך </w:t>
      </w:r>
      <w:proofErr w:type="spellStart"/>
      <w:r w:rsidR="007458A9">
        <w:rPr>
          <w:rFonts w:hint="cs"/>
          <w:rtl/>
        </w:rPr>
        <w:t>הסוגיא</w:t>
      </w:r>
      <w:proofErr w:type="spellEnd"/>
      <w:r w:rsidR="007458A9">
        <w:rPr>
          <w:rFonts w:hint="cs"/>
          <w:rtl/>
        </w:rPr>
        <w:t xml:space="preserve"> הוא פירש אחרת ממה שכתבנו כאן </w:t>
      </w:r>
      <w:r w:rsidR="004544F1">
        <w:rPr>
          <w:rFonts w:hint="cs"/>
          <w:rtl/>
        </w:rPr>
        <w:t xml:space="preserve">(ואין זה מסתדר עם פסקי הרמב"ם) </w:t>
      </w:r>
      <w:r w:rsidR="007458A9">
        <w:rPr>
          <w:rFonts w:hint="cs"/>
          <w:rtl/>
        </w:rPr>
        <w:t xml:space="preserve">אך הוא מסביר שבסוף </w:t>
      </w:r>
      <w:proofErr w:type="spellStart"/>
      <w:r w:rsidR="007458A9">
        <w:rPr>
          <w:rFonts w:hint="cs"/>
          <w:rtl/>
        </w:rPr>
        <w:t>הסוגיא</w:t>
      </w:r>
      <w:proofErr w:type="spellEnd"/>
      <w:r w:rsidR="007458A9">
        <w:rPr>
          <w:rFonts w:hint="cs"/>
          <w:rtl/>
        </w:rPr>
        <w:t xml:space="preserve"> הגמרא חוזרת בה ממה ש</w:t>
      </w:r>
      <w:r w:rsidR="004544F1">
        <w:rPr>
          <w:rFonts w:hint="cs"/>
          <w:rtl/>
        </w:rPr>
        <w:t>הסבירה עד עכשיו ומסבירה את רבא כמו שכתבנו</w:t>
      </w:r>
      <w:r w:rsidR="007458A9" w:rsidRPr="007458A9">
        <w:rPr>
          <w:rtl/>
        </w:rPr>
        <w:t xml:space="preserve"> </w:t>
      </w:r>
      <w:r w:rsidR="007458A9" w:rsidRPr="004544F1">
        <w:rPr>
          <w:rFonts w:hint="cs"/>
          <w:sz w:val="20"/>
          <w:szCs w:val="20"/>
          <w:rtl/>
        </w:rPr>
        <w:t>(</w:t>
      </w:r>
      <w:r w:rsidR="007458A9" w:rsidRPr="004544F1">
        <w:rPr>
          <w:sz w:val="20"/>
          <w:szCs w:val="20"/>
          <w:rtl/>
        </w:rPr>
        <w:t xml:space="preserve">ראה בחידושי </w:t>
      </w:r>
      <w:proofErr w:type="spellStart"/>
      <w:r w:rsidR="007458A9" w:rsidRPr="004544F1">
        <w:rPr>
          <w:sz w:val="20"/>
          <w:szCs w:val="20"/>
          <w:rtl/>
        </w:rPr>
        <w:t>הר"י</w:t>
      </w:r>
      <w:proofErr w:type="spellEnd"/>
      <w:r w:rsidR="007458A9" w:rsidRPr="004544F1">
        <w:rPr>
          <w:sz w:val="20"/>
          <w:szCs w:val="20"/>
          <w:rtl/>
        </w:rPr>
        <w:t xml:space="preserve"> </w:t>
      </w:r>
      <w:proofErr w:type="spellStart"/>
      <w:r w:rsidR="007458A9" w:rsidRPr="004544F1">
        <w:rPr>
          <w:sz w:val="20"/>
          <w:szCs w:val="20"/>
          <w:rtl/>
        </w:rPr>
        <w:t>מיגש</w:t>
      </w:r>
      <w:proofErr w:type="spellEnd"/>
      <w:r w:rsidR="007458A9" w:rsidRPr="004544F1">
        <w:rPr>
          <w:sz w:val="20"/>
          <w:szCs w:val="20"/>
          <w:rtl/>
        </w:rPr>
        <w:t xml:space="preserve"> </w:t>
      </w:r>
      <w:proofErr w:type="spellStart"/>
      <w:r w:rsidR="007458A9" w:rsidRPr="004544F1">
        <w:rPr>
          <w:sz w:val="20"/>
          <w:szCs w:val="20"/>
          <w:rtl/>
        </w:rPr>
        <w:t>ובחדושי</w:t>
      </w:r>
      <w:proofErr w:type="spellEnd"/>
      <w:r w:rsidR="007458A9" w:rsidRPr="004544F1">
        <w:rPr>
          <w:sz w:val="20"/>
          <w:szCs w:val="20"/>
          <w:rtl/>
        </w:rPr>
        <w:t xml:space="preserve"> הרמב"ן שביאר שיטתו)</w:t>
      </w:r>
      <w:r w:rsidR="007458A9">
        <w:rPr>
          <w:rFonts w:hint="cs"/>
          <w:rtl/>
        </w:rPr>
        <w:t>.</w:t>
      </w:r>
    </w:p>
    <w:sectPr w:rsidR="003B200B" w:rsidRPr="003B200B" w:rsidSect="00660741">
      <w:footnotePr>
        <w:numFmt w:val="hebrew1"/>
      </w:footnotePr>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74" w:rsidRDefault="00117E74" w:rsidP="00084CA2">
      <w:pPr>
        <w:spacing w:after="0" w:line="240" w:lineRule="auto"/>
      </w:pPr>
      <w:r>
        <w:separator/>
      </w:r>
    </w:p>
  </w:endnote>
  <w:endnote w:type="continuationSeparator" w:id="0">
    <w:p w:rsidR="00117E74" w:rsidRDefault="00117E74" w:rsidP="00084CA2">
      <w:pPr>
        <w:spacing w:after="0" w:line="240" w:lineRule="auto"/>
      </w:pPr>
      <w:r>
        <w:continuationSeparator/>
      </w:r>
    </w:p>
  </w:endnote>
  <w:endnote w:id="1">
    <w:p w:rsidR="00955B48" w:rsidRDefault="00955B48" w:rsidP="00955B48">
      <w:pPr>
        <w:pStyle w:val="2"/>
      </w:pPr>
      <w:r>
        <w:rPr>
          <w:rFonts w:hint="cs"/>
          <w:rtl/>
        </w:rPr>
        <w:t>גוף דברי הגמ' והרמב"ם</w:t>
      </w:r>
    </w:p>
    <w:p w:rsidR="009E27F3" w:rsidRPr="00C50EB5" w:rsidRDefault="009E27F3" w:rsidP="000B3844">
      <w:pPr>
        <w:spacing w:after="0"/>
        <w:rPr>
          <w:rFonts w:cs="Guttman Vilna"/>
          <w:i/>
          <w:iCs/>
          <w:sz w:val="16"/>
          <w:szCs w:val="16"/>
          <w:rtl/>
        </w:rPr>
      </w:pPr>
      <w:r>
        <w:rPr>
          <w:rStyle w:val="af4"/>
        </w:rPr>
        <w:endnoteRef/>
      </w:r>
      <w:r>
        <w:rPr>
          <w:rtl/>
        </w:rPr>
        <w:t xml:space="preserve"> </w:t>
      </w:r>
      <w:r w:rsidRPr="00C50EB5">
        <w:rPr>
          <w:rFonts w:hint="cs"/>
          <w:rtl/>
        </w:rPr>
        <w:t>להלן הובאו הקושיות על אביי ותירוצי הגמרא בקצרה</w:t>
      </w:r>
      <w:r w:rsidR="001D434B">
        <w:rPr>
          <w:rFonts w:hint="cs"/>
          <w:rtl/>
        </w:rPr>
        <w:t xml:space="preserve"> (קושיות הגמ' </w:t>
      </w:r>
      <w:r w:rsidR="000B3844">
        <w:rPr>
          <w:rFonts w:hint="cs"/>
          <w:rtl/>
        </w:rPr>
        <w:t xml:space="preserve">שמדברי חכמים שלא נפסקו להלכה </w:t>
      </w:r>
      <w:r w:rsidR="001D434B">
        <w:rPr>
          <w:rFonts w:hint="cs"/>
          <w:rtl/>
        </w:rPr>
        <w:t>לא הבאנו אותם)</w:t>
      </w:r>
      <w:r w:rsidRPr="00C50EB5">
        <w:rPr>
          <w:rFonts w:hint="cs"/>
          <w:rtl/>
        </w:rPr>
        <w:t>:</w:t>
      </w:r>
    </w:p>
    <w:p w:rsidR="009E27F3" w:rsidRPr="00C50EB5" w:rsidRDefault="009E27F3" w:rsidP="009E27F3">
      <w:pPr>
        <w:pStyle w:val="a9"/>
        <w:numPr>
          <w:ilvl w:val="0"/>
          <w:numId w:val="1"/>
        </w:numPr>
        <w:spacing w:after="0"/>
        <w:rPr>
          <w:rFonts w:cs="Guttman Vilna"/>
          <w:sz w:val="16"/>
          <w:szCs w:val="16"/>
        </w:rPr>
      </w:pPr>
      <w:r w:rsidRPr="00C50EB5">
        <w:rPr>
          <w:rFonts w:cs="Guttman Vilna" w:hint="cs"/>
          <w:sz w:val="16"/>
          <w:szCs w:val="16"/>
          <w:rtl/>
        </w:rPr>
        <w:t>"</w:t>
      </w:r>
      <w:r w:rsidRPr="00C50EB5">
        <w:rPr>
          <w:rFonts w:cs="Guttman Vilna"/>
          <w:sz w:val="16"/>
          <w:szCs w:val="16"/>
          <w:rtl/>
        </w:rPr>
        <w:t xml:space="preserve">לא יחפור אדם בור </w:t>
      </w:r>
      <w:r w:rsidRPr="00C50EB5">
        <w:rPr>
          <w:rFonts w:cs="Guttman Vilna"/>
          <w:b/>
          <w:bCs/>
          <w:sz w:val="16"/>
          <w:szCs w:val="16"/>
          <w:rtl/>
        </w:rPr>
        <w:t>סמוך לבורו של חבירו</w:t>
      </w:r>
      <w:r w:rsidRPr="00C50EB5">
        <w:rPr>
          <w:rFonts w:cs="Guttman Vilna" w:hint="cs"/>
          <w:sz w:val="16"/>
          <w:szCs w:val="16"/>
          <w:rtl/>
        </w:rPr>
        <w:t xml:space="preserve"> אא"כ הרחיק מכותל חבירו ג' טפחים" ומשמע</w:t>
      </w:r>
      <w:r w:rsidRPr="00C50EB5">
        <w:rPr>
          <w:rFonts w:cs="Guttman Vilna"/>
          <w:sz w:val="16"/>
          <w:szCs w:val="16"/>
          <w:rtl/>
        </w:rPr>
        <w:t xml:space="preserve"> </w:t>
      </w:r>
      <w:r w:rsidRPr="00C50EB5">
        <w:rPr>
          <w:rFonts w:cs="Guttman Vilna" w:hint="cs"/>
          <w:sz w:val="16"/>
          <w:szCs w:val="16"/>
          <w:rtl/>
        </w:rPr>
        <w:t xml:space="preserve">שרק "סמוך לבורו של חבירו" אסור לחפור אבל אם אין בור אז מותר </w:t>
      </w:r>
      <w:r w:rsidRPr="00C50EB5">
        <w:rPr>
          <w:rFonts w:cs="Guttman Vilna" w:hint="eastAsia"/>
          <w:sz w:val="16"/>
          <w:szCs w:val="16"/>
          <w:rtl/>
        </w:rPr>
        <w:t>–</w:t>
      </w:r>
      <w:r w:rsidRPr="00C50EB5">
        <w:rPr>
          <w:rFonts w:cs="Guttman Vilna" w:hint="cs"/>
          <w:sz w:val="16"/>
          <w:szCs w:val="16"/>
          <w:rtl/>
        </w:rPr>
        <w:t xml:space="preserve"> ומתרצת הגמרא </w:t>
      </w:r>
      <w:r w:rsidRPr="00C50EB5">
        <w:rPr>
          <w:rFonts w:cs="Guttman Vilna"/>
          <w:b/>
          <w:bCs/>
          <w:sz w:val="16"/>
          <w:szCs w:val="16"/>
          <w:rtl/>
        </w:rPr>
        <w:t>מכותל בורו שנינו</w:t>
      </w:r>
      <w:r w:rsidRPr="00C50EB5">
        <w:rPr>
          <w:rFonts w:cs="Guttman Vilna" w:hint="cs"/>
          <w:sz w:val="16"/>
          <w:szCs w:val="16"/>
          <w:rtl/>
        </w:rPr>
        <w:t xml:space="preserve"> (כלומר המשנה נקטה דווקא מקרה שיש כבר בור של חבירו כדי ללמד אותנו שאף הראשון היה צריך להרחיק).</w:t>
      </w:r>
    </w:p>
    <w:p w:rsidR="009E27F3" w:rsidRPr="00C50EB5" w:rsidRDefault="009E27F3" w:rsidP="009E27F3">
      <w:pPr>
        <w:pStyle w:val="a9"/>
        <w:numPr>
          <w:ilvl w:val="0"/>
          <w:numId w:val="1"/>
        </w:numPr>
        <w:spacing w:after="0"/>
        <w:rPr>
          <w:rFonts w:cs="Guttman Vilna"/>
          <w:sz w:val="16"/>
          <w:szCs w:val="16"/>
        </w:rPr>
      </w:pPr>
      <w:r w:rsidRPr="00C50EB5">
        <w:rPr>
          <w:rFonts w:cs="Guttman Vilna" w:hint="cs"/>
          <w:sz w:val="16"/>
          <w:szCs w:val="16"/>
          <w:rtl/>
        </w:rPr>
        <w:t>"</w:t>
      </w:r>
      <w:proofErr w:type="spellStart"/>
      <w:r w:rsidRPr="00C50EB5">
        <w:rPr>
          <w:rFonts w:cs="Guttman Vilna" w:hint="cs"/>
          <w:sz w:val="16"/>
          <w:szCs w:val="16"/>
          <w:rtl/>
        </w:rPr>
        <w:t>מרחיקין</w:t>
      </w:r>
      <w:proofErr w:type="spellEnd"/>
      <w:r w:rsidRPr="00C50EB5">
        <w:rPr>
          <w:rFonts w:cs="Guttman Vilna" w:hint="cs"/>
          <w:sz w:val="16"/>
          <w:szCs w:val="16"/>
          <w:rtl/>
        </w:rPr>
        <w:t xml:space="preserve"> את הגפת ואת הזבל ואת </w:t>
      </w:r>
      <w:r w:rsidRPr="00C50EB5">
        <w:rPr>
          <w:rFonts w:cs="Guttman Vilna"/>
          <w:sz w:val="16"/>
          <w:szCs w:val="16"/>
          <w:rtl/>
        </w:rPr>
        <w:t xml:space="preserve">המלח ואת הסיד ואת הסלעים </w:t>
      </w:r>
      <w:r w:rsidRPr="00C50EB5">
        <w:rPr>
          <w:rFonts w:cs="Guttman Vilna"/>
          <w:b/>
          <w:bCs/>
          <w:sz w:val="16"/>
          <w:szCs w:val="16"/>
          <w:rtl/>
        </w:rPr>
        <w:t>מכותלו של חבירו</w:t>
      </w:r>
      <w:r w:rsidRPr="00C50EB5">
        <w:rPr>
          <w:rFonts w:cs="Guttman Vilna"/>
          <w:sz w:val="16"/>
          <w:szCs w:val="16"/>
          <w:rtl/>
        </w:rPr>
        <w:t xml:space="preserve"> ג' טפחים</w:t>
      </w:r>
      <w:r w:rsidRPr="00C50EB5">
        <w:rPr>
          <w:rFonts w:cs="Guttman Vilna" w:hint="cs"/>
          <w:sz w:val="16"/>
          <w:szCs w:val="16"/>
          <w:rtl/>
        </w:rPr>
        <w:t>"</w:t>
      </w:r>
      <w:r w:rsidRPr="00C50EB5">
        <w:rPr>
          <w:rFonts w:cs="Guttman Vilna"/>
          <w:sz w:val="16"/>
          <w:szCs w:val="16"/>
          <w:rtl/>
        </w:rPr>
        <w:t xml:space="preserve"> </w:t>
      </w:r>
      <w:r w:rsidRPr="00C50EB5">
        <w:rPr>
          <w:rFonts w:cs="Guttman Vilna" w:hint="cs"/>
          <w:sz w:val="16"/>
          <w:szCs w:val="16"/>
          <w:rtl/>
        </w:rPr>
        <w:t>ומשמע שדווקא</w:t>
      </w:r>
      <w:r w:rsidRPr="00C50EB5">
        <w:rPr>
          <w:rFonts w:cs="Guttman Vilna"/>
          <w:sz w:val="16"/>
          <w:szCs w:val="16"/>
          <w:rtl/>
        </w:rPr>
        <w:t xml:space="preserve"> </w:t>
      </w:r>
      <w:r w:rsidRPr="00C50EB5">
        <w:rPr>
          <w:rFonts w:cs="Guttman Vilna" w:hint="cs"/>
          <w:sz w:val="16"/>
          <w:szCs w:val="16"/>
          <w:rtl/>
        </w:rPr>
        <w:t>"מ</w:t>
      </w:r>
      <w:r w:rsidRPr="00C50EB5">
        <w:rPr>
          <w:rFonts w:cs="Guttman Vilna"/>
          <w:sz w:val="16"/>
          <w:szCs w:val="16"/>
          <w:rtl/>
        </w:rPr>
        <w:t>כותל</w:t>
      </w:r>
      <w:r w:rsidRPr="00C50EB5">
        <w:rPr>
          <w:rFonts w:cs="Guttman Vilna" w:hint="cs"/>
          <w:sz w:val="16"/>
          <w:szCs w:val="16"/>
          <w:rtl/>
        </w:rPr>
        <w:t>ו</w:t>
      </w:r>
      <w:r w:rsidRPr="00C50EB5">
        <w:rPr>
          <w:rFonts w:cs="Guttman Vilna"/>
          <w:sz w:val="16"/>
          <w:szCs w:val="16"/>
          <w:rtl/>
        </w:rPr>
        <w:t xml:space="preserve"> </w:t>
      </w:r>
      <w:r w:rsidRPr="00C50EB5">
        <w:rPr>
          <w:rFonts w:cs="Guttman Vilna" w:hint="cs"/>
          <w:sz w:val="16"/>
          <w:szCs w:val="16"/>
          <w:rtl/>
        </w:rPr>
        <w:t>של חבירו" צריך להרחיק אבל אם אין</w:t>
      </w:r>
      <w:r w:rsidRPr="00C50EB5">
        <w:rPr>
          <w:rFonts w:cs="Guttman Vilna"/>
          <w:sz w:val="16"/>
          <w:szCs w:val="16"/>
          <w:rtl/>
        </w:rPr>
        <w:t xml:space="preserve"> כותל </w:t>
      </w:r>
      <w:proofErr w:type="spellStart"/>
      <w:r w:rsidRPr="00C50EB5">
        <w:rPr>
          <w:rFonts w:cs="Guttman Vilna" w:hint="cs"/>
          <w:sz w:val="16"/>
          <w:szCs w:val="16"/>
          <w:rtl/>
        </w:rPr>
        <w:t>אי"צ</w:t>
      </w:r>
      <w:proofErr w:type="spellEnd"/>
      <w:r w:rsidRPr="00C50EB5">
        <w:rPr>
          <w:rFonts w:cs="Guttman Vilna" w:hint="cs"/>
          <w:sz w:val="16"/>
          <w:szCs w:val="16"/>
          <w:rtl/>
        </w:rPr>
        <w:t xml:space="preserve"> </w:t>
      </w:r>
      <w:r w:rsidRPr="00C50EB5">
        <w:rPr>
          <w:rFonts w:cs="Guttman Vilna" w:hint="eastAsia"/>
          <w:sz w:val="16"/>
          <w:szCs w:val="16"/>
          <w:rtl/>
        </w:rPr>
        <w:t>–</w:t>
      </w:r>
      <w:r w:rsidRPr="00C50EB5">
        <w:rPr>
          <w:rFonts w:cs="Guttman Vilna"/>
          <w:sz w:val="16"/>
          <w:szCs w:val="16"/>
          <w:rtl/>
        </w:rPr>
        <w:t xml:space="preserve"> </w:t>
      </w:r>
      <w:r w:rsidRPr="00C50EB5">
        <w:rPr>
          <w:rFonts w:cs="Guttman Vilna" w:hint="cs"/>
          <w:sz w:val="16"/>
          <w:szCs w:val="16"/>
          <w:rtl/>
        </w:rPr>
        <w:t>ומתרצת הגמרא שהמשנה נקטה דווקא מקרה</w:t>
      </w:r>
      <w:r w:rsidRPr="00C50EB5">
        <w:rPr>
          <w:rFonts w:cs="Guttman Vilna"/>
          <w:sz w:val="16"/>
          <w:szCs w:val="16"/>
          <w:rtl/>
        </w:rPr>
        <w:t xml:space="preserve"> </w:t>
      </w:r>
      <w:r w:rsidRPr="00C50EB5">
        <w:rPr>
          <w:rFonts w:cs="Guttman Vilna" w:hint="cs"/>
          <w:sz w:val="16"/>
          <w:szCs w:val="16"/>
          <w:rtl/>
        </w:rPr>
        <w:t>שיש כותל</w:t>
      </w:r>
      <w:r w:rsidRPr="00C50EB5">
        <w:rPr>
          <w:rFonts w:cs="Guttman Vilna" w:hint="cs"/>
          <w:b/>
          <w:bCs/>
          <w:sz w:val="16"/>
          <w:szCs w:val="16"/>
          <w:rtl/>
        </w:rPr>
        <w:t xml:space="preserve"> כדי ללמדנו</w:t>
      </w:r>
      <w:r w:rsidRPr="00C50EB5">
        <w:rPr>
          <w:rFonts w:cs="Guttman Vilna" w:hint="cs"/>
          <w:sz w:val="16"/>
          <w:szCs w:val="16"/>
          <w:rtl/>
        </w:rPr>
        <w:t xml:space="preserve"> '</w:t>
      </w:r>
      <w:proofErr w:type="spellStart"/>
      <w:r w:rsidRPr="00C50EB5">
        <w:rPr>
          <w:rFonts w:cs="Guttman Vilna"/>
          <w:sz w:val="16"/>
          <w:szCs w:val="16"/>
          <w:rtl/>
        </w:rPr>
        <w:t>דהני</w:t>
      </w:r>
      <w:proofErr w:type="spellEnd"/>
      <w:r w:rsidRPr="00C50EB5">
        <w:rPr>
          <w:rFonts w:cs="Guttman Vilna"/>
          <w:sz w:val="16"/>
          <w:szCs w:val="16"/>
          <w:rtl/>
        </w:rPr>
        <w:t xml:space="preserve"> קשו לכותל</w:t>
      </w:r>
      <w:r w:rsidRPr="00C50EB5">
        <w:rPr>
          <w:rFonts w:cs="Guttman Vilna" w:hint="cs"/>
          <w:sz w:val="16"/>
          <w:szCs w:val="16"/>
          <w:rtl/>
        </w:rPr>
        <w:t>'.</w:t>
      </w:r>
    </w:p>
    <w:p w:rsidR="009E27F3" w:rsidRPr="00C50EB5" w:rsidRDefault="009E27F3" w:rsidP="009E27F3">
      <w:pPr>
        <w:pStyle w:val="a9"/>
        <w:numPr>
          <w:ilvl w:val="0"/>
          <w:numId w:val="1"/>
        </w:numPr>
        <w:spacing w:after="0"/>
        <w:rPr>
          <w:rFonts w:cs="Guttman Vilna"/>
          <w:sz w:val="16"/>
          <w:szCs w:val="16"/>
        </w:rPr>
      </w:pPr>
      <w:r w:rsidRPr="00C50EB5">
        <w:rPr>
          <w:rFonts w:cs="Guttman Vilna" w:hint="cs"/>
          <w:sz w:val="16"/>
          <w:szCs w:val="16"/>
          <w:rtl/>
        </w:rPr>
        <w:t>"</w:t>
      </w:r>
      <w:r w:rsidRPr="00C50EB5">
        <w:rPr>
          <w:rFonts w:cs="Guttman Vilna"/>
          <w:sz w:val="16"/>
          <w:szCs w:val="16"/>
          <w:rtl/>
        </w:rPr>
        <w:t>מרחיקים את הזרעים ואת המחרישה ואת מי רגלים</w:t>
      </w:r>
      <w:r w:rsidRPr="00C50EB5">
        <w:rPr>
          <w:rFonts w:cs="Guttman Vilna"/>
          <w:b/>
          <w:bCs/>
          <w:sz w:val="16"/>
          <w:szCs w:val="16"/>
          <w:rtl/>
        </w:rPr>
        <w:t xml:space="preserve"> מן הכותל</w:t>
      </w:r>
      <w:r w:rsidRPr="00C50EB5">
        <w:rPr>
          <w:rFonts w:cs="Guttman Vilna"/>
          <w:sz w:val="16"/>
          <w:szCs w:val="16"/>
          <w:rtl/>
        </w:rPr>
        <w:t xml:space="preserve"> שלשה טפחים</w:t>
      </w:r>
      <w:r w:rsidRPr="00C50EB5">
        <w:rPr>
          <w:rFonts w:cs="Guttman Vilna" w:hint="cs"/>
          <w:sz w:val="16"/>
          <w:szCs w:val="16"/>
          <w:rtl/>
        </w:rPr>
        <w:t>...</w:t>
      </w:r>
      <w:r w:rsidRPr="00C50EB5">
        <w:rPr>
          <w:rFonts w:cs="Guttman Vilna"/>
          <w:sz w:val="16"/>
          <w:szCs w:val="16"/>
          <w:rtl/>
        </w:rPr>
        <w:t xml:space="preserve"> ואת הריחים</w:t>
      </w:r>
      <w:r w:rsidRPr="00C50EB5">
        <w:rPr>
          <w:rFonts w:cs="Guttman Vilna" w:hint="cs"/>
          <w:sz w:val="16"/>
          <w:szCs w:val="16"/>
          <w:rtl/>
        </w:rPr>
        <w:t>...</w:t>
      </w:r>
      <w:r w:rsidRPr="00C50EB5">
        <w:rPr>
          <w:rFonts w:cs="Guttman Vilna"/>
          <w:sz w:val="16"/>
          <w:szCs w:val="16"/>
          <w:rtl/>
        </w:rPr>
        <w:t>ואת התנור</w:t>
      </w:r>
      <w:r w:rsidRPr="00C50EB5">
        <w:rPr>
          <w:rFonts w:cs="Guttman Vilna" w:hint="cs"/>
          <w:sz w:val="16"/>
          <w:szCs w:val="16"/>
          <w:rtl/>
        </w:rPr>
        <w:t>"</w:t>
      </w:r>
      <w:r w:rsidRPr="00C50EB5">
        <w:rPr>
          <w:rFonts w:cs="Guttman Vilna"/>
          <w:sz w:val="16"/>
          <w:szCs w:val="16"/>
          <w:rtl/>
        </w:rPr>
        <w:t xml:space="preserve"> </w:t>
      </w:r>
      <w:r w:rsidRPr="00C50EB5">
        <w:rPr>
          <w:rFonts w:cs="Guttman Vilna" w:hint="cs"/>
          <w:sz w:val="16"/>
          <w:szCs w:val="16"/>
          <w:rtl/>
        </w:rPr>
        <w:t>ומשמע שדווקא</w:t>
      </w:r>
      <w:r w:rsidRPr="00C50EB5">
        <w:rPr>
          <w:rFonts w:cs="Guttman Vilna"/>
          <w:sz w:val="16"/>
          <w:szCs w:val="16"/>
          <w:rtl/>
        </w:rPr>
        <w:t xml:space="preserve"> </w:t>
      </w:r>
      <w:r w:rsidRPr="00C50EB5">
        <w:rPr>
          <w:rFonts w:cs="Guttman Vilna" w:hint="cs"/>
          <w:sz w:val="16"/>
          <w:szCs w:val="16"/>
          <w:rtl/>
        </w:rPr>
        <w:t>"מן ה</w:t>
      </w:r>
      <w:r w:rsidRPr="00C50EB5">
        <w:rPr>
          <w:rFonts w:cs="Guttman Vilna"/>
          <w:sz w:val="16"/>
          <w:szCs w:val="16"/>
          <w:rtl/>
        </w:rPr>
        <w:t>כותל</w:t>
      </w:r>
      <w:r w:rsidRPr="00C50EB5">
        <w:rPr>
          <w:rFonts w:cs="Guttman Vilna" w:hint="cs"/>
          <w:sz w:val="16"/>
          <w:szCs w:val="16"/>
          <w:rtl/>
        </w:rPr>
        <w:t>"</w:t>
      </w:r>
      <w:r w:rsidRPr="00C50EB5">
        <w:rPr>
          <w:rFonts w:cs="Guttman Vilna"/>
          <w:sz w:val="16"/>
          <w:szCs w:val="16"/>
          <w:rtl/>
        </w:rPr>
        <w:t xml:space="preserve"> </w:t>
      </w:r>
      <w:r w:rsidRPr="00C50EB5">
        <w:rPr>
          <w:rFonts w:cs="Guttman Vilna" w:hint="cs"/>
          <w:sz w:val="16"/>
          <w:szCs w:val="16"/>
          <w:rtl/>
        </w:rPr>
        <w:t xml:space="preserve">צריך להרחיק </w:t>
      </w:r>
      <w:r w:rsidRPr="00C50EB5">
        <w:rPr>
          <w:rFonts w:cs="Guttman Vilna" w:hint="eastAsia"/>
          <w:sz w:val="16"/>
          <w:szCs w:val="16"/>
          <w:rtl/>
        </w:rPr>
        <w:t>–</w:t>
      </w:r>
      <w:r w:rsidRPr="00C50EB5">
        <w:rPr>
          <w:rFonts w:cs="Guttman Vilna" w:hint="cs"/>
          <w:sz w:val="16"/>
          <w:szCs w:val="16"/>
          <w:rtl/>
        </w:rPr>
        <w:t xml:space="preserve"> ומתרצת הגמרא שהמשנה נקטה דווקא מקרה</w:t>
      </w:r>
      <w:r w:rsidRPr="00C50EB5">
        <w:rPr>
          <w:rFonts w:cs="Guttman Vilna"/>
          <w:sz w:val="16"/>
          <w:szCs w:val="16"/>
          <w:rtl/>
        </w:rPr>
        <w:t xml:space="preserve"> </w:t>
      </w:r>
      <w:r w:rsidRPr="00C50EB5">
        <w:rPr>
          <w:rFonts w:cs="Guttman Vilna" w:hint="cs"/>
          <w:sz w:val="16"/>
          <w:szCs w:val="16"/>
          <w:rtl/>
        </w:rPr>
        <w:t xml:space="preserve">שיש כותל </w:t>
      </w:r>
      <w:r w:rsidRPr="00C50EB5">
        <w:rPr>
          <w:rFonts w:cs="Guttman Vilna" w:hint="cs"/>
          <w:b/>
          <w:bCs/>
          <w:sz w:val="16"/>
          <w:szCs w:val="16"/>
          <w:rtl/>
        </w:rPr>
        <w:t>כדי ללמדנו</w:t>
      </w:r>
      <w:r w:rsidRPr="00C50EB5">
        <w:rPr>
          <w:rFonts w:cs="Guttman Vilna"/>
          <w:sz w:val="16"/>
          <w:szCs w:val="16"/>
          <w:rtl/>
        </w:rPr>
        <w:t xml:space="preserve"> </w:t>
      </w:r>
      <w:r w:rsidRPr="00C50EB5">
        <w:rPr>
          <w:rFonts w:cs="Guttman Vilna" w:hint="cs"/>
          <w:sz w:val="16"/>
          <w:szCs w:val="16"/>
          <w:rtl/>
        </w:rPr>
        <w:t>שדברים אלו (לחות, רעד וחום) קשים לכותל.</w:t>
      </w:r>
    </w:p>
    <w:p w:rsidR="009E27F3" w:rsidRPr="00C50EB5" w:rsidRDefault="009E27F3" w:rsidP="009E27F3">
      <w:pPr>
        <w:pStyle w:val="a9"/>
        <w:numPr>
          <w:ilvl w:val="0"/>
          <w:numId w:val="1"/>
        </w:numPr>
        <w:spacing w:after="0"/>
        <w:rPr>
          <w:rFonts w:cs="Guttman Vilna"/>
          <w:sz w:val="16"/>
          <w:szCs w:val="16"/>
        </w:rPr>
      </w:pPr>
      <w:r w:rsidRPr="00C50EB5">
        <w:rPr>
          <w:rFonts w:cs="Guttman Vilna" w:hint="cs"/>
          <w:sz w:val="16"/>
          <w:szCs w:val="16"/>
          <w:rtl/>
        </w:rPr>
        <w:t>"</w:t>
      </w:r>
      <w:r w:rsidRPr="00C50EB5">
        <w:rPr>
          <w:rFonts w:cs="Guttman Vilna"/>
          <w:sz w:val="16"/>
          <w:szCs w:val="16"/>
          <w:rtl/>
        </w:rPr>
        <w:t xml:space="preserve">לא יפתח אדם חנות של </w:t>
      </w:r>
      <w:proofErr w:type="spellStart"/>
      <w:r w:rsidRPr="00C50EB5">
        <w:rPr>
          <w:rFonts w:cs="Guttman Vilna"/>
          <w:sz w:val="16"/>
          <w:szCs w:val="16"/>
          <w:rtl/>
        </w:rPr>
        <w:t>נחתומין</w:t>
      </w:r>
      <w:proofErr w:type="spellEnd"/>
      <w:r w:rsidRPr="00C50EB5">
        <w:rPr>
          <w:rFonts w:cs="Guttman Vilna"/>
          <w:sz w:val="16"/>
          <w:szCs w:val="16"/>
          <w:rtl/>
        </w:rPr>
        <w:t xml:space="preserve"> ושל צבעין </w:t>
      </w:r>
      <w:r w:rsidRPr="00C50EB5">
        <w:rPr>
          <w:rFonts w:cs="Guttman Vilna"/>
          <w:b/>
          <w:bCs/>
          <w:sz w:val="16"/>
          <w:szCs w:val="16"/>
          <w:rtl/>
        </w:rPr>
        <w:t>תחת אוצרו של חבירו</w:t>
      </w:r>
      <w:r w:rsidRPr="00C50EB5">
        <w:rPr>
          <w:rFonts w:cs="Guttman Vilna"/>
          <w:sz w:val="16"/>
          <w:szCs w:val="16"/>
          <w:rtl/>
        </w:rPr>
        <w:t xml:space="preserve"> ולא רפת בקר</w:t>
      </w:r>
      <w:r w:rsidRPr="00C50EB5">
        <w:rPr>
          <w:rFonts w:cs="Guttman Vilna" w:hint="cs"/>
          <w:sz w:val="16"/>
          <w:szCs w:val="16"/>
          <w:rtl/>
        </w:rPr>
        <w:t>"</w:t>
      </w:r>
      <w:r w:rsidRPr="00C50EB5">
        <w:rPr>
          <w:rFonts w:cs="Guttman Vilna"/>
          <w:sz w:val="16"/>
          <w:szCs w:val="16"/>
          <w:rtl/>
        </w:rPr>
        <w:t xml:space="preserve"> </w:t>
      </w:r>
      <w:r w:rsidRPr="00C50EB5">
        <w:rPr>
          <w:rFonts w:cs="Guttman Vilna" w:hint="cs"/>
          <w:sz w:val="16"/>
          <w:szCs w:val="16"/>
          <w:rtl/>
        </w:rPr>
        <w:t xml:space="preserve">ומשמע שדווקא "תחת אוצרו של חבירו" אסור לפתוח אבל אם אין אוצר מותר </w:t>
      </w:r>
      <w:r w:rsidRPr="00C50EB5">
        <w:rPr>
          <w:rFonts w:cs="Guttman Vilna" w:hint="eastAsia"/>
          <w:sz w:val="16"/>
          <w:szCs w:val="16"/>
          <w:rtl/>
        </w:rPr>
        <w:t xml:space="preserve">– </w:t>
      </w:r>
      <w:r w:rsidRPr="00C50EB5">
        <w:rPr>
          <w:rFonts w:cs="Guttman Vilna" w:hint="cs"/>
          <w:sz w:val="16"/>
          <w:szCs w:val="16"/>
          <w:rtl/>
        </w:rPr>
        <w:t>ומתרצת הגמרא '</w:t>
      </w:r>
      <w:r w:rsidRPr="00C50EB5">
        <w:rPr>
          <w:rFonts w:cs="Guttman Vilna" w:hint="cs"/>
          <w:b/>
          <w:bCs/>
          <w:sz w:val="16"/>
          <w:szCs w:val="16"/>
          <w:rtl/>
        </w:rPr>
        <w:t>דירה שאני</w:t>
      </w:r>
      <w:r w:rsidRPr="00C50EB5">
        <w:rPr>
          <w:rFonts w:cs="Guttman Vilna" w:hint="cs"/>
          <w:sz w:val="16"/>
          <w:szCs w:val="16"/>
          <w:rtl/>
        </w:rPr>
        <w:t>' (בדברים שהם דירתו של אדם הדין שונה</w:t>
      </w:r>
      <w:r w:rsidRPr="00C50EB5">
        <w:rPr>
          <w:rStyle w:val="af4"/>
          <w:rFonts w:cs="Guttman Vilna"/>
          <w:sz w:val="16"/>
          <w:szCs w:val="16"/>
          <w:rtl/>
        </w:rPr>
        <w:endnoteRef/>
      </w:r>
      <w:r w:rsidRPr="00C50EB5">
        <w:rPr>
          <w:rFonts w:cs="Guttman Vilna" w:hint="cs"/>
          <w:sz w:val="16"/>
          <w:szCs w:val="16"/>
          <w:rtl/>
        </w:rPr>
        <w:t>), והוכחה לכך "</w:t>
      </w:r>
      <w:proofErr w:type="spellStart"/>
      <w:r w:rsidRPr="00C50EB5">
        <w:rPr>
          <w:rFonts w:cs="Guttman Vilna" w:hint="cs"/>
          <w:sz w:val="16"/>
          <w:szCs w:val="16"/>
          <w:rtl/>
        </w:rPr>
        <w:t>דתני</w:t>
      </w:r>
      <w:proofErr w:type="spellEnd"/>
      <w:r w:rsidRPr="00C50EB5">
        <w:rPr>
          <w:rFonts w:cs="Guttman Vilna" w:hint="cs"/>
          <w:sz w:val="16"/>
          <w:szCs w:val="16"/>
          <w:rtl/>
        </w:rPr>
        <w:t xml:space="preserve"> עלה אם </w:t>
      </w:r>
      <w:proofErr w:type="spellStart"/>
      <w:r w:rsidRPr="00C50EB5">
        <w:rPr>
          <w:rFonts w:cs="Guttman Vilna" w:hint="cs"/>
          <w:sz w:val="16"/>
          <w:szCs w:val="16"/>
          <w:rtl/>
        </w:rPr>
        <w:t>היתה</w:t>
      </w:r>
      <w:proofErr w:type="spellEnd"/>
      <w:r w:rsidRPr="00C50EB5">
        <w:rPr>
          <w:rFonts w:cs="Guttman Vilna" w:hint="cs"/>
          <w:sz w:val="16"/>
          <w:szCs w:val="16"/>
          <w:rtl/>
        </w:rPr>
        <w:t xml:space="preserve"> רפת בקר קודמת לאוצר מותר" (ומשמע שהיתר זה נאמר דווקא ברפת וכדו', שהרי לא כתוב כך לגבי שאר ההרחקות).</w:t>
      </w:r>
    </w:p>
    <w:p w:rsidR="00C50EB5" w:rsidRPr="001D434B" w:rsidRDefault="009E27F3" w:rsidP="001D434B">
      <w:pPr>
        <w:pStyle w:val="a9"/>
        <w:numPr>
          <w:ilvl w:val="0"/>
          <w:numId w:val="1"/>
        </w:numPr>
        <w:spacing w:after="0"/>
        <w:rPr>
          <w:rFonts w:cs="Guttman Vilna"/>
          <w:sz w:val="16"/>
          <w:szCs w:val="16"/>
        </w:rPr>
      </w:pPr>
      <w:r w:rsidRPr="00C50EB5">
        <w:rPr>
          <w:rFonts w:cs="Guttman Vilna" w:hint="cs"/>
          <w:sz w:val="16"/>
          <w:szCs w:val="16"/>
          <w:rtl/>
        </w:rPr>
        <w:t>"</w:t>
      </w:r>
      <w:r w:rsidRPr="00C50EB5">
        <w:rPr>
          <w:rFonts w:cs="Guttman Vilna"/>
          <w:sz w:val="16"/>
          <w:szCs w:val="16"/>
          <w:rtl/>
        </w:rPr>
        <w:t xml:space="preserve">לא </w:t>
      </w:r>
      <w:proofErr w:type="spellStart"/>
      <w:r w:rsidRPr="00C50EB5">
        <w:rPr>
          <w:rFonts w:cs="Guttman Vilna"/>
          <w:sz w:val="16"/>
          <w:szCs w:val="16"/>
          <w:rtl/>
        </w:rPr>
        <w:t>יטע</w:t>
      </w:r>
      <w:proofErr w:type="spellEnd"/>
      <w:r w:rsidRPr="00C50EB5">
        <w:rPr>
          <w:rFonts w:cs="Guttman Vilna"/>
          <w:sz w:val="16"/>
          <w:szCs w:val="16"/>
          <w:rtl/>
        </w:rPr>
        <w:t xml:space="preserve"> אדם אילן סמוך לשדה אלא אם כן הרחיק ממנו ד' אמות</w:t>
      </w:r>
      <w:r w:rsidRPr="00C50EB5">
        <w:rPr>
          <w:rFonts w:cs="Guttman Vilna" w:hint="cs"/>
          <w:sz w:val="16"/>
          <w:szCs w:val="16"/>
          <w:rtl/>
        </w:rPr>
        <w:t>"</w:t>
      </w:r>
      <w:r w:rsidRPr="00C50EB5">
        <w:rPr>
          <w:rFonts w:cs="Guttman Vilna"/>
          <w:sz w:val="16"/>
          <w:szCs w:val="16"/>
          <w:rtl/>
        </w:rPr>
        <w:t xml:space="preserve"> ותני עלה </w:t>
      </w:r>
      <w:r w:rsidRPr="00C50EB5">
        <w:rPr>
          <w:rFonts w:cs="Guttman Vilna" w:hint="cs"/>
          <w:sz w:val="16"/>
          <w:szCs w:val="16"/>
          <w:rtl/>
        </w:rPr>
        <w:t>"</w:t>
      </w:r>
      <w:r w:rsidRPr="00C50EB5">
        <w:rPr>
          <w:rFonts w:cs="Guttman Vilna"/>
          <w:sz w:val="16"/>
          <w:szCs w:val="16"/>
          <w:rtl/>
        </w:rPr>
        <w:t>ד' אמות שאמרו כדי עבודת הכרם</w:t>
      </w:r>
      <w:r w:rsidRPr="00C50EB5">
        <w:rPr>
          <w:rFonts w:cs="Guttman Vilna" w:hint="cs"/>
          <w:sz w:val="16"/>
          <w:szCs w:val="16"/>
          <w:rtl/>
        </w:rPr>
        <w:t xml:space="preserve">" ומשמע שסיבת ההרחקה היא רק </w:t>
      </w:r>
      <w:r w:rsidRPr="00C50EB5">
        <w:rPr>
          <w:rFonts w:cs="Guttman Vilna"/>
          <w:sz w:val="16"/>
          <w:szCs w:val="16"/>
          <w:rtl/>
        </w:rPr>
        <w:t xml:space="preserve">משום </w:t>
      </w:r>
      <w:r w:rsidRPr="00C50EB5">
        <w:rPr>
          <w:rFonts w:cs="Guttman Vilna" w:hint="cs"/>
          <w:sz w:val="16"/>
          <w:szCs w:val="16"/>
          <w:rtl/>
        </w:rPr>
        <w:t>"</w:t>
      </w:r>
      <w:r w:rsidRPr="00C50EB5">
        <w:rPr>
          <w:rFonts w:cs="Guttman Vilna"/>
          <w:sz w:val="16"/>
          <w:szCs w:val="16"/>
          <w:rtl/>
        </w:rPr>
        <w:t>עבודת הכרם</w:t>
      </w:r>
      <w:r w:rsidRPr="00C50EB5">
        <w:rPr>
          <w:rFonts w:cs="Guttman Vilna" w:hint="cs"/>
          <w:sz w:val="16"/>
          <w:szCs w:val="16"/>
          <w:rtl/>
        </w:rPr>
        <w:t xml:space="preserve">" (שלא תיכנס המחרישה או העגלה לשדה חבירו ובכך </w:t>
      </w:r>
      <w:proofErr w:type="spellStart"/>
      <w:r w:rsidRPr="00C50EB5">
        <w:rPr>
          <w:rFonts w:cs="Guttman Vilna" w:hint="cs"/>
          <w:sz w:val="16"/>
          <w:szCs w:val="16"/>
          <w:rtl/>
        </w:rPr>
        <w:t>יזיקנו</w:t>
      </w:r>
      <w:proofErr w:type="spellEnd"/>
      <w:r w:rsidRPr="00C50EB5">
        <w:rPr>
          <w:rFonts w:cs="Guttman Vilna" w:hint="cs"/>
          <w:sz w:val="16"/>
          <w:szCs w:val="16"/>
          <w:rtl/>
        </w:rPr>
        <w:t xml:space="preserve"> בידיים)</w:t>
      </w:r>
      <w:r w:rsidRPr="00C50EB5">
        <w:rPr>
          <w:rFonts w:cs="Guttman Vilna"/>
          <w:sz w:val="16"/>
          <w:szCs w:val="16"/>
          <w:rtl/>
        </w:rPr>
        <w:t xml:space="preserve"> </w:t>
      </w:r>
      <w:r w:rsidRPr="00C50EB5">
        <w:rPr>
          <w:rFonts w:cs="Guttman Vilna" w:hint="cs"/>
          <w:sz w:val="16"/>
          <w:szCs w:val="16"/>
          <w:rtl/>
        </w:rPr>
        <w:t>אבל</w:t>
      </w:r>
      <w:r w:rsidRPr="00C50EB5">
        <w:rPr>
          <w:rFonts w:cs="Guttman Vilna"/>
          <w:sz w:val="16"/>
          <w:szCs w:val="16"/>
          <w:rtl/>
        </w:rPr>
        <w:t xml:space="preserve"> </w:t>
      </w:r>
      <w:r w:rsidRPr="00C50EB5">
        <w:rPr>
          <w:rFonts w:cs="Guttman Vilna" w:hint="cs"/>
          <w:sz w:val="16"/>
          <w:szCs w:val="16"/>
          <w:rtl/>
        </w:rPr>
        <w:t>זה</w:t>
      </w:r>
      <w:r w:rsidRPr="00C50EB5">
        <w:rPr>
          <w:rFonts w:cs="Guttman Vilna"/>
          <w:sz w:val="16"/>
          <w:szCs w:val="16"/>
          <w:rtl/>
        </w:rPr>
        <w:t xml:space="preserve"> </w:t>
      </w:r>
      <w:proofErr w:type="spellStart"/>
      <w:r w:rsidRPr="00C50EB5">
        <w:rPr>
          <w:rFonts w:cs="Guttman Vilna" w:hint="cs"/>
          <w:sz w:val="16"/>
          <w:szCs w:val="16"/>
          <w:rtl/>
        </w:rPr>
        <w:t>שה</w:t>
      </w:r>
      <w:r w:rsidRPr="00C50EB5">
        <w:rPr>
          <w:rFonts w:cs="Guttman Vilna"/>
          <w:sz w:val="16"/>
          <w:szCs w:val="16"/>
          <w:rtl/>
        </w:rPr>
        <w:t>שרשין</w:t>
      </w:r>
      <w:proofErr w:type="spellEnd"/>
      <w:r w:rsidRPr="00C50EB5">
        <w:rPr>
          <w:rFonts w:cs="Guttman Vilna"/>
          <w:sz w:val="16"/>
          <w:szCs w:val="16"/>
          <w:rtl/>
        </w:rPr>
        <w:t xml:space="preserve"> </w:t>
      </w:r>
      <w:r w:rsidRPr="00C50EB5">
        <w:rPr>
          <w:rFonts w:cs="Guttman Vilna" w:hint="cs"/>
          <w:sz w:val="16"/>
          <w:szCs w:val="16"/>
          <w:rtl/>
        </w:rPr>
        <w:t>של האילן נכנסים לשדה חבירו ואם הוא ירצה לחפור בור הם יפריעו לו זה לא בעיה</w:t>
      </w:r>
      <w:r w:rsidRPr="00C50EB5">
        <w:rPr>
          <w:rFonts w:cs="Guttman Vilna"/>
          <w:sz w:val="16"/>
          <w:szCs w:val="16"/>
          <w:rtl/>
        </w:rPr>
        <w:t xml:space="preserve"> </w:t>
      </w:r>
      <w:r w:rsidRPr="00C50EB5">
        <w:rPr>
          <w:rFonts w:cs="Guttman Vilna" w:hint="cs"/>
          <w:sz w:val="16"/>
          <w:szCs w:val="16"/>
          <w:rtl/>
        </w:rPr>
        <w:t>– ומתרצת הגמרא שמדובר</w:t>
      </w:r>
      <w:r w:rsidRPr="00C50EB5">
        <w:rPr>
          <w:rFonts w:cs="Guttman Vilna"/>
          <w:sz w:val="16"/>
          <w:szCs w:val="16"/>
          <w:rtl/>
        </w:rPr>
        <w:t xml:space="preserve"> </w:t>
      </w:r>
      <w:r w:rsidRPr="00C50EB5">
        <w:rPr>
          <w:rFonts w:cs="Guttman Vilna" w:hint="cs"/>
          <w:sz w:val="16"/>
          <w:szCs w:val="16"/>
          <w:rtl/>
        </w:rPr>
        <w:t>'</w:t>
      </w:r>
      <w:proofErr w:type="spellStart"/>
      <w:r w:rsidRPr="00C50EB5">
        <w:rPr>
          <w:rFonts w:cs="Guttman Vilna"/>
          <w:b/>
          <w:bCs/>
          <w:sz w:val="16"/>
          <w:szCs w:val="16"/>
          <w:rtl/>
        </w:rPr>
        <w:t>דמפסיק</w:t>
      </w:r>
      <w:proofErr w:type="spellEnd"/>
      <w:r w:rsidRPr="00C50EB5">
        <w:rPr>
          <w:rFonts w:cs="Guttman Vilna"/>
          <w:b/>
          <w:bCs/>
          <w:sz w:val="16"/>
          <w:szCs w:val="16"/>
          <w:rtl/>
        </w:rPr>
        <w:t xml:space="preserve"> </w:t>
      </w:r>
      <w:proofErr w:type="spellStart"/>
      <w:r w:rsidRPr="00C50EB5">
        <w:rPr>
          <w:rFonts w:cs="Guttman Vilna"/>
          <w:b/>
          <w:bCs/>
          <w:sz w:val="16"/>
          <w:szCs w:val="16"/>
          <w:rtl/>
        </w:rPr>
        <w:t>צונמא</w:t>
      </w:r>
      <w:proofErr w:type="spellEnd"/>
      <w:r w:rsidRPr="00C50EB5">
        <w:rPr>
          <w:rFonts w:cs="Guttman Vilna" w:hint="cs"/>
          <w:sz w:val="16"/>
          <w:szCs w:val="16"/>
          <w:rtl/>
        </w:rPr>
        <w:t xml:space="preserve">' (יש סלע בין השדות שמונע </w:t>
      </w:r>
      <w:proofErr w:type="spellStart"/>
      <w:r w:rsidRPr="00C50EB5">
        <w:rPr>
          <w:rFonts w:cs="Guttman Vilna" w:hint="cs"/>
          <w:sz w:val="16"/>
          <w:szCs w:val="16"/>
          <w:rtl/>
        </w:rPr>
        <w:t>מהשרשים</w:t>
      </w:r>
      <w:proofErr w:type="spellEnd"/>
      <w:r w:rsidRPr="00C50EB5">
        <w:rPr>
          <w:rFonts w:cs="Guttman Vilna" w:hint="cs"/>
          <w:sz w:val="16"/>
          <w:szCs w:val="16"/>
          <w:rtl/>
        </w:rPr>
        <w:t xml:space="preserve"> להתפשט).</w:t>
      </w:r>
    </w:p>
  </w:endnote>
  <w:endnote w:id="2">
    <w:p w:rsidR="001F10FC" w:rsidRDefault="001F10FC" w:rsidP="001F10FC">
      <w:pPr>
        <w:pStyle w:val="a7"/>
        <w:spacing w:after="0"/>
        <w:rPr>
          <w:rtl/>
        </w:rPr>
      </w:pPr>
      <w:r>
        <w:rPr>
          <w:rStyle w:val="af4"/>
        </w:rPr>
        <w:endnoteRef/>
      </w:r>
      <w:r>
        <w:rPr>
          <w:rtl/>
        </w:rPr>
        <w:t xml:space="preserve"> </w:t>
      </w:r>
      <w:r>
        <w:rPr>
          <w:rFonts w:hint="cs"/>
          <w:rtl/>
        </w:rPr>
        <w:t xml:space="preserve">כך פסק הרמב"ם </w:t>
      </w:r>
      <w:r w:rsidRPr="001F10FC">
        <w:rPr>
          <w:rFonts w:hint="cs"/>
          <w:sz w:val="20"/>
          <w:szCs w:val="20"/>
          <w:rtl/>
        </w:rPr>
        <w:t>(בהלכות שכנים)</w:t>
      </w:r>
      <w:r>
        <w:rPr>
          <w:rFonts w:hint="cs"/>
          <w:rtl/>
        </w:rPr>
        <w:t xml:space="preserve"> את המשניות הנ"ל בהערה 1:</w:t>
      </w:r>
    </w:p>
    <w:p w:rsidR="001F10FC" w:rsidRDefault="001F10FC" w:rsidP="001F10FC">
      <w:pPr>
        <w:pStyle w:val="a7"/>
        <w:numPr>
          <w:ilvl w:val="0"/>
          <w:numId w:val="3"/>
        </w:numPr>
        <w:spacing w:after="0"/>
        <w:rPr>
          <w:rFonts w:cs="Guttman Vilna"/>
          <w:sz w:val="16"/>
          <w:szCs w:val="16"/>
        </w:rPr>
      </w:pPr>
      <w:r>
        <w:rPr>
          <w:rFonts w:cs="Guttman Vilna" w:hint="cs"/>
          <w:sz w:val="16"/>
          <w:szCs w:val="16"/>
          <w:rtl/>
        </w:rPr>
        <w:t>"</w:t>
      </w:r>
      <w:r w:rsidRPr="001F10FC">
        <w:rPr>
          <w:rFonts w:cs="Guttman Vilna"/>
          <w:sz w:val="16"/>
          <w:szCs w:val="16"/>
          <w:rtl/>
        </w:rPr>
        <w:t xml:space="preserve">לא יחפור אדם בור ולא שיח ולא מערה ולא יביא אמת המים ולא יעשה בריכת המים לשרות בה בגדים לכבס בצד כתלו של חבירו </w:t>
      </w:r>
      <w:r w:rsidRPr="001F10FC">
        <w:rPr>
          <w:rFonts w:cs="Guttman Vilna"/>
          <w:b/>
          <w:bCs/>
          <w:sz w:val="16"/>
          <w:szCs w:val="16"/>
          <w:rtl/>
        </w:rPr>
        <w:t>אלא אם כן הרחיק מכותל שלשה טפחים</w:t>
      </w:r>
      <w:r>
        <w:rPr>
          <w:rFonts w:cs="Guttman Vilna" w:hint="cs"/>
          <w:sz w:val="16"/>
          <w:szCs w:val="16"/>
          <w:rtl/>
        </w:rPr>
        <w:t xml:space="preserve">" </w:t>
      </w:r>
      <w:r w:rsidRPr="001F10FC">
        <w:rPr>
          <w:rFonts w:cs="Guttman Vilna" w:hint="cs"/>
          <w:sz w:val="14"/>
          <w:szCs w:val="14"/>
          <w:rtl/>
        </w:rPr>
        <w:t>(ט, א)</w:t>
      </w:r>
      <w:r>
        <w:rPr>
          <w:rFonts w:cs="Guttman Vilna" w:hint="cs"/>
          <w:sz w:val="16"/>
          <w:szCs w:val="16"/>
          <w:rtl/>
        </w:rPr>
        <w:t>.</w:t>
      </w:r>
    </w:p>
    <w:p w:rsidR="001F10FC" w:rsidRDefault="001F10FC" w:rsidP="001F070F">
      <w:pPr>
        <w:pStyle w:val="a7"/>
        <w:numPr>
          <w:ilvl w:val="0"/>
          <w:numId w:val="3"/>
        </w:numPr>
        <w:spacing w:after="0"/>
        <w:rPr>
          <w:rFonts w:cs="Guttman Vilna"/>
          <w:sz w:val="16"/>
          <w:szCs w:val="16"/>
        </w:rPr>
      </w:pPr>
      <w:r>
        <w:rPr>
          <w:rFonts w:cs="Guttman Vilna" w:hint="cs"/>
          <w:sz w:val="16"/>
          <w:szCs w:val="16"/>
          <w:rtl/>
        </w:rPr>
        <w:t>"</w:t>
      </w:r>
      <w:proofErr w:type="spellStart"/>
      <w:r w:rsidRPr="001F10FC">
        <w:rPr>
          <w:rFonts w:cs="Guttman Vilna"/>
          <w:sz w:val="16"/>
          <w:szCs w:val="16"/>
          <w:rtl/>
        </w:rPr>
        <w:t>מרחיקין</w:t>
      </w:r>
      <w:proofErr w:type="spellEnd"/>
      <w:r w:rsidRPr="001F10FC">
        <w:rPr>
          <w:rFonts w:cs="Guttman Vilna"/>
          <w:sz w:val="16"/>
          <w:szCs w:val="16"/>
          <w:rtl/>
        </w:rPr>
        <w:t xml:space="preserve"> את הגפת ואת הזפת ואת המלח ואת הסיד ואת הסלעים מכותלו של חבירו שלשה טפחים או סד בסיד</w:t>
      </w:r>
      <w:r>
        <w:rPr>
          <w:rFonts w:cs="Guttman Vilna" w:hint="cs"/>
          <w:sz w:val="16"/>
          <w:szCs w:val="16"/>
          <w:rtl/>
        </w:rPr>
        <w:t xml:space="preserve">" </w:t>
      </w:r>
      <w:r w:rsidRPr="001F10FC">
        <w:rPr>
          <w:rFonts w:cs="Guttman Vilna" w:hint="cs"/>
          <w:sz w:val="14"/>
          <w:szCs w:val="14"/>
          <w:rtl/>
        </w:rPr>
        <w:t>(שם ב)</w:t>
      </w:r>
      <w:r>
        <w:rPr>
          <w:rFonts w:cs="Guttman Vilna" w:hint="cs"/>
          <w:sz w:val="16"/>
          <w:szCs w:val="16"/>
          <w:rtl/>
        </w:rPr>
        <w:t>.</w:t>
      </w:r>
    </w:p>
    <w:p w:rsidR="001F070F" w:rsidRDefault="001F070F" w:rsidP="001F070F">
      <w:pPr>
        <w:pStyle w:val="a7"/>
        <w:numPr>
          <w:ilvl w:val="0"/>
          <w:numId w:val="3"/>
        </w:numPr>
        <w:spacing w:after="0"/>
        <w:rPr>
          <w:rFonts w:cs="Guttman Vilna"/>
          <w:sz w:val="16"/>
          <w:szCs w:val="16"/>
        </w:rPr>
      </w:pPr>
      <w:r>
        <w:rPr>
          <w:rFonts w:cs="Guttman Vilna" w:hint="cs"/>
          <w:sz w:val="16"/>
          <w:szCs w:val="16"/>
          <w:rtl/>
        </w:rPr>
        <w:t>"</w:t>
      </w:r>
      <w:proofErr w:type="spellStart"/>
      <w:r w:rsidRPr="001F070F">
        <w:rPr>
          <w:rFonts w:cs="Guttman Vilna"/>
          <w:sz w:val="16"/>
          <w:szCs w:val="16"/>
          <w:rtl/>
        </w:rPr>
        <w:t>ומרחיקין</w:t>
      </w:r>
      <w:proofErr w:type="spellEnd"/>
      <w:r w:rsidRPr="001F070F">
        <w:rPr>
          <w:rFonts w:cs="Guttman Vilna"/>
          <w:sz w:val="16"/>
          <w:szCs w:val="16"/>
          <w:rtl/>
        </w:rPr>
        <w:t xml:space="preserve"> את הזרעים ואת המחרישה ואת הגומא שמתקבץ בה מימי רגלים מן הכותל שלשה טפחים: </w:t>
      </w:r>
      <w:proofErr w:type="spellStart"/>
      <w:r w:rsidRPr="001F070F">
        <w:rPr>
          <w:rFonts w:cs="Guttman Vilna"/>
          <w:sz w:val="16"/>
          <w:szCs w:val="16"/>
          <w:rtl/>
        </w:rPr>
        <w:t>מרחיקין</w:t>
      </w:r>
      <w:proofErr w:type="spellEnd"/>
      <w:r w:rsidRPr="001F070F">
        <w:rPr>
          <w:rFonts w:cs="Guttman Vilna"/>
          <w:sz w:val="16"/>
          <w:szCs w:val="16"/>
          <w:rtl/>
        </w:rPr>
        <w:t xml:space="preserve"> את הרחיים שלשה טפחים מן הרחיים התחתונה שהן ארבעה מן העליונה כדי שלא יניד אותו או כדי שלא </w:t>
      </w:r>
      <w:proofErr w:type="spellStart"/>
      <w:r w:rsidRPr="001F070F">
        <w:rPr>
          <w:rFonts w:cs="Guttman Vilna"/>
          <w:sz w:val="16"/>
          <w:szCs w:val="16"/>
          <w:rtl/>
        </w:rPr>
        <w:t>יבהלנו</w:t>
      </w:r>
      <w:proofErr w:type="spellEnd"/>
      <w:r w:rsidRPr="001F070F">
        <w:rPr>
          <w:rFonts w:cs="Guttman Vilna"/>
          <w:sz w:val="16"/>
          <w:szCs w:val="16"/>
          <w:rtl/>
        </w:rPr>
        <w:t xml:space="preserve"> בקול הרחיים</w:t>
      </w:r>
      <w:r w:rsidRPr="001F070F">
        <w:rPr>
          <w:rFonts w:cs="Guttman Vilna" w:hint="cs"/>
          <w:sz w:val="16"/>
          <w:szCs w:val="16"/>
          <w:rtl/>
        </w:rPr>
        <w:t xml:space="preserve">: </w:t>
      </w:r>
      <w:proofErr w:type="spellStart"/>
      <w:r w:rsidRPr="001F070F">
        <w:rPr>
          <w:rFonts w:cs="Guttman Vilna"/>
          <w:sz w:val="16"/>
          <w:szCs w:val="16"/>
          <w:rtl/>
        </w:rPr>
        <w:t>מרחיקין</w:t>
      </w:r>
      <w:proofErr w:type="spellEnd"/>
      <w:r w:rsidRPr="001F070F">
        <w:rPr>
          <w:rFonts w:cs="Guttman Vilna"/>
          <w:sz w:val="16"/>
          <w:szCs w:val="16"/>
          <w:rtl/>
        </w:rPr>
        <w:t xml:space="preserve"> את התנור מן הכותל שלשה טפחים מקרקעיתו שהן ארבעה משפתו כדי שלא</w:t>
      </w:r>
      <w:r>
        <w:rPr>
          <w:rFonts w:cs="Guttman Vilna" w:hint="cs"/>
          <w:sz w:val="16"/>
          <w:szCs w:val="16"/>
          <w:rtl/>
        </w:rPr>
        <w:t xml:space="preserve"> </w:t>
      </w:r>
      <w:r w:rsidRPr="001F070F">
        <w:rPr>
          <w:rFonts w:cs="Guttman Vilna"/>
          <w:sz w:val="16"/>
          <w:szCs w:val="16"/>
          <w:rtl/>
        </w:rPr>
        <w:t>יחם הכותל</w:t>
      </w:r>
      <w:r w:rsidRPr="001F070F">
        <w:rPr>
          <w:rFonts w:cs="Guttman Vilna" w:hint="cs"/>
          <w:sz w:val="16"/>
          <w:szCs w:val="16"/>
          <w:rtl/>
        </w:rPr>
        <w:t xml:space="preserve">" </w:t>
      </w:r>
      <w:r w:rsidRPr="001F070F">
        <w:rPr>
          <w:rFonts w:cs="Guttman Vilna" w:hint="cs"/>
          <w:sz w:val="14"/>
          <w:szCs w:val="14"/>
          <w:rtl/>
        </w:rPr>
        <w:t>(שם ב-ד)</w:t>
      </w:r>
      <w:r w:rsidRPr="001F070F">
        <w:rPr>
          <w:rFonts w:cs="Guttman Vilna" w:hint="cs"/>
          <w:sz w:val="16"/>
          <w:szCs w:val="16"/>
          <w:rtl/>
        </w:rPr>
        <w:t>.</w:t>
      </w:r>
    </w:p>
    <w:p w:rsidR="00075C19" w:rsidRDefault="000549BC" w:rsidP="00075C19">
      <w:pPr>
        <w:pStyle w:val="a7"/>
        <w:numPr>
          <w:ilvl w:val="0"/>
          <w:numId w:val="3"/>
        </w:numPr>
        <w:spacing w:after="0"/>
        <w:rPr>
          <w:rFonts w:cs="Guttman Vilna"/>
          <w:sz w:val="16"/>
          <w:szCs w:val="16"/>
        </w:rPr>
      </w:pPr>
      <w:r>
        <w:rPr>
          <w:rFonts w:cs="Guttman Vilna" w:hint="cs"/>
          <w:sz w:val="16"/>
          <w:szCs w:val="16"/>
          <w:rtl/>
        </w:rPr>
        <w:t>"</w:t>
      </w:r>
      <w:r w:rsidR="00075C19" w:rsidRPr="00075C19">
        <w:rPr>
          <w:rFonts w:cs="Guttman Vilna"/>
          <w:sz w:val="16"/>
          <w:szCs w:val="16"/>
          <w:rtl/>
        </w:rPr>
        <w:t xml:space="preserve">מי </w:t>
      </w:r>
      <w:proofErr w:type="spellStart"/>
      <w:r w:rsidR="00075C19" w:rsidRPr="00075C19">
        <w:rPr>
          <w:rFonts w:cs="Guttman Vilna"/>
          <w:sz w:val="16"/>
          <w:szCs w:val="16"/>
          <w:rtl/>
        </w:rPr>
        <w:t>שהיתה</w:t>
      </w:r>
      <w:proofErr w:type="spellEnd"/>
      <w:r w:rsidR="00075C19" w:rsidRPr="00075C19">
        <w:rPr>
          <w:rFonts w:cs="Guttman Vilna"/>
          <w:sz w:val="16"/>
          <w:szCs w:val="16"/>
          <w:rtl/>
        </w:rPr>
        <w:t xml:space="preserve"> לו חנות תחת אוצר חבירו לא יעשה בה לא נחתום ולא צבע ולא רפת בקר ולא יכניס שם </w:t>
      </w:r>
      <w:proofErr w:type="spellStart"/>
      <w:r w:rsidR="00075C19" w:rsidRPr="00075C19">
        <w:rPr>
          <w:rFonts w:cs="Guttman Vilna"/>
          <w:sz w:val="16"/>
          <w:szCs w:val="16"/>
          <w:rtl/>
        </w:rPr>
        <w:t>אספסתא</w:t>
      </w:r>
      <w:proofErr w:type="spellEnd"/>
      <w:r w:rsidR="00075C19" w:rsidRPr="00075C19">
        <w:rPr>
          <w:rFonts w:cs="Guttman Vilna"/>
          <w:sz w:val="16"/>
          <w:szCs w:val="16"/>
          <w:rtl/>
        </w:rPr>
        <w:t xml:space="preserve"> וכיוצא בהן מדברים שעולה מהם הבל חם הרבה מפני שהחום מפסיד פירות האוצר.</w:t>
      </w:r>
      <w:r w:rsidR="00075C19">
        <w:rPr>
          <w:rFonts w:cs="Guttman Vilna" w:hint="cs"/>
          <w:sz w:val="16"/>
          <w:szCs w:val="16"/>
          <w:rtl/>
        </w:rPr>
        <w:t>.</w:t>
      </w:r>
      <w:r w:rsidR="00075C19">
        <w:rPr>
          <w:rFonts w:cs="Guttman Vilna"/>
          <w:sz w:val="16"/>
          <w:szCs w:val="16"/>
          <w:rtl/>
        </w:rPr>
        <w:t>.</w:t>
      </w:r>
      <w:r w:rsidR="00075C19" w:rsidRPr="00075C19">
        <w:rPr>
          <w:rFonts w:cs="Guttman Vilna"/>
          <w:sz w:val="16"/>
          <w:szCs w:val="16"/>
          <w:rtl/>
        </w:rPr>
        <w:t xml:space="preserve">ואם הוחזקו החנות </w:t>
      </w:r>
      <w:proofErr w:type="spellStart"/>
      <w:r w:rsidR="00075C19" w:rsidRPr="00075C19">
        <w:rPr>
          <w:rFonts w:cs="Guttman Vilna"/>
          <w:sz w:val="16"/>
          <w:szCs w:val="16"/>
          <w:rtl/>
        </w:rPr>
        <w:t>בתחלה</w:t>
      </w:r>
      <w:proofErr w:type="spellEnd"/>
      <w:r w:rsidR="00075C19" w:rsidRPr="00075C19">
        <w:rPr>
          <w:rFonts w:cs="Guttman Vilna"/>
          <w:sz w:val="16"/>
          <w:szCs w:val="16"/>
          <w:rtl/>
        </w:rPr>
        <w:t xml:space="preserve"> לרפת או לנחתום וכיוצא בו ואח</w:t>
      </w:r>
      <w:r w:rsidR="00075C19">
        <w:rPr>
          <w:rFonts w:cs="Guttman Vilna" w:hint="cs"/>
          <w:sz w:val="16"/>
          <w:szCs w:val="16"/>
          <w:rtl/>
        </w:rPr>
        <w:t>"</w:t>
      </w:r>
      <w:r w:rsidR="00075C19" w:rsidRPr="00075C19">
        <w:rPr>
          <w:rFonts w:cs="Guttman Vilna"/>
          <w:sz w:val="16"/>
          <w:szCs w:val="16"/>
          <w:rtl/>
        </w:rPr>
        <w:t>כ רצה בעל העלייה לעשות עלייתו אוצר אינו יכול למחות בידו</w:t>
      </w:r>
      <w:r w:rsidR="00075C19">
        <w:rPr>
          <w:rFonts w:cs="Guttman Vilna" w:hint="cs"/>
          <w:sz w:val="16"/>
          <w:szCs w:val="16"/>
          <w:rtl/>
        </w:rPr>
        <w:t xml:space="preserve">" </w:t>
      </w:r>
      <w:r w:rsidR="00075C19" w:rsidRPr="00075C19">
        <w:rPr>
          <w:rFonts w:cs="Guttman Vilna" w:hint="cs"/>
          <w:sz w:val="14"/>
          <w:szCs w:val="14"/>
          <w:rtl/>
        </w:rPr>
        <w:t xml:space="preserve">(שם </w:t>
      </w:r>
      <w:proofErr w:type="spellStart"/>
      <w:r w:rsidR="00075C19" w:rsidRPr="00075C19">
        <w:rPr>
          <w:rFonts w:cs="Guttman Vilna" w:hint="cs"/>
          <w:sz w:val="14"/>
          <w:szCs w:val="14"/>
          <w:rtl/>
        </w:rPr>
        <w:t>יב</w:t>
      </w:r>
      <w:proofErr w:type="spellEnd"/>
      <w:r w:rsidR="00075C19" w:rsidRPr="00075C19">
        <w:rPr>
          <w:rFonts w:cs="Guttman Vilna" w:hint="cs"/>
          <w:sz w:val="14"/>
          <w:szCs w:val="14"/>
          <w:rtl/>
        </w:rPr>
        <w:t>)</w:t>
      </w:r>
      <w:r w:rsidR="00075C19">
        <w:rPr>
          <w:rFonts w:cs="Guttman Vilna" w:hint="cs"/>
          <w:sz w:val="16"/>
          <w:szCs w:val="16"/>
          <w:rtl/>
        </w:rPr>
        <w:t>.</w:t>
      </w:r>
    </w:p>
    <w:p w:rsidR="000549BC" w:rsidRPr="001F070F" w:rsidRDefault="000549BC" w:rsidP="000549BC">
      <w:pPr>
        <w:pStyle w:val="a7"/>
        <w:numPr>
          <w:ilvl w:val="0"/>
          <w:numId w:val="3"/>
        </w:numPr>
        <w:spacing w:after="0"/>
        <w:rPr>
          <w:rFonts w:cs="Guttman Vilna"/>
          <w:sz w:val="16"/>
          <w:szCs w:val="16"/>
          <w:rtl/>
        </w:rPr>
      </w:pPr>
      <w:r>
        <w:rPr>
          <w:rFonts w:cs="Guttman Vilna" w:hint="cs"/>
          <w:sz w:val="16"/>
          <w:szCs w:val="16"/>
          <w:rtl/>
        </w:rPr>
        <w:t>"</w:t>
      </w:r>
      <w:r w:rsidRPr="000549BC">
        <w:rPr>
          <w:rFonts w:cs="Guttman Vilna"/>
          <w:sz w:val="16"/>
          <w:szCs w:val="16"/>
          <w:rtl/>
        </w:rPr>
        <w:t xml:space="preserve">מי </w:t>
      </w:r>
      <w:proofErr w:type="spellStart"/>
      <w:r w:rsidRPr="000549BC">
        <w:rPr>
          <w:rFonts w:cs="Guttman Vilna"/>
          <w:sz w:val="16"/>
          <w:szCs w:val="16"/>
          <w:rtl/>
        </w:rPr>
        <w:t>שהיתה</w:t>
      </w:r>
      <w:proofErr w:type="spellEnd"/>
      <w:r w:rsidRPr="000549BC">
        <w:rPr>
          <w:rFonts w:cs="Guttman Vilna"/>
          <w:sz w:val="16"/>
          <w:szCs w:val="16"/>
          <w:rtl/>
        </w:rPr>
        <w:t xml:space="preserve"> שדה חבירו נטועה גפנים או שאר אילנות ובא הוא לנטוע בתוך שדהו גפנים בצד גפנים או אילנות בצד אילנות צרי</w:t>
      </w:r>
      <w:r>
        <w:rPr>
          <w:rFonts w:cs="Guttman Vilna" w:hint="cs"/>
          <w:sz w:val="16"/>
          <w:szCs w:val="16"/>
          <w:rtl/>
        </w:rPr>
        <w:t>ך</w:t>
      </w:r>
      <w:r w:rsidRPr="000549BC">
        <w:rPr>
          <w:rFonts w:cs="Guttman Vilna"/>
          <w:sz w:val="16"/>
          <w:szCs w:val="16"/>
          <w:rtl/>
        </w:rPr>
        <w:t xml:space="preserve"> להרחיק ארבע אמות</w:t>
      </w:r>
      <w:r>
        <w:rPr>
          <w:rFonts w:cs="Guttman Vilna" w:hint="cs"/>
          <w:sz w:val="16"/>
          <w:szCs w:val="16"/>
          <w:rtl/>
        </w:rPr>
        <w:t xml:space="preserve">" </w:t>
      </w:r>
      <w:r w:rsidRPr="000549BC">
        <w:rPr>
          <w:rFonts w:cs="Guttman Vilna" w:hint="cs"/>
          <w:sz w:val="14"/>
          <w:szCs w:val="14"/>
          <w:rtl/>
        </w:rPr>
        <w:t>(י, ח)</w:t>
      </w:r>
      <w:r>
        <w:rPr>
          <w:rFonts w:cs="Guttman Vilna" w:hint="cs"/>
          <w:sz w:val="16"/>
          <w:szCs w:val="16"/>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auto"/>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NarkisimMF">
    <w:panose1 w:val="05000000000000000000"/>
    <w:charset w:val="B1"/>
    <w:family w:val="auto"/>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74" w:rsidRDefault="00117E74" w:rsidP="00084CA2">
      <w:pPr>
        <w:spacing w:after="0" w:line="240" w:lineRule="auto"/>
      </w:pPr>
      <w:r>
        <w:separator/>
      </w:r>
    </w:p>
  </w:footnote>
  <w:footnote w:type="continuationSeparator" w:id="0">
    <w:p w:rsidR="00117E74" w:rsidRDefault="00117E74" w:rsidP="00084CA2">
      <w:pPr>
        <w:spacing w:after="0" w:line="240" w:lineRule="auto"/>
      </w:pPr>
      <w:r>
        <w:continuationSeparator/>
      </w:r>
    </w:p>
  </w:footnote>
  <w:footnote w:id="1">
    <w:p w:rsidR="005D0D0B" w:rsidRPr="005D0D0B" w:rsidRDefault="005D0D0B" w:rsidP="005D0D0B">
      <w:pPr>
        <w:pStyle w:val="a3"/>
        <w:rPr>
          <w:sz w:val="20"/>
          <w:szCs w:val="18"/>
        </w:rPr>
      </w:pPr>
      <w:bookmarkStart w:id="1" w:name="מבוסס"/>
      <w:r w:rsidRPr="006816F1">
        <w:rPr>
          <w:rFonts w:hint="cs"/>
          <w:sz w:val="20"/>
          <w:szCs w:val="18"/>
          <w:rtl/>
        </w:rPr>
        <w:t>*</w:t>
      </w:r>
      <w:bookmarkEnd w:id="1"/>
      <w:r w:rsidRPr="006816F1">
        <w:rPr>
          <w:rFonts w:hint="cs"/>
          <w:sz w:val="20"/>
          <w:szCs w:val="18"/>
          <w:rtl/>
        </w:rPr>
        <w:t xml:space="preserve"> המאמר מבוסס על </w:t>
      </w:r>
      <w:r>
        <w:rPr>
          <w:rFonts w:hint="cs"/>
          <w:sz w:val="20"/>
          <w:szCs w:val="18"/>
          <w:rtl/>
        </w:rPr>
        <w:t xml:space="preserve">שיעור של הרב יצחק שפירא </w:t>
      </w:r>
      <w:proofErr w:type="spellStart"/>
      <w:r>
        <w:rPr>
          <w:rFonts w:hint="cs"/>
          <w:sz w:val="20"/>
          <w:szCs w:val="18"/>
          <w:rtl/>
        </w:rPr>
        <w:t>שליט"א</w:t>
      </w:r>
      <w:proofErr w:type="spellEnd"/>
      <w:r w:rsidRPr="006816F1">
        <w:rPr>
          <w:rFonts w:hint="cs"/>
          <w:sz w:val="20"/>
          <w:szCs w:val="18"/>
          <w:rtl/>
        </w:rPr>
        <w:t>.</w:t>
      </w:r>
    </w:p>
    <w:p w:rsidR="00D8711A" w:rsidRDefault="00D8711A" w:rsidP="00D8711A">
      <w:pPr>
        <w:pStyle w:val="a3"/>
      </w:pPr>
      <w:r>
        <w:rPr>
          <w:rStyle w:val="af3"/>
        </w:rPr>
        <w:footnoteRef/>
      </w:r>
      <w:r>
        <w:rPr>
          <w:rtl/>
        </w:rPr>
        <w:t xml:space="preserve"> </w:t>
      </w:r>
      <w:r>
        <w:rPr>
          <w:rFonts w:hint="cs"/>
          <w:rtl/>
        </w:rPr>
        <w:t xml:space="preserve">אמנם שם מדובר לגבי בור ולכן כתב המגיד משנה שהרמב"ם פסק </w:t>
      </w:r>
      <w:proofErr w:type="spellStart"/>
      <w:r>
        <w:rPr>
          <w:rFonts w:hint="cs"/>
          <w:rtl/>
        </w:rPr>
        <w:t>כרבא</w:t>
      </w:r>
      <w:proofErr w:type="spellEnd"/>
      <w:r>
        <w:rPr>
          <w:rFonts w:hint="cs"/>
          <w:rtl/>
        </w:rPr>
        <w:t xml:space="preserve"> רק בבור ולא בשאר דברים, אך זה דחוק מאוד בגמרא (עי' </w:t>
      </w:r>
      <w:proofErr w:type="spellStart"/>
      <w:r>
        <w:rPr>
          <w:rFonts w:hint="cs"/>
          <w:rtl/>
        </w:rPr>
        <w:t>בלח"מ</w:t>
      </w:r>
      <w:proofErr w:type="spellEnd"/>
      <w:r>
        <w:rPr>
          <w:rFonts w:hint="cs"/>
          <w:rtl/>
        </w:rPr>
        <w:t xml:space="preserve">). וכבר כתב </w:t>
      </w:r>
      <w:proofErr w:type="spellStart"/>
      <w:r>
        <w:rPr>
          <w:rFonts w:hint="cs"/>
          <w:rtl/>
        </w:rPr>
        <w:t>הלח"מ</w:t>
      </w:r>
      <w:proofErr w:type="spellEnd"/>
      <w:r>
        <w:rPr>
          <w:rFonts w:hint="cs"/>
          <w:rtl/>
        </w:rPr>
        <w:t xml:space="preserve"> שקשה לומר כן בדעת הרמב"ם, שהרי </w:t>
      </w:r>
      <w:r w:rsidRPr="00622F0A">
        <w:rPr>
          <w:rtl/>
        </w:rPr>
        <w:t xml:space="preserve">כתב </w:t>
      </w:r>
      <w:r w:rsidRPr="00622F0A">
        <w:rPr>
          <w:sz w:val="20"/>
          <w:szCs w:val="18"/>
          <w:rtl/>
        </w:rPr>
        <w:t xml:space="preserve">(ט, </w:t>
      </w:r>
      <w:proofErr w:type="spellStart"/>
      <w:r w:rsidR="00075C19">
        <w:rPr>
          <w:rFonts w:hint="cs"/>
          <w:sz w:val="20"/>
          <w:szCs w:val="18"/>
          <w:rtl/>
        </w:rPr>
        <w:t>י</w:t>
      </w:r>
      <w:r w:rsidRPr="00622F0A">
        <w:rPr>
          <w:sz w:val="20"/>
          <w:szCs w:val="18"/>
          <w:rtl/>
        </w:rPr>
        <w:t>ב</w:t>
      </w:r>
      <w:proofErr w:type="spellEnd"/>
      <w:r w:rsidRPr="00622F0A">
        <w:rPr>
          <w:sz w:val="20"/>
          <w:szCs w:val="18"/>
          <w:rtl/>
        </w:rPr>
        <w:t>)</w:t>
      </w:r>
      <w:r w:rsidRPr="00622F0A">
        <w:rPr>
          <w:rtl/>
        </w:rPr>
        <w:t xml:space="preserve"> "מי </w:t>
      </w:r>
      <w:proofErr w:type="spellStart"/>
      <w:r w:rsidRPr="00622F0A">
        <w:rPr>
          <w:rtl/>
        </w:rPr>
        <w:t>שהיתה</w:t>
      </w:r>
      <w:proofErr w:type="spellEnd"/>
      <w:r w:rsidRPr="00622F0A">
        <w:rPr>
          <w:rtl/>
        </w:rPr>
        <w:t xml:space="preserve"> לו חנות תחת אוצר חבירו לא יעשה בה לא נחתום ולא צבע ולא רפת בקר...מפני שהחום מפסיד פירות האוצר...ואם הוחזקו החנות </w:t>
      </w:r>
      <w:proofErr w:type="spellStart"/>
      <w:r w:rsidRPr="00622F0A">
        <w:rPr>
          <w:rtl/>
        </w:rPr>
        <w:t>בתחלה</w:t>
      </w:r>
      <w:proofErr w:type="spellEnd"/>
      <w:r w:rsidRPr="00622F0A">
        <w:rPr>
          <w:rtl/>
        </w:rPr>
        <w:t xml:space="preserve"> לרפת או לנחתום וכיוצא בו ואח"כ רצה בעל העלייה לעשות עלייתו אוצר אינו יכול למחות בידו", ומשמע שדווקא בחנות וברפת וכיוצ"ב "אינו יכול למחות בידו" אם פתחם קודם לדבר הניזוק אך בשאר המזיקים יכול למחות אף </w:t>
      </w:r>
      <w:proofErr w:type="spellStart"/>
      <w:r w:rsidRPr="00622F0A">
        <w:rPr>
          <w:rtl/>
        </w:rPr>
        <w:t>שעשאם</w:t>
      </w:r>
      <w:proofErr w:type="spellEnd"/>
      <w:r w:rsidRPr="00622F0A">
        <w:rPr>
          <w:rtl/>
        </w:rPr>
        <w:t xml:space="preserve"> קודם לדבר הניזוק וזה ממש כדברי רבא (וכמו </w:t>
      </w:r>
      <w:proofErr w:type="spellStart"/>
      <w:r w:rsidRPr="00622F0A">
        <w:rPr>
          <w:rtl/>
        </w:rPr>
        <w:t>שדייקא</w:t>
      </w:r>
      <w:proofErr w:type="spellEnd"/>
      <w:r w:rsidRPr="00622F0A">
        <w:rPr>
          <w:rtl/>
        </w:rPr>
        <w:t xml:space="preserve"> הגמרא </w:t>
      </w:r>
      <w:r w:rsidRPr="00D8711A">
        <w:rPr>
          <w:sz w:val="20"/>
          <w:szCs w:val="18"/>
          <w:rtl/>
        </w:rPr>
        <w:t>(</w:t>
      </w:r>
      <w:proofErr w:type="spellStart"/>
      <w:r w:rsidRPr="00D8711A">
        <w:rPr>
          <w:sz w:val="20"/>
          <w:szCs w:val="18"/>
          <w:rtl/>
        </w:rPr>
        <w:t>יח</w:t>
      </w:r>
      <w:proofErr w:type="spellEnd"/>
      <w:r w:rsidRPr="00D8711A">
        <w:rPr>
          <w:sz w:val="20"/>
          <w:szCs w:val="18"/>
          <w:rtl/>
        </w:rPr>
        <w:t>.)</w:t>
      </w:r>
      <w:r w:rsidRPr="00622F0A">
        <w:rPr>
          <w:rtl/>
        </w:rPr>
        <w:t xml:space="preserve"> במפורש).</w:t>
      </w:r>
    </w:p>
  </w:footnote>
  <w:footnote w:id="2">
    <w:p w:rsidR="009005EF" w:rsidRDefault="009005EF" w:rsidP="00D0283A">
      <w:pPr>
        <w:pStyle w:val="a3"/>
        <w:rPr>
          <w:rtl/>
        </w:rPr>
      </w:pPr>
      <w:r>
        <w:rPr>
          <w:rStyle w:val="af3"/>
        </w:rPr>
        <w:footnoteRef/>
      </w:r>
      <w:r>
        <w:rPr>
          <w:rtl/>
        </w:rPr>
        <w:t xml:space="preserve"> </w:t>
      </w:r>
      <w:r>
        <w:rPr>
          <w:rFonts w:hint="cs"/>
          <w:rtl/>
        </w:rPr>
        <w:t>ובאמת הראשונים, שלא הבינו כך, נ</w:t>
      </w:r>
      <w:r w:rsidR="00D0283A">
        <w:rPr>
          <w:rFonts w:hint="cs"/>
          <w:rtl/>
        </w:rPr>
        <w:t>תקשו בדבר</w:t>
      </w:r>
      <w:r>
        <w:rPr>
          <w:rFonts w:hint="cs"/>
          <w:rtl/>
        </w:rPr>
        <w:t xml:space="preserve"> </w:t>
      </w:r>
      <w:r w:rsidR="00D0283A">
        <w:rPr>
          <w:rFonts w:hint="cs"/>
          <w:rtl/>
        </w:rPr>
        <w:t>(</w:t>
      </w:r>
      <w:r>
        <w:rPr>
          <w:rFonts w:hint="cs"/>
          <w:rtl/>
        </w:rPr>
        <w:t xml:space="preserve">עיי' </w:t>
      </w:r>
      <w:proofErr w:type="spellStart"/>
      <w:r>
        <w:rPr>
          <w:rFonts w:hint="cs"/>
          <w:rtl/>
        </w:rPr>
        <w:t>בתוד"ה</w:t>
      </w:r>
      <w:proofErr w:type="spellEnd"/>
      <w:r>
        <w:rPr>
          <w:rFonts w:hint="cs"/>
          <w:rtl/>
        </w:rPr>
        <w:t xml:space="preserve"> '</w:t>
      </w:r>
      <w:proofErr w:type="spellStart"/>
      <w:r>
        <w:rPr>
          <w:rFonts w:hint="cs"/>
          <w:rtl/>
        </w:rPr>
        <w:t>מרחיקין</w:t>
      </w:r>
      <w:proofErr w:type="spellEnd"/>
      <w:r>
        <w:rPr>
          <w:rFonts w:hint="cs"/>
          <w:rtl/>
        </w:rPr>
        <w:t>'</w:t>
      </w:r>
      <w:r w:rsidR="00D0283A">
        <w:rPr>
          <w:rFonts w:hint="cs"/>
          <w:rtl/>
        </w:rPr>
        <w:t>)</w:t>
      </w:r>
      <w:r>
        <w:rPr>
          <w:rFonts w:hint="cs"/>
          <w:rtl/>
        </w:rPr>
        <w:t>.</w:t>
      </w:r>
    </w:p>
  </w:footnote>
  <w:footnote w:id="3">
    <w:p w:rsidR="00D0283A" w:rsidRDefault="00D0283A">
      <w:pPr>
        <w:pStyle w:val="a3"/>
      </w:pPr>
      <w:r>
        <w:rPr>
          <w:rStyle w:val="af3"/>
        </w:rPr>
        <w:footnoteRef/>
      </w:r>
      <w:r>
        <w:rPr>
          <w:rtl/>
        </w:rPr>
        <w:t xml:space="preserve"> </w:t>
      </w:r>
      <w:r>
        <w:rPr>
          <w:rFonts w:hint="cs"/>
          <w:rtl/>
        </w:rPr>
        <w:t xml:space="preserve">בהסבר זה תתיישב בשופי גם קושיית הרשב"א </w:t>
      </w:r>
      <w:proofErr w:type="spellStart"/>
      <w:r>
        <w:rPr>
          <w:rFonts w:hint="cs"/>
          <w:rtl/>
        </w:rPr>
        <w:t>משאנץ</w:t>
      </w:r>
      <w:proofErr w:type="spellEnd"/>
      <w:r>
        <w:rPr>
          <w:rFonts w:hint="cs"/>
          <w:rtl/>
        </w:rPr>
        <w:t xml:space="preserve"> </w:t>
      </w:r>
      <w:proofErr w:type="spellStart"/>
      <w:r>
        <w:rPr>
          <w:rFonts w:hint="cs"/>
          <w:rtl/>
        </w:rPr>
        <w:t>בתוד"ה</w:t>
      </w:r>
      <w:proofErr w:type="spellEnd"/>
      <w:r>
        <w:rPr>
          <w:rFonts w:hint="cs"/>
          <w:rtl/>
        </w:rPr>
        <w:t xml:space="preserve"> 'אביי', עיי"ש.</w:t>
      </w:r>
    </w:p>
  </w:footnote>
  <w:footnote w:id="4">
    <w:p w:rsidR="00285A1D" w:rsidRDefault="00285A1D" w:rsidP="00787C00">
      <w:pPr>
        <w:pStyle w:val="a3"/>
        <w:rPr>
          <w:rtl/>
        </w:rPr>
      </w:pPr>
      <w:r>
        <w:rPr>
          <w:rStyle w:val="af3"/>
        </w:rPr>
        <w:footnoteRef/>
      </w:r>
      <w:r>
        <w:rPr>
          <w:rtl/>
        </w:rPr>
        <w:t xml:space="preserve"> </w:t>
      </w:r>
      <w:r>
        <w:rPr>
          <w:rFonts w:hint="cs"/>
          <w:rtl/>
        </w:rPr>
        <w:t>ולפירושם</w:t>
      </w:r>
      <w:r w:rsidR="00BE7ACD">
        <w:rPr>
          <w:rFonts w:hint="cs"/>
          <w:rtl/>
        </w:rPr>
        <w:t xml:space="preserve"> של שאר הראשונים</w:t>
      </w:r>
      <w:r>
        <w:rPr>
          <w:rFonts w:hint="cs"/>
          <w:rtl/>
        </w:rPr>
        <w:t xml:space="preserve"> </w:t>
      </w:r>
      <w:r>
        <w:rPr>
          <w:rtl/>
        </w:rPr>
        <w:t xml:space="preserve">יוצא </w:t>
      </w:r>
      <w:proofErr w:type="spellStart"/>
      <w:r>
        <w:rPr>
          <w:rtl/>
        </w:rPr>
        <w:t>ש</w:t>
      </w:r>
      <w:r w:rsidR="00787C00">
        <w:rPr>
          <w:rFonts w:hint="cs"/>
          <w:rtl/>
        </w:rPr>
        <w:t>אביי</w:t>
      </w:r>
      <w:proofErr w:type="spellEnd"/>
      <w:r w:rsidR="00787C00">
        <w:rPr>
          <w:rFonts w:hint="cs"/>
          <w:rtl/>
        </w:rPr>
        <w:t xml:space="preserve"> ורבא נחלקו</w:t>
      </w:r>
      <w:r>
        <w:rPr>
          <w:rFonts w:hint="cs"/>
          <w:rtl/>
        </w:rPr>
        <w:t xml:space="preserve"> </w:t>
      </w:r>
      <w:r w:rsidR="00787C00">
        <w:rPr>
          <w:rFonts w:hint="cs"/>
          <w:rtl/>
        </w:rPr>
        <w:t>בכמה</w:t>
      </w:r>
      <w:r>
        <w:rPr>
          <w:rtl/>
        </w:rPr>
        <w:t xml:space="preserve"> מחלוקות: </w:t>
      </w:r>
      <w:r>
        <w:rPr>
          <w:rFonts w:hint="cs"/>
          <w:rtl/>
        </w:rPr>
        <w:t>א.</w:t>
      </w:r>
      <w:r>
        <w:rPr>
          <w:rtl/>
        </w:rPr>
        <w:t xml:space="preserve"> </w:t>
      </w:r>
      <w:r>
        <w:rPr>
          <w:rFonts w:hint="cs"/>
          <w:rtl/>
        </w:rPr>
        <w:t xml:space="preserve">בדעת חכמים </w:t>
      </w:r>
      <w:r>
        <w:rPr>
          <w:rFonts w:hint="eastAsia"/>
          <w:rtl/>
        </w:rPr>
        <w:t xml:space="preserve">– </w:t>
      </w:r>
      <w:r>
        <w:rPr>
          <w:rtl/>
        </w:rPr>
        <w:t>האם מותר לסמוך כאשר אין מזיק</w:t>
      </w:r>
      <w:r>
        <w:rPr>
          <w:rFonts w:hint="cs"/>
          <w:rtl/>
        </w:rPr>
        <w:t xml:space="preserve"> (ו</w:t>
      </w:r>
      <w:r>
        <w:rPr>
          <w:rtl/>
        </w:rPr>
        <w:t xml:space="preserve">לדעת ר' יוסי בפשטות אי אפשר לאסור לסמוך כשאין ניזק, שהרי זה לא גיריה </w:t>
      </w:r>
      <w:proofErr w:type="spellStart"/>
      <w:r>
        <w:rPr>
          <w:rtl/>
        </w:rPr>
        <w:t>דיליה</w:t>
      </w:r>
      <w:proofErr w:type="spellEnd"/>
      <w:r w:rsidR="00BE7ACD">
        <w:rPr>
          <w:rFonts w:hint="cs"/>
          <w:rtl/>
        </w:rPr>
        <w:t>, ו</w:t>
      </w:r>
      <w:r>
        <w:rPr>
          <w:rtl/>
        </w:rPr>
        <w:t xml:space="preserve">כמ"ש </w:t>
      </w:r>
      <w:proofErr w:type="spellStart"/>
      <w:r>
        <w:rPr>
          <w:rtl/>
        </w:rPr>
        <w:t>הנמוק"י</w:t>
      </w:r>
      <w:proofErr w:type="spellEnd"/>
      <w:r>
        <w:rPr>
          <w:rtl/>
        </w:rPr>
        <w:t>).</w:t>
      </w:r>
      <w:r w:rsidR="00BE7ACD">
        <w:rPr>
          <w:rFonts w:hint="cs"/>
          <w:rtl/>
        </w:rPr>
        <w:t xml:space="preserve"> ב. </w:t>
      </w:r>
      <w:r>
        <w:rPr>
          <w:rtl/>
        </w:rPr>
        <w:t>גם לדעת ר' יוסי</w:t>
      </w:r>
      <w:r w:rsidR="00BE7ACD">
        <w:rPr>
          <w:rFonts w:hint="cs"/>
          <w:rtl/>
        </w:rPr>
        <w:t xml:space="preserve"> </w:t>
      </w:r>
      <w:r w:rsidR="00BE7ACD">
        <w:rPr>
          <w:rFonts w:hint="eastAsia"/>
          <w:rtl/>
        </w:rPr>
        <w:t>–</w:t>
      </w:r>
      <w:r>
        <w:rPr>
          <w:rtl/>
        </w:rPr>
        <w:t xml:space="preserve"> האם יש בחפירת הבור נזק </w:t>
      </w:r>
      <w:proofErr w:type="spellStart"/>
      <w:r>
        <w:rPr>
          <w:rtl/>
        </w:rPr>
        <w:t>מיידי</w:t>
      </w:r>
      <w:proofErr w:type="spellEnd"/>
      <w:r>
        <w:rPr>
          <w:rtl/>
        </w:rPr>
        <w:t xml:space="preserve"> או לא. </w:t>
      </w:r>
      <w:r w:rsidR="00787C00">
        <w:rPr>
          <w:rFonts w:hint="cs"/>
          <w:rtl/>
        </w:rPr>
        <w:t>ג.</w:t>
      </w:r>
      <w:r w:rsidR="00787C00">
        <w:rPr>
          <w:rtl/>
        </w:rPr>
        <w:t xml:space="preserve"> לפי רש"י, למסקנה (בסוגיית חרדל) נראה ש</w:t>
      </w:r>
      <w:r w:rsidR="00787C00">
        <w:rPr>
          <w:rFonts w:hint="cs"/>
          <w:rtl/>
        </w:rPr>
        <w:t>נחלקו במחלוקת שלישית</w:t>
      </w:r>
      <w:r w:rsidR="00787C00">
        <w:rPr>
          <w:rtl/>
        </w:rPr>
        <w:t xml:space="preserve">, במקרה שהראשון סמך בהיתר (או לאביי, או </w:t>
      </w:r>
      <w:proofErr w:type="spellStart"/>
      <w:r w:rsidR="00787C00">
        <w:rPr>
          <w:rtl/>
        </w:rPr>
        <w:t>לרבא</w:t>
      </w:r>
      <w:proofErr w:type="spellEnd"/>
      <w:r w:rsidR="00787C00">
        <w:rPr>
          <w:rtl/>
        </w:rPr>
        <w:t xml:space="preserve"> בשדה שאינה עשויה לבורות</w:t>
      </w:r>
      <w:r w:rsidR="00787C00">
        <w:rPr>
          <w:rFonts w:hint="cs"/>
          <w:rtl/>
        </w:rPr>
        <w:t xml:space="preserve"> ו</w:t>
      </w:r>
      <w:r w:rsidR="00787C00">
        <w:rPr>
          <w:rtl/>
        </w:rPr>
        <w:t xml:space="preserve">בלוקח), האם לאחר מכן כשהניזק הגיע יצטרך המזיק להרחיק. רבא אומר שכן </w:t>
      </w:r>
      <w:proofErr w:type="spellStart"/>
      <w:r w:rsidR="00787C00">
        <w:rPr>
          <w:rtl/>
        </w:rPr>
        <w:t>ואביי</w:t>
      </w:r>
      <w:proofErr w:type="spellEnd"/>
      <w:r w:rsidR="00787C00">
        <w:rPr>
          <w:rtl/>
        </w:rPr>
        <w:t xml:space="preserve"> אומר שלא [שהרי הגמרא אומרת "אמר </w:t>
      </w:r>
      <w:proofErr w:type="spellStart"/>
      <w:r w:rsidR="00787C00">
        <w:rPr>
          <w:rtl/>
        </w:rPr>
        <w:t>רבינא</w:t>
      </w:r>
      <w:proofErr w:type="spellEnd"/>
      <w:r w:rsidR="00787C00">
        <w:rPr>
          <w:rtl/>
        </w:rPr>
        <w:t xml:space="preserve"> </w:t>
      </w:r>
      <w:proofErr w:type="spellStart"/>
      <w:r w:rsidR="00787C00">
        <w:rPr>
          <w:rtl/>
        </w:rPr>
        <w:t>קסברי</w:t>
      </w:r>
      <w:proofErr w:type="spellEnd"/>
      <w:r w:rsidR="00787C00">
        <w:rPr>
          <w:rtl/>
        </w:rPr>
        <w:t xml:space="preserve"> רבנן על המזיק להרחיק את עצמו" ולרש"י הפירוש הוא שאפילו אם עשה ברשות צריך להרחיק. וכיון שהגמרא אמרה את זה רק לתרץ את שיטת רבא נראה </w:t>
      </w:r>
      <w:proofErr w:type="spellStart"/>
      <w:r w:rsidR="00787C00">
        <w:rPr>
          <w:rtl/>
        </w:rPr>
        <w:t>שאביי</w:t>
      </w:r>
      <w:proofErr w:type="spellEnd"/>
      <w:r w:rsidR="00787C00">
        <w:rPr>
          <w:rtl/>
        </w:rPr>
        <w:t xml:space="preserve"> יחלוק על זה. וצ"ע בזה </w:t>
      </w:r>
      <w:proofErr w:type="spellStart"/>
      <w:r w:rsidR="00787C00">
        <w:rPr>
          <w:rtl/>
        </w:rPr>
        <w:t>בתוס</w:t>
      </w:r>
      <w:proofErr w:type="spellEnd"/>
      <w:r w:rsidR="00787C00">
        <w:rPr>
          <w:rtl/>
        </w:rPr>
        <w:t>'].</w:t>
      </w:r>
      <w:r w:rsidR="00787C00">
        <w:rPr>
          <w:rFonts w:hint="cs"/>
          <w:rtl/>
        </w:rPr>
        <w:t xml:space="preserve"> וכמובן שהדבר מאוד דחוק </w:t>
      </w:r>
      <w:proofErr w:type="spellStart"/>
      <w:r w:rsidR="00787C00">
        <w:rPr>
          <w:rFonts w:hint="cs"/>
          <w:rtl/>
        </w:rPr>
        <w:t>שאביי</w:t>
      </w:r>
      <w:proofErr w:type="spellEnd"/>
      <w:r w:rsidR="00787C00">
        <w:rPr>
          <w:rFonts w:hint="cs"/>
          <w:rtl/>
        </w:rPr>
        <w:t xml:space="preserve"> ורבא </w:t>
      </w:r>
      <w:r>
        <w:rPr>
          <w:rtl/>
        </w:rPr>
        <w:t xml:space="preserve">במקרה </w:t>
      </w:r>
      <w:r w:rsidR="00787C00">
        <w:rPr>
          <w:rFonts w:hint="cs"/>
          <w:rtl/>
        </w:rPr>
        <w:t>נחלקו</w:t>
      </w:r>
      <w:r>
        <w:rPr>
          <w:rtl/>
        </w:rPr>
        <w:t xml:space="preserve"> ב</w:t>
      </w:r>
      <w:r w:rsidR="00787C00">
        <w:rPr>
          <w:rFonts w:hint="cs"/>
          <w:rtl/>
        </w:rPr>
        <w:t>כמה</w:t>
      </w:r>
      <w:r>
        <w:rPr>
          <w:rtl/>
        </w:rPr>
        <w:t xml:space="preserve"> מחלוקות בדיוק בבור</w:t>
      </w:r>
      <w:r w:rsidR="00787C00">
        <w:rPr>
          <w:rFonts w:hint="cs"/>
          <w:rtl/>
        </w:rPr>
        <w:t xml:space="preserve"> בלא ש</w:t>
      </w:r>
      <w:r>
        <w:rPr>
          <w:rtl/>
        </w:rPr>
        <w:t>יש קשר בי</w:t>
      </w:r>
      <w:r w:rsidR="00787C00">
        <w:rPr>
          <w:rFonts w:hint="cs"/>
          <w:rtl/>
        </w:rPr>
        <w:t>ניהם.</w:t>
      </w:r>
    </w:p>
  </w:footnote>
  <w:footnote w:id="5">
    <w:p w:rsidR="00285A1D" w:rsidRDefault="00285A1D" w:rsidP="00B46CBE">
      <w:pPr>
        <w:pStyle w:val="a3"/>
      </w:pPr>
      <w:r>
        <w:rPr>
          <w:rStyle w:val="af3"/>
        </w:rPr>
        <w:footnoteRef/>
      </w:r>
      <w:r>
        <w:rPr>
          <w:rtl/>
        </w:rPr>
        <w:t xml:space="preserve"> </w:t>
      </w:r>
      <w:r>
        <w:rPr>
          <w:rFonts w:hint="cs"/>
          <w:rtl/>
        </w:rPr>
        <w:t xml:space="preserve">ובכך תתיישב </w:t>
      </w:r>
      <w:r w:rsidR="00B46CBE">
        <w:rPr>
          <w:rFonts w:hint="cs"/>
          <w:rtl/>
        </w:rPr>
        <w:t xml:space="preserve">בשופי </w:t>
      </w:r>
      <w:proofErr w:type="spellStart"/>
      <w:r>
        <w:rPr>
          <w:rFonts w:hint="cs"/>
          <w:rtl/>
        </w:rPr>
        <w:t>הקושיא</w:t>
      </w:r>
      <w:proofErr w:type="spellEnd"/>
      <w:r>
        <w:rPr>
          <w:rFonts w:hint="cs"/>
          <w:rtl/>
        </w:rPr>
        <w:t xml:space="preserve"> </w:t>
      </w:r>
      <w:proofErr w:type="spellStart"/>
      <w:r>
        <w:rPr>
          <w:rFonts w:hint="cs"/>
          <w:rtl/>
        </w:rPr>
        <w:t>השניה</w:t>
      </w:r>
      <w:proofErr w:type="spellEnd"/>
      <w:r>
        <w:rPr>
          <w:rFonts w:hint="cs"/>
          <w:rtl/>
        </w:rPr>
        <w:t xml:space="preserve"> </w:t>
      </w:r>
      <w:proofErr w:type="spellStart"/>
      <w:r>
        <w:rPr>
          <w:rFonts w:hint="cs"/>
          <w:rtl/>
        </w:rPr>
        <w:t>בתוד"ה</w:t>
      </w:r>
      <w:proofErr w:type="spellEnd"/>
      <w:r>
        <w:rPr>
          <w:rFonts w:hint="cs"/>
          <w:rtl/>
        </w:rPr>
        <w:t xml:space="preserve"> '</w:t>
      </w:r>
      <w:proofErr w:type="spellStart"/>
      <w:r>
        <w:rPr>
          <w:rFonts w:hint="cs"/>
          <w:rtl/>
        </w:rPr>
        <w:t>מרחיקין</w:t>
      </w:r>
      <w:proofErr w:type="spellEnd"/>
      <w:r>
        <w:rPr>
          <w:rFonts w:hint="cs"/>
          <w:rtl/>
        </w:rPr>
        <w:t>'</w:t>
      </w:r>
      <w:r w:rsidR="00B46CBE">
        <w:rPr>
          <w:rFonts w:hint="cs"/>
          <w:rtl/>
        </w:rPr>
        <w:t>.</w:t>
      </w:r>
    </w:p>
  </w:footnote>
  <w:footnote w:id="6">
    <w:p w:rsidR="009737D5" w:rsidRDefault="009737D5" w:rsidP="00A06DC8">
      <w:pPr>
        <w:pStyle w:val="a3"/>
      </w:pPr>
      <w:r>
        <w:rPr>
          <w:rStyle w:val="af3"/>
        </w:rPr>
        <w:footnoteRef/>
      </w:r>
      <w:r>
        <w:rPr>
          <w:rtl/>
        </w:rPr>
        <w:t xml:space="preserve"> </w:t>
      </w:r>
      <w:r>
        <w:rPr>
          <w:rFonts w:hint="cs"/>
          <w:rtl/>
        </w:rPr>
        <w:t xml:space="preserve">אכן </w:t>
      </w:r>
      <w:r w:rsidR="00A06DC8">
        <w:rPr>
          <w:rFonts w:hint="cs"/>
          <w:rtl/>
        </w:rPr>
        <w:t xml:space="preserve">לשיטתם קשה מדוע הגמרא לא עושה מזה קושיא על אביי (עיי' </w:t>
      </w:r>
      <w:proofErr w:type="spellStart"/>
      <w:r w:rsidR="00A06DC8">
        <w:rPr>
          <w:rFonts w:hint="cs"/>
          <w:rtl/>
        </w:rPr>
        <w:t>בתוס</w:t>
      </w:r>
      <w:proofErr w:type="spellEnd"/>
      <w:r w:rsidR="00A06DC8">
        <w:rPr>
          <w:rFonts w:hint="cs"/>
          <w:rtl/>
        </w:rPr>
        <w:t>' שנדחקו בדבר).</w:t>
      </w:r>
    </w:p>
  </w:footnote>
  <w:footnote w:id="7">
    <w:p w:rsidR="00422F00" w:rsidRDefault="00422F00" w:rsidP="00075C19">
      <w:pPr>
        <w:pStyle w:val="a3"/>
        <w:rPr>
          <w:rtl/>
        </w:rPr>
      </w:pPr>
      <w:r>
        <w:rPr>
          <w:rStyle w:val="af3"/>
        </w:rPr>
        <w:footnoteRef/>
      </w:r>
      <w:r>
        <w:rPr>
          <w:rtl/>
        </w:rPr>
        <w:t xml:space="preserve"> </w:t>
      </w:r>
      <w:r>
        <w:rPr>
          <w:rFonts w:hint="cs"/>
          <w:rtl/>
        </w:rPr>
        <w:t xml:space="preserve">לשאר הראשונים לא ברור מדוע כתוב לשון </w:t>
      </w:r>
      <w:r w:rsidR="00075C19">
        <w:rPr>
          <w:rFonts w:hint="cs"/>
          <w:rtl/>
        </w:rPr>
        <w:t xml:space="preserve">של </w:t>
      </w:r>
      <w:proofErr w:type="spellStart"/>
      <w:r>
        <w:rPr>
          <w:rFonts w:hint="cs"/>
          <w:rtl/>
        </w:rPr>
        <w:t>דיעבד</w:t>
      </w:r>
      <w:proofErr w:type="spellEnd"/>
      <w:r>
        <w:rPr>
          <w:rFonts w:hint="cs"/>
          <w:rtl/>
        </w:rPr>
        <w:t xml:space="preserve"> ("אם </w:t>
      </w:r>
      <w:proofErr w:type="spellStart"/>
      <w:r>
        <w:rPr>
          <w:rFonts w:hint="cs"/>
          <w:rtl/>
        </w:rPr>
        <w:t>היתה</w:t>
      </w:r>
      <w:proofErr w:type="spellEnd"/>
      <w:r>
        <w:rPr>
          <w:rFonts w:hint="cs"/>
          <w:rtl/>
        </w:rPr>
        <w:t xml:space="preserve"> רפת בקר קודמת") שהרי החידוש לשיטתם הוא זה שמותר לכתחילה לפתוח רפת בקר אם אין אוצר; </w:t>
      </w:r>
      <w:proofErr w:type="spellStart"/>
      <w:r>
        <w:rPr>
          <w:rFonts w:hint="cs"/>
          <w:rtl/>
        </w:rPr>
        <w:t>משא"כ</w:t>
      </w:r>
      <w:proofErr w:type="spellEnd"/>
      <w:r>
        <w:rPr>
          <w:rFonts w:hint="cs"/>
          <w:rtl/>
        </w:rPr>
        <w:t xml:space="preserve"> לפי מה שהסברנו ברמב"ם, זה שמותר לכתחילה ל</w:t>
      </w:r>
      <w:r w:rsidR="005A0A54">
        <w:rPr>
          <w:rFonts w:hint="cs"/>
          <w:rtl/>
        </w:rPr>
        <w:t>פת</w:t>
      </w:r>
      <w:r>
        <w:rPr>
          <w:rFonts w:hint="cs"/>
          <w:rtl/>
        </w:rPr>
        <w:t>וח כשאין אוצר זה פשוט וזה נכון לא</w:t>
      </w:r>
      <w:r w:rsidR="005A0A54">
        <w:rPr>
          <w:rFonts w:hint="cs"/>
          <w:rtl/>
        </w:rPr>
        <w:t>ו</w:t>
      </w:r>
      <w:r>
        <w:rPr>
          <w:rFonts w:hint="cs"/>
          <w:rtl/>
        </w:rPr>
        <w:t xml:space="preserve"> דווקא בדירה</w:t>
      </w:r>
      <w:r w:rsidR="005A0A54">
        <w:rPr>
          <w:rFonts w:hint="cs"/>
          <w:rtl/>
        </w:rPr>
        <w:t>, והחידוש כאן הוא זה שאם כבר פתח רפת לפני שפתחו את האוצר אז מותר ואינו צריך לסגור.</w:t>
      </w:r>
    </w:p>
  </w:footnote>
  <w:footnote w:id="8">
    <w:p w:rsidR="004544F1" w:rsidRDefault="004544F1">
      <w:pPr>
        <w:pStyle w:val="a3"/>
      </w:pPr>
      <w:r>
        <w:rPr>
          <w:rStyle w:val="af3"/>
        </w:rPr>
        <w:footnoteRef/>
      </w:r>
      <w:r>
        <w:rPr>
          <w:rtl/>
        </w:rPr>
        <w:t xml:space="preserve"> </w:t>
      </w:r>
      <w:r>
        <w:rPr>
          <w:rFonts w:hint="cs"/>
          <w:rtl/>
        </w:rPr>
        <w:t>אך</w:t>
      </w:r>
      <w:r>
        <w:rPr>
          <w:rtl/>
        </w:rPr>
        <w:t xml:space="preserve"> </w:t>
      </w:r>
      <w:r>
        <w:rPr>
          <w:rFonts w:hint="cs"/>
          <w:rtl/>
        </w:rPr>
        <w:t>ל</w:t>
      </w:r>
      <w:r>
        <w:rPr>
          <w:rtl/>
        </w:rPr>
        <w:t xml:space="preserve">שיטת רש"י אסור לסמוך גם כשאין ניזק, </w:t>
      </w:r>
      <w:r>
        <w:rPr>
          <w:rFonts w:hint="cs"/>
          <w:rtl/>
        </w:rPr>
        <w:t>ולפי</w:t>
      </w:r>
      <w:r>
        <w:rPr>
          <w:rtl/>
        </w:rPr>
        <w:t xml:space="preserve"> תוס' (ר"ח ור"ת בסוגיית חרדל) למסקנה רבא מודה לאביי וממילא מותר לסמוך כשאין ניזק (חוץ מבור) וגם לאחר שיהיה ניזק המזיק לא יצטרך להתרחק </w:t>
      </w:r>
      <w:r w:rsidRPr="004544F1">
        <w:rPr>
          <w:sz w:val="18"/>
          <w:szCs w:val="18"/>
          <w:rtl/>
        </w:rPr>
        <w:t xml:space="preserve">(כמ"ש </w:t>
      </w:r>
      <w:proofErr w:type="spellStart"/>
      <w:r w:rsidRPr="004544F1">
        <w:rPr>
          <w:sz w:val="18"/>
          <w:szCs w:val="18"/>
          <w:rtl/>
        </w:rPr>
        <w:t>בתוס</w:t>
      </w:r>
      <w:proofErr w:type="spellEnd"/>
      <w:r w:rsidRPr="004544F1">
        <w:rPr>
          <w:sz w:val="18"/>
          <w:szCs w:val="18"/>
          <w:rtl/>
        </w:rPr>
        <w:t>' כה</w:t>
      </w:r>
      <w:r w:rsidRPr="004544F1">
        <w:rPr>
          <w:rFonts w:hint="cs"/>
          <w:sz w:val="18"/>
          <w:szCs w:val="18"/>
          <w:rtl/>
        </w:rPr>
        <w:t>:</w:t>
      </w:r>
      <w:r w:rsidRPr="004544F1">
        <w:rPr>
          <w:sz w:val="18"/>
          <w:szCs w:val="18"/>
          <w:rtl/>
        </w:rPr>
        <w:t xml:space="preserve"> </w:t>
      </w:r>
      <w:r w:rsidRPr="004544F1">
        <w:rPr>
          <w:rFonts w:hint="cs"/>
          <w:sz w:val="18"/>
          <w:szCs w:val="18"/>
          <w:rtl/>
        </w:rPr>
        <w:t>ב</w:t>
      </w:r>
      <w:r w:rsidRPr="004544F1">
        <w:rPr>
          <w:sz w:val="18"/>
          <w:szCs w:val="18"/>
          <w:rtl/>
        </w:rPr>
        <w:t>ד"ה עני)</w:t>
      </w:r>
      <w:r>
        <w:rPr>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5221"/>
    <w:multiLevelType w:val="hybridMultilevel"/>
    <w:tmpl w:val="17EE59E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1499B"/>
    <w:multiLevelType w:val="hybridMultilevel"/>
    <w:tmpl w:val="0A98C1A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B628C"/>
    <w:multiLevelType w:val="hybridMultilevel"/>
    <w:tmpl w:val="F4D2BD4C"/>
    <w:lvl w:ilvl="0" w:tplc="D4E011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20"/>
  <w:characterSpacingControl w:val="doNotCompress"/>
  <w:footnotePr>
    <w:numFmt w:val="hebrew1"/>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9C"/>
    <w:rsid w:val="00047A4E"/>
    <w:rsid w:val="000549BC"/>
    <w:rsid w:val="00075B63"/>
    <w:rsid w:val="00075C19"/>
    <w:rsid w:val="00081466"/>
    <w:rsid w:val="00084CA2"/>
    <w:rsid w:val="000871DB"/>
    <w:rsid w:val="000B10D7"/>
    <w:rsid w:val="000B3844"/>
    <w:rsid w:val="000E7FE3"/>
    <w:rsid w:val="00117E74"/>
    <w:rsid w:val="001418DE"/>
    <w:rsid w:val="00160BD2"/>
    <w:rsid w:val="0018793C"/>
    <w:rsid w:val="00196A62"/>
    <w:rsid w:val="001A2A21"/>
    <w:rsid w:val="001B20ED"/>
    <w:rsid w:val="001D1FF2"/>
    <w:rsid w:val="001D434B"/>
    <w:rsid w:val="001F070F"/>
    <w:rsid w:val="001F10FC"/>
    <w:rsid w:val="00230E7D"/>
    <w:rsid w:val="002745E7"/>
    <w:rsid w:val="00276758"/>
    <w:rsid w:val="00281F77"/>
    <w:rsid w:val="00285A1D"/>
    <w:rsid w:val="002A3681"/>
    <w:rsid w:val="002F1577"/>
    <w:rsid w:val="00315973"/>
    <w:rsid w:val="0032049C"/>
    <w:rsid w:val="0036639E"/>
    <w:rsid w:val="00366D51"/>
    <w:rsid w:val="003B200B"/>
    <w:rsid w:val="00405448"/>
    <w:rsid w:val="00415132"/>
    <w:rsid w:val="00415C38"/>
    <w:rsid w:val="00422F00"/>
    <w:rsid w:val="00423C01"/>
    <w:rsid w:val="004544F1"/>
    <w:rsid w:val="004A7A60"/>
    <w:rsid w:val="004C7CBC"/>
    <w:rsid w:val="004E5DB2"/>
    <w:rsid w:val="00521134"/>
    <w:rsid w:val="00530924"/>
    <w:rsid w:val="00536401"/>
    <w:rsid w:val="005A0A54"/>
    <w:rsid w:val="005A1C72"/>
    <w:rsid w:val="005D0D0B"/>
    <w:rsid w:val="005D2FF0"/>
    <w:rsid w:val="005F1D51"/>
    <w:rsid w:val="00616FC4"/>
    <w:rsid w:val="00622F0A"/>
    <w:rsid w:val="00660741"/>
    <w:rsid w:val="00676B04"/>
    <w:rsid w:val="006C3A67"/>
    <w:rsid w:val="006E2D98"/>
    <w:rsid w:val="007210A6"/>
    <w:rsid w:val="00724724"/>
    <w:rsid w:val="007458A9"/>
    <w:rsid w:val="00787C00"/>
    <w:rsid w:val="007F756A"/>
    <w:rsid w:val="0080489D"/>
    <w:rsid w:val="00815065"/>
    <w:rsid w:val="00853F91"/>
    <w:rsid w:val="0085787C"/>
    <w:rsid w:val="00867AFB"/>
    <w:rsid w:val="00894A6F"/>
    <w:rsid w:val="00894B3A"/>
    <w:rsid w:val="008A3C74"/>
    <w:rsid w:val="008F2A78"/>
    <w:rsid w:val="008F36AE"/>
    <w:rsid w:val="009005EF"/>
    <w:rsid w:val="00920F1D"/>
    <w:rsid w:val="009302F0"/>
    <w:rsid w:val="00955B48"/>
    <w:rsid w:val="00956D65"/>
    <w:rsid w:val="009603AA"/>
    <w:rsid w:val="009703B2"/>
    <w:rsid w:val="009737D5"/>
    <w:rsid w:val="00996A96"/>
    <w:rsid w:val="009C685D"/>
    <w:rsid w:val="009E27F3"/>
    <w:rsid w:val="00A06DC8"/>
    <w:rsid w:val="00A21A32"/>
    <w:rsid w:val="00A30F5C"/>
    <w:rsid w:val="00A40BB0"/>
    <w:rsid w:val="00A64F4B"/>
    <w:rsid w:val="00A66838"/>
    <w:rsid w:val="00B46CBE"/>
    <w:rsid w:val="00B5268A"/>
    <w:rsid w:val="00B63EDB"/>
    <w:rsid w:val="00B8183B"/>
    <w:rsid w:val="00BC76FE"/>
    <w:rsid w:val="00BE4DB9"/>
    <w:rsid w:val="00BE7ACD"/>
    <w:rsid w:val="00C0499A"/>
    <w:rsid w:val="00C218EB"/>
    <w:rsid w:val="00C34E26"/>
    <w:rsid w:val="00C40C75"/>
    <w:rsid w:val="00C443D7"/>
    <w:rsid w:val="00C50EB5"/>
    <w:rsid w:val="00C73A8A"/>
    <w:rsid w:val="00CB7DEB"/>
    <w:rsid w:val="00D0283A"/>
    <w:rsid w:val="00D27C10"/>
    <w:rsid w:val="00D5742D"/>
    <w:rsid w:val="00D725D5"/>
    <w:rsid w:val="00D7525F"/>
    <w:rsid w:val="00D83BFF"/>
    <w:rsid w:val="00D8711A"/>
    <w:rsid w:val="00DD3D15"/>
    <w:rsid w:val="00E15903"/>
    <w:rsid w:val="00E21329"/>
    <w:rsid w:val="00E21D35"/>
    <w:rsid w:val="00E5478B"/>
    <w:rsid w:val="00E85D96"/>
    <w:rsid w:val="00E947FC"/>
    <w:rsid w:val="00E957D0"/>
    <w:rsid w:val="00F13AE9"/>
    <w:rsid w:val="00F17C92"/>
    <w:rsid w:val="00F3040F"/>
    <w:rsid w:val="00F4354C"/>
    <w:rsid w:val="00F6447A"/>
    <w:rsid w:val="00F70787"/>
    <w:rsid w:val="00F74189"/>
    <w:rsid w:val="00FB24A2"/>
    <w:rsid w:val="00FC1B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B9"/>
    <w:pPr>
      <w:bidi/>
      <w:spacing w:after="200" w:line="276" w:lineRule="auto"/>
      <w:jc w:val="both"/>
    </w:pPr>
    <w:rPr>
      <w:rFonts w:ascii="Arial" w:hAnsi="Arial" w:cs="FrankRuehl"/>
      <w:sz w:val="22"/>
      <w:szCs w:val="22"/>
    </w:rPr>
  </w:style>
  <w:style w:type="paragraph" w:styleId="1">
    <w:name w:val="heading 1"/>
    <w:basedOn w:val="a"/>
    <w:next w:val="a"/>
    <w:link w:val="10"/>
    <w:uiPriority w:val="9"/>
    <w:qFormat/>
    <w:rsid w:val="00BE4DB9"/>
    <w:pPr>
      <w:jc w:val="center"/>
      <w:outlineLvl w:val="0"/>
    </w:pPr>
    <w:rPr>
      <w:rFonts w:cs="Guttman Keren"/>
      <w:sz w:val="30"/>
      <w:szCs w:val="30"/>
    </w:rPr>
  </w:style>
  <w:style w:type="paragraph" w:styleId="2">
    <w:name w:val="heading 2"/>
    <w:basedOn w:val="a"/>
    <w:next w:val="a"/>
    <w:link w:val="20"/>
    <w:uiPriority w:val="9"/>
    <w:unhideWhenUsed/>
    <w:qFormat/>
    <w:rsid w:val="00BE4DB9"/>
    <w:pPr>
      <w:spacing w:after="0"/>
      <w:outlineLvl w:val="1"/>
    </w:pPr>
    <w:rPr>
      <w:rFonts w:cs="Arial"/>
      <w:bCs/>
      <w:sz w:val="20"/>
      <w:szCs w:val="20"/>
    </w:rPr>
  </w:style>
  <w:style w:type="paragraph" w:styleId="3">
    <w:name w:val="heading 3"/>
    <w:basedOn w:val="a"/>
    <w:next w:val="a"/>
    <w:link w:val="30"/>
    <w:uiPriority w:val="9"/>
    <w:unhideWhenUsed/>
    <w:qFormat/>
    <w:rsid w:val="00BE4DB9"/>
    <w:pPr>
      <w:spacing w:after="0"/>
      <w:outlineLvl w:val="2"/>
    </w:pPr>
    <w:rPr>
      <w:rFonts w:cs="David"/>
      <w:b/>
      <w:bCs/>
      <w:sz w:val="20"/>
      <w:szCs w:val="20"/>
    </w:rPr>
  </w:style>
  <w:style w:type="paragraph" w:styleId="4">
    <w:name w:val="heading 4"/>
    <w:basedOn w:val="3"/>
    <w:next w:val="a"/>
    <w:link w:val="40"/>
    <w:uiPriority w:val="9"/>
    <w:unhideWhenUsed/>
    <w:qFormat/>
    <w:rsid w:val="00BE4DB9"/>
    <w:pPr>
      <w:outlineLvl w:val="3"/>
    </w:pPr>
    <w:rPr>
      <w:rFonts w:cs="NarkisimMF"/>
      <w:b w:val="0"/>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A2A21"/>
    <w:pPr>
      <w:spacing w:after="0" w:line="240" w:lineRule="auto"/>
    </w:pPr>
    <w:rPr>
      <w:szCs w:val="20"/>
    </w:rPr>
  </w:style>
  <w:style w:type="character" w:customStyle="1" w:styleId="a4">
    <w:name w:val="טקסט הערת שוליים תו"/>
    <w:link w:val="a3"/>
    <w:uiPriority w:val="99"/>
    <w:rsid w:val="001A2A21"/>
    <w:rPr>
      <w:rFonts w:asciiTheme="minorBidi" w:hAnsiTheme="minorBidi" w:cs="FrankRuehl"/>
      <w:szCs w:val="20"/>
    </w:rPr>
  </w:style>
  <w:style w:type="character" w:customStyle="1" w:styleId="10">
    <w:name w:val="כותרת 1 תו"/>
    <w:link w:val="1"/>
    <w:uiPriority w:val="9"/>
    <w:rsid w:val="00BE4DB9"/>
    <w:rPr>
      <w:rFonts w:ascii="Arial" w:hAnsi="Arial" w:cs="Guttman Keren"/>
      <w:sz w:val="30"/>
      <w:szCs w:val="30"/>
    </w:rPr>
  </w:style>
  <w:style w:type="character" w:customStyle="1" w:styleId="20">
    <w:name w:val="כותרת 2 תו"/>
    <w:link w:val="2"/>
    <w:uiPriority w:val="9"/>
    <w:rsid w:val="00BE4DB9"/>
    <w:rPr>
      <w:rFonts w:ascii="Arial" w:hAnsi="Arial"/>
      <w:bCs/>
    </w:rPr>
  </w:style>
  <w:style w:type="paragraph" w:styleId="a5">
    <w:name w:val="Quote"/>
    <w:basedOn w:val="a"/>
    <w:next w:val="a"/>
    <w:link w:val="a6"/>
    <w:uiPriority w:val="29"/>
    <w:qFormat/>
    <w:rsid w:val="00BE4DB9"/>
    <w:pPr>
      <w:spacing w:line="240" w:lineRule="auto"/>
      <w:ind w:left="680" w:right="680"/>
    </w:pPr>
    <w:rPr>
      <w:rFonts w:cs="Guttman Vilna"/>
      <w:color w:val="000000"/>
      <w:sz w:val="18"/>
      <w:szCs w:val="18"/>
    </w:rPr>
  </w:style>
  <w:style w:type="character" w:customStyle="1" w:styleId="a6">
    <w:name w:val="ציטוט תו"/>
    <w:link w:val="a5"/>
    <w:uiPriority w:val="29"/>
    <w:rsid w:val="00BE4DB9"/>
    <w:rPr>
      <w:rFonts w:ascii="Arial" w:hAnsi="Arial" w:cs="Guttman Vilna"/>
      <w:color w:val="000000"/>
      <w:sz w:val="18"/>
      <w:szCs w:val="18"/>
    </w:rPr>
  </w:style>
  <w:style w:type="paragraph" w:styleId="a7">
    <w:name w:val="endnote text"/>
    <w:basedOn w:val="a"/>
    <w:link w:val="a8"/>
    <w:uiPriority w:val="99"/>
    <w:semiHidden/>
    <w:unhideWhenUsed/>
    <w:rsid w:val="009703B2"/>
  </w:style>
  <w:style w:type="character" w:customStyle="1" w:styleId="a8">
    <w:name w:val="טקסט הערת סיום תו"/>
    <w:link w:val="a7"/>
    <w:uiPriority w:val="99"/>
    <w:semiHidden/>
    <w:rsid w:val="009703B2"/>
    <w:rPr>
      <w:rFonts w:ascii="Arial" w:hAnsi="Arial" w:cs="FrankRuehl"/>
    </w:rPr>
  </w:style>
  <w:style w:type="character" w:customStyle="1" w:styleId="30">
    <w:name w:val="כותרת 3 תו"/>
    <w:link w:val="3"/>
    <w:uiPriority w:val="9"/>
    <w:rsid w:val="00BE4DB9"/>
    <w:rPr>
      <w:rFonts w:ascii="Arial" w:hAnsi="Arial" w:cs="David"/>
      <w:b/>
      <w:bCs/>
    </w:rPr>
  </w:style>
  <w:style w:type="paragraph" w:styleId="a9">
    <w:name w:val="List Paragraph"/>
    <w:basedOn w:val="a"/>
    <w:uiPriority w:val="34"/>
    <w:qFormat/>
    <w:rsid w:val="00BE4DB9"/>
    <w:pPr>
      <w:ind w:left="720"/>
    </w:pPr>
  </w:style>
  <w:style w:type="character" w:styleId="aa">
    <w:name w:val="Strong"/>
    <w:uiPriority w:val="22"/>
    <w:qFormat/>
    <w:rsid w:val="00BE4DB9"/>
    <w:rPr>
      <w:b/>
      <w:bCs/>
    </w:rPr>
  </w:style>
  <w:style w:type="paragraph" w:styleId="ab">
    <w:name w:val="Intense Quote"/>
    <w:aliases w:val="מקור לציטוט"/>
    <w:basedOn w:val="a"/>
    <w:next w:val="a"/>
    <w:link w:val="ac"/>
    <w:uiPriority w:val="30"/>
    <w:qFormat/>
    <w:rsid w:val="00BE4DB9"/>
    <w:pPr>
      <w:ind w:right="680"/>
      <w:jc w:val="right"/>
    </w:pPr>
    <w:rPr>
      <w:sz w:val="18"/>
      <w:szCs w:val="18"/>
    </w:rPr>
  </w:style>
  <w:style w:type="character" w:customStyle="1" w:styleId="ac">
    <w:name w:val="ציטוט חזק תו"/>
    <w:aliases w:val="מקור לציטוט תו"/>
    <w:link w:val="ab"/>
    <w:uiPriority w:val="30"/>
    <w:rsid w:val="00BE4DB9"/>
    <w:rPr>
      <w:rFonts w:ascii="Arial" w:hAnsi="Arial" w:cs="FrankRuehl"/>
      <w:sz w:val="18"/>
      <w:szCs w:val="18"/>
    </w:rPr>
  </w:style>
  <w:style w:type="character" w:customStyle="1" w:styleId="40">
    <w:name w:val="כותרת 4 תו"/>
    <w:link w:val="4"/>
    <w:uiPriority w:val="9"/>
    <w:rsid w:val="00BE4DB9"/>
    <w:rPr>
      <w:rFonts w:ascii="Arial" w:hAnsi="Arial" w:cs="NarkisimMF"/>
    </w:rPr>
  </w:style>
  <w:style w:type="paragraph" w:styleId="ad">
    <w:name w:val="Subtitle"/>
    <w:basedOn w:val="a"/>
    <w:next w:val="a"/>
    <w:link w:val="ae"/>
    <w:uiPriority w:val="11"/>
    <w:qFormat/>
    <w:rsid w:val="00BE4DB9"/>
    <w:pPr>
      <w:numPr>
        <w:ilvl w:val="1"/>
      </w:numPr>
    </w:pPr>
    <w:rPr>
      <w:rFonts w:ascii="Cambria" w:eastAsia="Times New Roman" w:hAnsi="Cambria" w:cs="Times New Roman"/>
      <w:i/>
      <w:iCs/>
      <w:color w:val="4F81BD"/>
      <w:spacing w:val="15"/>
      <w:sz w:val="24"/>
      <w:szCs w:val="24"/>
    </w:rPr>
  </w:style>
  <w:style w:type="character" w:customStyle="1" w:styleId="ae">
    <w:name w:val="כותרת משנה תו"/>
    <w:link w:val="ad"/>
    <w:uiPriority w:val="11"/>
    <w:rsid w:val="00BE4DB9"/>
    <w:rPr>
      <w:rFonts w:ascii="Cambria" w:eastAsia="Times New Roman" w:hAnsi="Cambria" w:cs="Times New Roman"/>
      <w:i/>
      <w:iCs/>
      <w:color w:val="4F81BD"/>
      <w:spacing w:val="15"/>
      <w:sz w:val="24"/>
      <w:szCs w:val="24"/>
    </w:rPr>
  </w:style>
  <w:style w:type="paragraph" w:customStyle="1" w:styleId="11">
    <w:name w:val="כותרת משנה1"/>
    <w:basedOn w:val="2"/>
    <w:link w:val="12"/>
    <w:qFormat/>
    <w:rsid w:val="00BE4DB9"/>
    <w:rPr>
      <w:rFonts w:cs="Times New Roman"/>
      <w:b/>
      <w:bCs w:val="0"/>
      <w:color w:val="4F81BD"/>
      <w:sz w:val="26"/>
      <w:szCs w:val="26"/>
    </w:rPr>
  </w:style>
  <w:style w:type="character" w:customStyle="1" w:styleId="12">
    <w:name w:val="כותרת משנה1 תו"/>
    <w:link w:val="11"/>
    <w:rsid w:val="00BE4DB9"/>
    <w:rPr>
      <w:rFonts w:ascii="Arial" w:hAnsi="Arial" w:cs="Times New Roman"/>
      <w:b/>
      <w:color w:val="4F81BD"/>
      <w:sz w:val="26"/>
      <w:szCs w:val="26"/>
    </w:rPr>
  </w:style>
  <w:style w:type="paragraph" w:styleId="af">
    <w:name w:val="Title"/>
    <w:basedOn w:val="a"/>
    <w:next w:val="a"/>
    <w:link w:val="af0"/>
    <w:uiPriority w:val="10"/>
    <w:qFormat/>
    <w:rsid w:val="00BE4DB9"/>
    <w:pPr>
      <w:spacing w:before="240" w:after="60"/>
      <w:jc w:val="center"/>
      <w:outlineLvl w:val="1"/>
    </w:pPr>
    <w:rPr>
      <w:rFonts w:ascii="Cambria" w:eastAsiaTheme="majorEastAsia" w:hAnsi="Cambria" w:cs="Guttman Vilna"/>
      <w:b/>
      <w:bCs/>
      <w:kern w:val="28"/>
      <w:sz w:val="28"/>
      <w:szCs w:val="28"/>
      <w:shd w:val="clear" w:color="auto" w:fill="FFFFFF"/>
    </w:rPr>
  </w:style>
  <w:style w:type="character" w:customStyle="1" w:styleId="af0">
    <w:name w:val="כותרת טקסט תו"/>
    <w:link w:val="af"/>
    <w:uiPriority w:val="10"/>
    <w:rsid w:val="00BE4DB9"/>
    <w:rPr>
      <w:rFonts w:ascii="Cambria" w:eastAsiaTheme="majorEastAsia" w:hAnsi="Cambria" w:cs="Guttman Vilna"/>
      <w:b/>
      <w:bCs/>
      <w:kern w:val="28"/>
      <w:sz w:val="28"/>
      <w:szCs w:val="28"/>
    </w:rPr>
  </w:style>
  <w:style w:type="paragraph" w:styleId="af1">
    <w:name w:val="Balloon Text"/>
    <w:basedOn w:val="a"/>
    <w:link w:val="af2"/>
    <w:uiPriority w:val="99"/>
    <w:semiHidden/>
    <w:unhideWhenUsed/>
    <w:rsid w:val="00415132"/>
    <w:pPr>
      <w:spacing w:after="0" w:line="240" w:lineRule="auto"/>
    </w:pPr>
    <w:rPr>
      <w:rFonts w:ascii="Tahoma" w:hAnsi="Tahoma" w:cs="Tahoma"/>
      <w:sz w:val="16"/>
      <w:szCs w:val="16"/>
    </w:rPr>
  </w:style>
  <w:style w:type="character" w:customStyle="1" w:styleId="af2">
    <w:name w:val="טקסט בלונים תו"/>
    <w:basedOn w:val="a0"/>
    <w:link w:val="af1"/>
    <w:uiPriority w:val="99"/>
    <w:semiHidden/>
    <w:rsid w:val="00415132"/>
    <w:rPr>
      <w:rFonts w:ascii="Tahoma" w:hAnsi="Tahoma" w:cs="Tahoma"/>
      <w:sz w:val="16"/>
      <w:szCs w:val="16"/>
    </w:rPr>
  </w:style>
  <w:style w:type="character" w:styleId="af3">
    <w:name w:val="footnote reference"/>
    <w:basedOn w:val="a0"/>
    <w:uiPriority w:val="99"/>
    <w:semiHidden/>
    <w:unhideWhenUsed/>
    <w:rsid w:val="00084CA2"/>
    <w:rPr>
      <w:vertAlign w:val="superscript"/>
    </w:rPr>
  </w:style>
  <w:style w:type="character" w:styleId="af4">
    <w:name w:val="endnote reference"/>
    <w:basedOn w:val="a0"/>
    <w:uiPriority w:val="99"/>
    <w:semiHidden/>
    <w:unhideWhenUsed/>
    <w:rsid w:val="009E27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B9"/>
    <w:pPr>
      <w:bidi/>
      <w:spacing w:after="200" w:line="276" w:lineRule="auto"/>
      <w:jc w:val="both"/>
    </w:pPr>
    <w:rPr>
      <w:rFonts w:ascii="Arial" w:hAnsi="Arial" w:cs="FrankRuehl"/>
      <w:sz w:val="22"/>
      <w:szCs w:val="22"/>
    </w:rPr>
  </w:style>
  <w:style w:type="paragraph" w:styleId="1">
    <w:name w:val="heading 1"/>
    <w:basedOn w:val="a"/>
    <w:next w:val="a"/>
    <w:link w:val="10"/>
    <w:uiPriority w:val="9"/>
    <w:qFormat/>
    <w:rsid w:val="00BE4DB9"/>
    <w:pPr>
      <w:jc w:val="center"/>
      <w:outlineLvl w:val="0"/>
    </w:pPr>
    <w:rPr>
      <w:rFonts w:cs="Guttman Keren"/>
      <w:sz w:val="30"/>
      <w:szCs w:val="30"/>
    </w:rPr>
  </w:style>
  <w:style w:type="paragraph" w:styleId="2">
    <w:name w:val="heading 2"/>
    <w:basedOn w:val="a"/>
    <w:next w:val="a"/>
    <w:link w:val="20"/>
    <w:uiPriority w:val="9"/>
    <w:unhideWhenUsed/>
    <w:qFormat/>
    <w:rsid w:val="00BE4DB9"/>
    <w:pPr>
      <w:spacing w:after="0"/>
      <w:outlineLvl w:val="1"/>
    </w:pPr>
    <w:rPr>
      <w:rFonts w:cs="Arial"/>
      <w:bCs/>
      <w:sz w:val="20"/>
      <w:szCs w:val="20"/>
    </w:rPr>
  </w:style>
  <w:style w:type="paragraph" w:styleId="3">
    <w:name w:val="heading 3"/>
    <w:basedOn w:val="a"/>
    <w:next w:val="a"/>
    <w:link w:val="30"/>
    <w:uiPriority w:val="9"/>
    <w:unhideWhenUsed/>
    <w:qFormat/>
    <w:rsid w:val="00BE4DB9"/>
    <w:pPr>
      <w:spacing w:after="0"/>
      <w:outlineLvl w:val="2"/>
    </w:pPr>
    <w:rPr>
      <w:rFonts w:cs="David"/>
      <w:b/>
      <w:bCs/>
      <w:sz w:val="20"/>
      <w:szCs w:val="20"/>
    </w:rPr>
  </w:style>
  <w:style w:type="paragraph" w:styleId="4">
    <w:name w:val="heading 4"/>
    <w:basedOn w:val="3"/>
    <w:next w:val="a"/>
    <w:link w:val="40"/>
    <w:uiPriority w:val="9"/>
    <w:unhideWhenUsed/>
    <w:qFormat/>
    <w:rsid w:val="00BE4DB9"/>
    <w:pPr>
      <w:outlineLvl w:val="3"/>
    </w:pPr>
    <w:rPr>
      <w:rFonts w:cs="NarkisimMF"/>
      <w:b w:val="0"/>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A2A21"/>
    <w:pPr>
      <w:spacing w:after="0" w:line="240" w:lineRule="auto"/>
    </w:pPr>
    <w:rPr>
      <w:szCs w:val="20"/>
    </w:rPr>
  </w:style>
  <w:style w:type="character" w:customStyle="1" w:styleId="a4">
    <w:name w:val="טקסט הערת שוליים תו"/>
    <w:link w:val="a3"/>
    <w:uiPriority w:val="99"/>
    <w:rsid w:val="001A2A21"/>
    <w:rPr>
      <w:rFonts w:asciiTheme="minorBidi" w:hAnsiTheme="minorBidi" w:cs="FrankRuehl"/>
      <w:szCs w:val="20"/>
    </w:rPr>
  </w:style>
  <w:style w:type="character" w:customStyle="1" w:styleId="10">
    <w:name w:val="כותרת 1 תו"/>
    <w:link w:val="1"/>
    <w:uiPriority w:val="9"/>
    <w:rsid w:val="00BE4DB9"/>
    <w:rPr>
      <w:rFonts w:ascii="Arial" w:hAnsi="Arial" w:cs="Guttman Keren"/>
      <w:sz w:val="30"/>
      <w:szCs w:val="30"/>
    </w:rPr>
  </w:style>
  <w:style w:type="character" w:customStyle="1" w:styleId="20">
    <w:name w:val="כותרת 2 תו"/>
    <w:link w:val="2"/>
    <w:uiPriority w:val="9"/>
    <w:rsid w:val="00BE4DB9"/>
    <w:rPr>
      <w:rFonts w:ascii="Arial" w:hAnsi="Arial"/>
      <w:bCs/>
    </w:rPr>
  </w:style>
  <w:style w:type="paragraph" w:styleId="a5">
    <w:name w:val="Quote"/>
    <w:basedOn w:val="a"/>
    <w:next w:val="a"/>
    <w:link w:val="a6"/>
    <w:uiPriority w:val="29"/>
    <w:qFormat/>
    <w:rsid w:val="00BE4DB9"/>
    <w:pPr>
      <w:spacing w:line="240" w:lineRule="auto"/>
      <w:ind w:left="680" w:right="680"/>
    </w:pPr>
    <w:rPr>
      <w:rFonts w:cs="Guttman Vilna"/>
      <w:color w:val="000000"/>
      <w:sz w:val="18"/>
      <w:szCs w:val="18"/>
    </w:rPr>
  </w:style>
  <w:style w:type="character" w:customStyle="1" w:styleId="a6">
    <w:name w:val="ציטוט תו"/>
    <w:link w:val="a5"/>
    <w:uiPriority w:val="29"/>
    <w:rsid w:val="00BE4DB9"/>
    <w:rPr>
      <w:rFonts w:ascii="Arial" w:hAnsi="Arial" w:cs="Guttman Vilna"/>
      <w:color w:val="000000"/>
      <w:sz w:val="18"/>
      <w:szCs w:val="18"/>
    </w:rPr>
  </w:style>
  <w:style w:type="paragraph" w:styleId="a7">
    <w:name w:val="endnote text"/>
    <w:basedOn w:val="a"/>
    <w:link w:val="a8"/>
    <w:uiPriority w:val="99"/>
    <w:semiHidden/>
    <w:unhideWhenUsed/>
    <w:rsid w:val="009703B2"/>
  </w:style>
  <w:style w:type="character" w:customStyle="1" w:styleId="a8">
    <w:name w:val="טקסט הערת סיום תו"/>
    <w:link w:val="a7"/>
    <w:uiPriority w:val="99"/>
    <w:semiHidden/>
    <w:rsid w:val="009703B2"/>
    <w:rPr>
      <w:rFonts w:ascii="Arial" w:hAnsi="Arial" w:cs="FrankRuehl"/>
    </w:rPr>
  </w:style>
  <w:style w:type="character" w:customStyle="1" w:styleId="30">
    <w:name w:val="כותרת 3 תו"/>
    <w:link w:val="3"/>
    <w:uiPriority w:val="9"/>
    <w:rsid w:val="00BE4DB9"/>
    <w:rPr>
      <w:rFonts w:ascii="Arial" w:hAnsi="Arial" w:cs="David"/>
      <w:b/>
      <w:bCs/>
    </w:rPr>
  </w:style>
  <w:style w:type="paragraph" w:styleId="a9">
    <w:name w:val="List Paragraph"/>
    <w:basedOn w:val="a"/>
    <w:uiPriority w:val="34"/>
    <w:qFormat/>
    <w:rsid w:val="00BE4DB9"/>
    <w:pPr>
      <w:ind w:left="720"/>
    </w:pPr>
  </w:style>
  <w:style w:type="character" w:styleId="aa">
    <w:name w:val="Strong"/>
    <w:uiPriority w:val="22"/>
    <w:qFormat/>
    <w:rsid w:val="00BE4DB9"/>
    <w:rPr>
      <w:b/>
      <w:bCs/>
    </w:rPr>
  </w:style>
  <w:style w:type="paragraph" w:styleId="ab">
    <w:name w:val="Intense Quote"/>
    <w:aliases w:val="מקור לציטוט"/>
    <w:basedOn w:val="a"/>
    <w:next w:val="a"/>
    <w:link w:val="ac"/>
    <w:uiPriority w:val="30"/>
    <w:qFormat/>
    <w:rsid w:val="00BE4DB9"/>
    <w:pPr>
      <w:ind w:right="680"/>
      <w:jc w:val="right"/>
    </w:pPr>
    <w:rPr>
      <w:sz w:val="18"/>
      <w:szCs w:val="18"/>
    </w:rPr>
  </w:style>
  <w:style w:type="character" w:customStyle="1" w:styleId="ac">
    <w:name w:val="ציטוט חזק תו"/>
    <w:aliases w:val="מקור לציטוט תו"/>
    <w:link w:val="ab"/>
    <w:uiPriority w:val="30"/>
    <w:rsid w:val="00BE4DB9"/>
    <w:rPr>
      <w:rFonts w:ascii="Arial" w:hAnsi="Arial" w:cs="FrankRuehl"/>
      <w:sz w:val="18"/>
      <w:szCs w:val="18"/>
    </w:rPr>
  </w:style>
  <w:style w:type="character" w:customStyle="1" w:styleId="40">
    <w:name w:val="כותרת 4 תו"/>
    <w:link w:val="4"/>
    <w:uiPriority w:val="9"/>
    <w:rsid w:val="00BE4DB9"/>
    <w:rPr>
      <w:rFonts w:ascii="Arial" w:hAnsi="Arial" w:cs="NarkisimMF"/>
    </w:rPr>
  </w:style>
  <w:style w:type="paragraph" w:styleId="ad">
    <w:name w:val="Subtitle"/>
    <w:basedOn w:val="a"/>
    <w:next w:val="a"/>
    <w:link w:val="ae"/>
    <w:uiPriority w:val="11"/>
    <w:qFormat/>
    <w:rsid w:val="00BE4DB9"/>
    <w:pPr>
      <w:numPr>
        <w:ilvl w:val="1"/>
      </w:numPr>
    </w:pPr>
    <w:rPr>
      <w:rFonts w:ascii="Cambria" w:eastAsia="Times New Roman" w:hAnsi="Cambria" w:cs="Times New Roman"/>
      <w:i/>
      <w:iCs/>
      <w:color w:val="4F81BD"/>
      <w:spacing w:val="15"/>
      <w:sz w:val="24"/>
      <w:szCs w:val="24"/>
    </w:rPr>
  </w:style>
  <w:style w:type="character" w:customStyle="1" w:styleId="ae">
    <w:name w:val="כותרת משנה תו"/>
    <w:link w:val="ad"/>
    <w:uiPriority w:val="11"/>
    <w:rsid w:val="00BE4DB9"/>
    <w:rPr>
      <w:rFonts w:ascii="Cambria" w:eastAsia="Times New Roman" w:hAnsi="Cambria" w:cs="Times New Roman"/>
      <w:i/>
      <w:iCs/>
      <w:color w:val="4F81BD"/>
      <w:spacing w:val="15"/>
      <w:sz w:val="24"/>
      <w:szCs w:val="24"/>
    </w:rPr>
  </w:style>
  <w:style w:type="paragraph" w:customStyle="1" w:styleId="11">
    <w:name w:val="כותרת משנה1"/>
    <w:basedOn w:val="2"/>
    <w:link w:val="12"/>
    <w:qFormat/>
    <w:rsid w:val="00BE4DB9"/>
    <w:rPr>
      <w:rFonts w:cs="Times New Roman"/>
      <w:b/>
      <w:bCs w:val="0"/>
      <w:color w:val="4F81BD"/>
      <w:sz w:val="26"/>
      <w:szCs w:val="26"/>
    </w:rPr>
  </w:style>
  <w:style w:type="character" w:customStyle="1" w:styleId="12">
    <w:name w:val="כותרת משנה1 תו"/>
    <w:link w:val="11"/>
    <w:rsid w:val="00BE4DB9"/>
    <w:rPr>
      <w:rFonts w:ascii="Arial" w:hAnsi="Arial" w:cs="Times New Roman"/>
      <w:b/>
      <w:color w:val="4F81BD"/>
      <w:sz w:val="26"/>
      <w:szCs w:val="26"/>
    </w:rPr>
  </w:style>
  <w:style w:type="paragraph" w:styleId="af">
    <w:name w:val="Title"/>
    <w:basedOn w:val="a"/>
    <w:next w:val="a"/>
    <w:link w:val="af0"/>
    <w:uiPriority w:val="10"/>
    <w:qFormat/>
    <w:rsid w:val="00BE4DB9"/>
    <w:pPr>
      <w:spacing w:before="240" w:after="60"/>
      <w:jc w:val="center"/>
      <w:outlineLvl w:val="1"/>
    </w:pPr>
    <w:rPr>
      <w:rFonts w:ascii="Cambria" w:eastAsiaTheme="majorEastAsia" w:hAnsi="Cambria" w:cs="Guttman Vilna"/>
      <w:b/>
      <w:bCs/>
      <w:kern w:val="28"/>
      <w:sz w:val="28"/>
      <w:szCs w:val="28"/>
      <w:shd w:val="clear" w:color="auto" w:fill="FFFFFF"/>
    </w:rPr>
  </w:style>
  <w:style w:type="character" w:customStyle="1" w:styleId="af0">
    <w:name w:val="כותרת טקסט תו"/>
    <w:link w:val="af"/>
    <w:uiPriority w:val="10"/>
    <w:rsid w:val="00BE4DB9"/>
    <w:rPr>
      <w:rFonts w:ascii="Cambria" w:eastAsiaTheme="majorEastAsia" w:hAnsi="Cambria" w:cs="Guttman Vilna"/>
      <w:b/>
      <w:bCs/>
      <w:kern w:val="28"/>
      <w:sz w:val="28"/>
      <w:szCs w:val="28"/>
    </w:rPr>
  </w:style>
  <w:style w:type="paragraph" w:styleId="af1">
    <w:name w:val="Balloon Text"/>
    <w:basedOn w:val="a"/>
    <w:link w:val="af2"/>
    <w:uiPriority w:val="99"/>
    <w:semiHidden/>
    <w:unhideWhenUsed/>
    <w:rsid w:val="00415132"/>
    <w:pPr>
      <w:spacing w:after="0" w:line="240" w:lineRule="auto"/>
    </w:pPr>
    <w:rPr>
      <w:rFonts w:ascii="Tahoma" w:hAnsi="Tahoma" w:cs="Tahoma"/>
      <w:sz w:val="16"/>
      <w:szCs w:val="16"/>
    </w:rPr>
  </w:style>
  <w:style w:type="character" w:customStyle="1" w:styleId="af2">
    <w:name w:val="טקסט בלונים תו"/>
    <w:basedOn w:val="a0"/>
    <w:link w:val="af1"/>
    <w:uiPriority w:val="99"/>
    <w:semiHidden/>
    <w:rsid w:val="00415132"/>
    <w:rPr>
      <w:rFonts w:ascii="Tahoma" w:hAnsi="Tahoma" w:cs="Tahoma"/>
      <w:sz w:val="16"/>
      <w:szCs w:val="16"/>
    </w:rPr>
  </w:style>
  <w:style w:type="character" w:styleId="af3">
    <w:name w:val="footnote reference"/>
    <w:basedOn w:val="a0"/>
    <w:uiPriority w:val="99"/>
    <w:semiHidden/>
    <w:unhideWhenUsed/>
    <w:rsid w:val="00084CA2"/>
    <w:rPr>
      <w:vertAlign w:val="superscript"/>
    </w:rPr>
  </w:style>
  <w:style w:type="character" w:styleId="af4">
    <w:name w:val="endnote reference"/>
    <w:basedOn w:val="a0"/>
    <w:uiPriority w:val="99"/>
    <w:semiHidden/>
    <w:unhideWhenUsed/>
    <w:rsid w:val="009E2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6066">
      <w:bodyDiv w:val="1"/>
      <w:marLeft w:val="0"/>
      <w:marRight w:val="0"/>
      <w:marTop w:val="0"/>
      <w:marBottom w:val="0"/>
      <w:divBdr>
        <w:top w:val="none" w:sz="0" w:space="0" w:color="auto"/>
        <w:left w:val="none" w:sz="0" w:space="0" w:color="auto"/>
        <w:bottom w:val="none" w:sz="0" w:space="0" w:color="auto"/>
        <w:right w:val="none" w:sz="0" w:space="0" w:color="auto"/>
      </w:divBdr>
    </w:div>
    <w:div w:id="931816009">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30348915">
          <w:marLeft w:val="0"/>
          <w:marRight w:val="0"/>
          <w:marTop w:val="0"/>
          <w:marBottom w:val="0"/>
          <w:divBdr>
            <w:top w:val="none" w:sz="0" w:space="0" w:color="auto"/>
            <w:left w:val="none" w:sz="0" w:space="0" w:color="auto"/>
            <w:bottom w:val="none" w:sz="0" w:space="0" w:color="auto"/>
            <w:right w:val="none" w:sz="0" w:space="0" w:color="auto"/>
          </w:divBdr>
          <w:divsChild>
            <w:div w:id="1063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3504">
      <w:bodyDiv w:val="1"/>
      <w:marLeft w:val="0"/>
      <w:marRight w:val="0"/>
      <w:marTop w:val="0"/>
      <w:marBottom w:val="0"/>
      <w:divBdr>
        <w:top w:val="none" w:sz="0" w:space="0" w:color="auto"/>
        <w:left w:val="none" w:sz="0" w:space="0" w:color="auto"/>
        <w:bottom w:val="none" w:sz="0" w:space="0" w:color="auto"/>
        <w:right w:val="none" w:sz="0" w:space="0" w:color="auto"/>
      </w:divBdr>
    </w:div>
    <w:div w:id="1377201309">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386828978">
          <w:marLeft w:val="0"/>
          <w:marRight w:val="0"/>
          <w:marTop w:val="0"/>
          <w:marBottom w:val="0"/>
          <w:divBdr>
            <w:top w:val="none" w:sz="0" w:space="0" w:color="auto"/>
            <w:left w:val="none" w:sz="0" w:space="0" w:color="auto"/>
            <w:bottom w:val="none" w:sz="0" w:space="0" w:color="auto"/>
            <w:right w:val="none" w:sz="0" w:space="0" w:color="auto"/>
          </w:divBdr>
          <w:divsChild>
            <w:div w:id="934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0504">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028481703">
          <w:marLeft w:val="0"/>
          <w:marRight w:val="0"/>
          <w:marTop w:val="0"/>
          <w:marBottom w:val="0"/>
          <w:divBdr>
            <w:top w:val="none" w:sz="0" w:space="0" w:color="auto"/>
            <w:left w:val="none" w:sz="0" w:space="0" w:color="auto"/>
            <w:bottom w:val="none" w:sz="0" w:space="0" w:color="auto"/>
            <w:right w:val="none" w:sz="0" w:space="0" w:color="auto"/>
          </w:divBdr>
          <w:divsChild>
            <w:div w:id="1369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204C7-3705-4689-9911-17DADB49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4094</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יוסף חיים פרל</dc:creator>
  <cp:lastModifiedBy>יוסף חיים פרל</cp:lastModifiedBy>
  <cp:revision>2</cp:revision>
  <dcterms:created xsi:type="dcterms:W3CDTF">2017-02-05T17:09:00Z</dcterms:created>
  <dcterms:modified xsi:type="dcterms:W3CDTF">2017-02-05T17:09:00Z</dcterms:modified>
</cp:coreProperties>
</file>