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C23EB1" w:rsidRDefault="00B45A22" w:rsidP="00C23EB1">
      <w:pPr>
        <w:rPr>
          <w:rFonts w:ascii="FrankRuehl" w:hAnsi="FrankRuehl" w:cs="FrankRuehl"/>
          <w:b/>
          <w:bCs/>
          <w:sz w:val="20"/>
          <w:szCs w:val="22"/>
          <w:rtl/>
        </w:rPr>
      </w:pPr>
      <w:bookmarkStart w:id="0" w:name="_GoBack"/>
      <w:bookmarkEnd w:id="0"/>
      <w:r w:rsidRPr="00DC2BA1">
        <w:rPr>
          <w:rFonts w:hint="cs"/>
          <w:sz w:val="20"/>
          <w:szCs w:val="22"/>
          <w:rtl/>
        </w:rPr>
        <w:t>בס"ד</w:t>
      </w:r>
      <w:r w:rsidR="003E2DA8" w:rsidRPr="00DC2BA1">
        <w:rPr>
          <w:rFonts w:hint="cs"/>
          <w:sz w:val="20"/>
          <w:szCs w:val="22"/>
          <w:rtl/>
        </w:rPr>
        <w:t>, שבט תשע"ח</w:t>
      </w:r>
      <w:r w:rsidR="00C23EB1">
        <w:rPr>
          <w:sz w:val="20"/>
          <w:szCs w:val="22"/>
          <w:rtl/>
        </w:rPr>
        <w:tab/>
      </w:r>
      <w:r w:rsidR="00C23EB1">
        <w:rPr>
          <w:sz w:val="20"/>
          <w:szCs w:val="22"/>
          <w:rtl/>
        </w:rPr>
        <w:tab/>
      </w:r>
      <w:r w:rsidR="00C23EB1">
        <w:rPr>
          <w:sz w:val="20"/>
          <w:szCs w:val="22"/>
          <w:rtl/>
        </w:rPr>
        <w:tab/>
      </w:r>
      <w:r w:rsidR="00C23EB1">
        <w:rPr>
          <w:sz w:val="20"/>
          <w:szCs w:val="22"/>
          <w:rtl/>
        </w:rPr>
        <w:tab/>
      </w:r>
      <w:r w:rsidR="00C23EB1">
        <w:rPr>
          <w:sz w:val="20"/>
          <w:szCs w:val="22"/>
          <w:rtl/>
        </w:rPr>
        <w:tab/>
      </w:r>
      <w:r w:rsidR="00C23EB1">
        <w:rPr>
          <w:sz w:val="20"/>
          <w:szCs w:val="22"/>
          <w:rtl/>
        </w:rPr>
        <w:tab/>
      </w:r>
      <w:r w:rsidR="00C23EB1">
        <w:rPr>
          <w:sz w:val="20"/>
          <w:szCs w:val="22"/>
          <w:rtl/>
        </w:rPr>
        <w:tab/>
      </w:r>
      <w:r w:rsidR="00C23EB1">
        <w:rPr>
          <w:sz w:val="20"/>
          <w:szCs w:val="22"/>
          <w:rtl/>
        </w:rPr>
        <w:tab/>
      </w:r>
      <w:r w:rsidR="00C23EB1">
        <w:rPr>
          <w:rFonts w:ascii="FrankRuehl" w:hAnsi="FrankRuehl" w:cs="FrankRuehl" w:hint="cs"/>
          <w:b/>
          <w:bCs/>
          <w:sz w:val="20"/>
          <w:szCs w:val="22"/>
          <w:rtl/>
        </w:rPr>
        <w:t xml:space="preserve">        </w:t>
      </w:r>
      <w:r w:rsidR="00C23EB1" w:rsidRPr="00C23EB1">
        <w:rPr>
          <w:rFonts w:ascii="FrankRuehl" w:hAnsi="FrankRuehl" w:cs="FrankRuehl"/>
          <w:b/>
          <w:bCs/>
          <w:sz w:val="20"/>
          <w:szCs w:val="22"/>
          <w:rtl/>
        </w:rPr>
        <w:t>עיון והעמקה בדף היומי, הרב אודי שורץ</w:t>
      </w:r>
    </w:p>
    <w:p w:rsidR="003E2DA8" w:rsidRDefault="003E2DA8" w:rsidP="003E2DA8">
      <w:pPr>
        <w:pStyle w:val="a3"/>
        <w:rPr>
          <w:rtl/>
        </w:rPr>
      </w:pPr>
      <w:r w:rsidRPr="00DC2BA1">
        <w:rPr>
          <w:rFonts w:hint="cs"/>
          <w:sz w:val="22"/>
          <w:szCs w:val="26"/>
          <w:rtl/>
        </w:rPr>
        <w:t>עבודה זרה דף ל', משקים מגולים בזמן הזה</w:t>
      </w:r>
    </w:p>
    <w:p w:rsidR="006A29B5" w:rsidRPr="00DC2BA1" w:rsidRDefault="003E2DA8" w:rsidP="00DC2BA1">
      <w:pPr>
        <w:pStyle w:val="a8"/>
        <w:numPr>
          <w:ilvl w:val="0"/>
          <w:numId w:val="1"/>
        </w:numPr>
        <w:rPr>
          <w:sz w:val="20"/>
          <w:szCs w:val="22"/>
          <w:rtl/>
        </w:rPr>
      </w:pPr>
      <w:r w:rsidRPr="00DC2BA1">
        <w:rPr>
          <w:b/>
          <w:bCs/>
          <w:sz w:val="20"/>
          <w:szCs w:val="22"/>
          <w:rtl/>
        </w:rPr>
        <w:t>תוספות עבודה זרה</w:t>
      </w:r>
      <w:r w:rsidRPr="00DC2BA1">
        <w:rPr>
          <w:rFonts w:hint="cs"/>
          <w:b/>
          <w:bCs/>
          <w:sz w:val="20"/>
          <w:szCs w:val="22"/>
          <w:rtl/>
        </w:rPr>
        <w:t>, דף ל"ה (וכן הוא בביצה דף ו'; יומא דף ע"ז):</w:t>
      </w:r>
      <w:r w:rsidRPr="00DC2BA1">
        <w:rPr>
          <w:rFonts w:hint="cs"/>
          <w:sz w:val="20"/>
          <w:szCs w:val="22"/>
          <w:rtl/>
        </w:rPr>
        <w:t xml:space="preserve"> "</w:t>
      </w:r>
      <w:r w:rsidRPr="00DC2BA1">
        <w:rPr>
          <w:sz w:val="20"/>
          <w:szCs w:val="22"/>
          <w:rtl/>
        </w:rPr>
        <w:t>ואנו שאין נחשים מצוין בינינו אין לחוש משום גלוי ואין לומר דדבר שבמנין הוא וצריך מנין אחר להתירו כי ודאי הוא כשאסרו תחלה לא אסרו אלא במקום שהנחשים מצוין</w:t>
      </w:r>
      <w:r w:rsidRPr="00DC2BA1">
        <w:rPr>
          <w:rFonts w:hint="cs"/>
          <w:sz w:val="20"/>
          <w:szCs w:val="22"/>
          <w:rtl/>
        </w:rPr>
        <w:t>".</w:t>
      </w:r>
    </w:p>
    <w:p w:rsidR="003E2DA8" w:rsidRPr="00DC2BA1" w:rsidRDefault="003E2DA8" w:rsidP="00DC2BA1">
      <w:pPr>
        <w:pStyle w:val="a8"/>
        <w:numPr>
          <w:ilvl w:val="0"/>
          <w:numId w:val="1"/>
        </w:numPr>
        <w:rPr>
          <w:sz w:val="20"/>
          <w:szCs w:val="22"/>
          <w:rtl/>
        </w:rPr>
      </w:pPr>
      <w:r w:rsidRPr="00DC2BA1">
        <w:rPr>
          <w:b/>
          <w:bCs/>
          <w:sz w:val="20"/>
          <w:szCs w:val="22"/>
          <w:rtl/>
        </w:rPr>
        <w:t>תורת הבית הארוך</w:t>
      </w:r>
      <w:r w:rsidRPr="00DC2BA1">
        <w:rPr>
          <w:rFonts w:hint="cs"/>
          <w:b/>
          <w:bCs/>
          <w:sz w:val="20"/>
          <w:szCs w:val="22"/>
          <w:rtl/>
        </w:rPr>
        <w:t>, ג' ה':</w:t>
      </w:r>
      <w:r w:rsidRPr="00DC2BA1">
        <w:rPr>
          <w:rFonts w:hint="cs"/>
          <w:sz w:val="20"/>
          <w:szCs w:val="22"/>
          <w:rtl/>
        </w:rPr>
        <w:t xml:space="preserve"> "</w:t>
      </w:r>
      <w:r w:rsidRPr="00DC2BA1">
        <w:rPr>
          <w:sz w:val="20"/>
          <w:szCs w:val="22"/>
          <w:rtl/>
        </w:rPr>
        <w:t>ובמקומות אלו שהקלו בגלוי אפשר מפני שאין הרחשים מצויין ושומר פתאים ה'</w:t>
      </w:r>
      <w:r w:rsidRPr="00DC2BA1">
        <w:rPr>
          <w:rFonts w:hint="cs"/>
          <w:sz w:val="20"/>
          <w:szCs w:val="22"/>
          <w:rtl/>
        </w:rPr>
        <w:t xml:space="preserve"> "</w:t>
      </w:r>
      <w:r w:rsidRPr="00DC2BA1">
        <w:rPr>
          <w:sz w:val="20"/>
          <w:szCs w:val="22"/>
          <w:rtl/>
        </w:rPr>
        <w:t>.</w:t>
      </w:r>
    </w:p>
    <w:p w:rsidR="003E2DA8" w:rsidRPr="00DC2BA1" w:rsidRDefault="003E2DA8" w:rsidP="00DC2BA1">
      <w:pPr>
        <w:pStyle w:val="a8"/>
        <w:numPr>
          <w:ilvl w:val="0"/>
          <w:numId w:val="1"/>
        </w:numPr>
        <w:rPr>
          <w:sz w:val="20"/>
          <w:szCs w:val="22"/>
          <w:rtl/>
        </w:rPr>
      </w:pPr>
      <w:r w:rsidRPr="00DC2BA1">
        <w:rPr>
          <w:rFonts w:hint="cs"/>
          <w:b/>
          <w:bCs/>
          <w:sz w:val="20"/>
          <w:szCs w:val="22"/>
          <w:rtl/>
        </w:rPr>
        <w:t>הגהות רבינו פרץ לסמ"ק, רכ"ב:</w:t>
      </w:r>
      <w:r w:rsidRPr="00DC2BA1">
        <w:rPr>
          <w:rFonts w:hint="cs"/>
          <w:sz w:val="20"/>
          <w:szCs w:val="22"/>
          <w:rtl/>
        </w:rPr>
        <w:t xml:space="preserve"> "</w:t>
      </w:r>
      <w:r w:rsidRPr="00DC2BA1">
        <w:rPr>
          <w:sz w:val="20"/>
          <w:szCs w:val="22"/>
          <w:rtl/>
        </w:rPr>
        <w:t>ונראה כמו שפי' רבינו יעקב בתשובה, דאף על גב דאיסור גילוי אינו נוהג בינינו לגבי מים מכל מקום לגבי גבינות נוהג איסורא דגילוי משום דאי שרינן גבינות במקומות הללו שאין נחשים מצוים אתי נמי למשרי במקום שהנחשים מצוים דאע"ג דאנו נוהגים היתר במים מגולים ולא גזרינן אטו מקומות שהנחשים מצוים היינו משום דגבי מים לא שייך בהו לומר טעם של איסור כי אם משום נחשים וכיון שהדבר ידוע הוא דלא שייך טעמא דאיסור מים מגולים כי אם מטעם נחשים הילכך כי שרינן להו מים מגולים במקומות הללו שאין נחשים מצוים מכל מקום לא יבא להתיר כך במקומות שהנחשים מצוים אבל גבי גבינות דשייך בהו טעמי טובא לאסור בלא טעמא דגילוי כגון טעמא דעור קיבת נבילה וטעמא אחריני דקאמר תלמודא הלכך אי שרית להו לגבינות במקום שאין הנחשים מצוים אתית למשרי נמי במקום שהנחשים מצוים</w:t>
      </w:r>
      <w:r w:rsidRPr="00DC2BA1">
        <w:rPr>
          <w:rFonts w:hint="cs"/>
          <w:sz w:val="20"/>
          <w:szCs w:val="22"/>
          <w:rtl/>
        </w:rPr>
        <w:t>".</w:t>
      </w:r>
    </w:p>
    <w:p w:rsidR="003E2DA8" w:rsidRPr="00DC2BA1" w:rsidRDefault="003E2DA8" w:rsidP="00DC2BA1">
      <w:pPr>
        <w:pStyle w:val="a8"/>
        <w:numPr>
          <w:ilvl w:val="0"/>
          <w:numId w:val="1"/>
        </w:numPr>
        <w:rPr>
          <w:sz w:val="20"/>
          <w:szCs w:val="22"/>
          <w:rtl/>
        </w:rPr>
      </w:pPr>
      <w:r w:rsidRPr="00DC2BA1">
        <w:rPr>
          <w:rFonts w:hint="cs"/>
          <w:b/>
          <w:bCs/>
          <w:sz w:val="20"/>
          <w:szCs w:val="22"/>
          <w:rtl/>
        </w:rPr>
        <w:t>מאירי עבודה זרה דף ל':</w:t>
      </w:r>
      <w:r w:rsidRPr="00DC2BA1">
        <w:rPr>
          <w:rFonts w:hint="cs"/>
          <w:sz w:val="20"/>
          <w:szCs w:val="22"/>
          <w:rtl/>
        </w:rPr>
        <w:t xml:space="preserve"> "</w:t>
      </w:r>
      <w:r w:rsidRPr="00DC2BA1">
        <w:rPr>
          <w:sz w:val="20"/>
          <w:szCs w:val="22"/>
          <w:rtl/>
        </w:rPr>
        <w:t>במקומות שאין הנחשים מצויים נהגו להקל בענינים אלו</w:t>
      </w:r>
      <w:r w:rsidRPr="00DC2BA1">
        <w:rPr>
          <w:rFonts w:hint="cs"/>
          <w:sz w:val="20"/>
          <w:szCs w:val="22"/>
          <w:rtl/>
        </w:rPr>
        <w:t>,</w:t>
      </w:r>
      <w:r w:rsidRPr="00DC2BA1">
        <w:rPr>
          <w:sz w:val="20"/>
          <w:szCs w:val="22"/>
          <w:rtl/>
        </w:rPr>
        <w:t xml:space="preserve"> ואף בתלמוד המערב במסכת תרומות אמרו שאין לאדם לדקדק ביתר מן הראוי אלא יהא בוטח במה שנודע לנו שומר פתאים </w:t>
      </w:r>
      <w:r w:rsidRPr="00DC2BA1">
        <w:rPr>
          <w:rFonts w:hint="cs"/>
          <w:sz w:val="20"/>
          <w:szCs w:val="22"/>
          <w:rtl/>
        </w:rPr>
        <w:t xml:space="preserve">ה'. </w:t>
      </w:r>
      <w:r w:rsidRPr="00DC2BA1">
        <w:rPr>
          <w:sz w:val="20"/>
          <w:szCs w:val="22"/>
          <w:rtl/>
        </w:rPr>
        <w:t xml:space="preserve">שם העידו על ר' ינאי שהיה פחדן ביותר והכניס מטתו במקום הבטוח עד מאד ופעם אחת פשט ידו ונזדמן לו נחש אמר ארימון ערסאי מן הכא ושומר פתאים </w:t>
      </w:r>
      <w:r w:rsidRPr="00DC2BA1">
        <w:rPr>
          <w:rFonts w:hint="cs"/>
          <w:sz w:val="20"/>
          <w:szCs w:val="22"/>
          <w:rtl/>
        </w:rPr>
        <w:t>ה'.</w:t>
      </w:r>
      <w:r w:rsidRPr="00DC2BA1">
        <w:rPr>
          <w:sz w:val="20"/>
          <w:szCs w:val="22"/>
          <w:rtl/>
        </w:rPr>
        <w:t xml:space="preserve"> ועוד דרשו שם ברצות </w:t>
      </w:r>
      <w:r w:rsidRPr="00DC2BA1">
        <w:rPr>
          <w:rFonts w:hint="cs"/>
          <w:sz w:val="20"/>
          <w:szCs w:val="22"/>
          <w:rtl/>
        </w:rPr>
        <w:t xml:space="preserve">ה' </w:t>
      </w:r>
      <w:r w:rsidRPr="00DC2BA1">
        <w:rPr>
          <w:sz w:val="20"/>
          <w:szCs w:val="22"/>
          <w:rtl/>
        </w:rPr>
        <w:t>דרכי איש גם אויביו ישלים אתו ר' מאיר אומר זה הכלב ר' יושוע אומר זה הנחש</w:t>
      </w:r>
      <w:r w:rsidRPr="00DC2BA1">
        <w:rPr>
          <w:rFonts w:hint="cs"/>
          <w:sz w:val="20"/>
          <w:szCs w:val="22"/>
          <w:rtl/>
        </w:rPr>
        <w:t xml:space="preserve"> ... </w:t>
      </w:r>
      <w:r w:rsidRPr="00DC2BA1">
        <w:rPr>
          <w:sz w:val="20"/>
          <w:szCs w:val="22"/>
          <w:rtl/>
        </w:rPr>
        <w:t xml:space="preserve">לפי דרכך למדת על כל פנים שומר פתאים </w:t>
      </w:r>
      <w:r w:rsidRPr="00DC2BA1">
        <w:rPr>
          <w:rFonts w:hint="cs"/>
          <w:sz w:val="20"/>
          <w:szCs w:val="22"/>
          <w:rtl/>
        </w:rPr>
        <w:t>ה'</w:t>
      </w:r>
      <w:r w:rsidRPr="00DC2BA1">
        <w:rPr>
          <w:sz w:val="20"/>
          <w:szCs w:val="22"/>
          <w:rtl/>
        </w:rPr>
        <w:t xml:space="preserve"> ומ"מ במקום שההיזק מצוי ראוי להזהר ביותר ושלא לחזר אחר הקולא</w:t>
      </w:r>
      <w:r w:rsidRPr="00DC2BA1">
        <w:rPr>
          <w:rFonts w:hint="cs"/>
          <w:sz w:val="20"/>
          <w:szCs w:val="22"/>
          <w:rtl/>
        </w:rPr>
        <w:t xml:space="preserve">". </w:t>
      </w:r>
    </w:p>
    <w:p w:rsidR="003E2DA8" w:rsidRPr="00DC2BA1" w:rsidRDefault="003E2DA8" w:rsidP="00DC2BA1">
      <w:pPr>
        <w:pStyle w:val="a8"/>
        <w:numPr>
          <w:ilvl w:val="0"/>
          <w:numId w:val="1"/>
        </w:numPr>
        <w:rPr>
          <w:sz w:val="20"/>
          <w:szCs w:val="22"/>
          <w:rtl/>
        </w:rPr>
      </w:pPr>
      <w:r w:rsidRPr="00DC2BA1">
        <w:rPr>
          <w:b/>
          <w:bCs/>
          <w:sz w:val="20"/>
          <w:szCs w:val="22"/>
          <w:rtl/>
        </w:rPr>
        <w:t>שולחן ערוך יורה דעה</w:t>
      </w:r>
      <w:r w:rsidR="00511586" w:rsidRPr="00DC2BA1">
        <w:rPr>
          <w:rFonts w:hint="cs"/>
          <w:b/>
          <w:bCs/>
          <w:sz w:val="20"/>
          <w:szCs w:val="22"/>
          <w:rtl/>
        </w:rPr>
        <w:t>, קט"ז א':</w:t>
      </w:r>
      <w:r w:rsidR="00511586" w:rsidRPr="00DC2BA1">
        <w:rPr>
          <w:rFonts w:hint="cs"/>
          <w:sz w:val="20"/>
          <w:szCs w:val="22"/>
          <w:rtl/>
        </w:rPr>
        <w:t xml:space="preserve"> "</w:t>
      </w:r>
      <w:r w:rsidRPr="00DC2BA1">
        <w:rPr>
          <w:sz w:val="20"/>
          <w:szCs w:val="22"/>
          <w:rtl/>
        </w:rPr>
        <w:t>משקים שנתגלו, אסרום חכמים דחיישינן שמא שתה נחש מהם והטיל בהם ארס.  ועכשיו שאין נחשים מצויים בינינו, מותר</w:t>
      </w:r>
      <w:r w:rsidR="00511586" w:rsidRPr="00DC2BA1">
        <w:rPr>
          <w:rFonts w:hint="cs"/>
          <w:sz w:val="20"/>
          <w:szCs w:val="22"/>
          <w:rtl/>
        </w:rPr>
        <w:t>"</w:t>
      </w:r>
      <w:r w:rsidRPr="00DC2BA1">
        <w:rPr>
          <w:sz w:val="20"/>
          <w:szCs w:val="22"/>
          <w:rtl/>
        </w:rPr>
        <w:t>.</w:t>
      </w:r>
    </w:p>
    <w:p w:rsidR="003E2DA8" w:rsidRPr="00DC2BA1" w:rsidRDefault="003E2DA8" w:rsidP="00DC2BA1">
      <w:pPr>
        <w:pStyle w:val="a8"/>
        <w:numPr>
          <w:ilvl w:val="0"/>
          <w:numId w:val="1"/>
        </w:numPr>
        <w:rPr>
          <w:sz w:val="20"/>
          <w:szCs w:val="22"/>
          <w:rtl/>
        </w:rPr>
      </w:pPr>
      <w:r w:rsidRPr="00DC2BA1">
        <w:rPr>
          <w:b/>
          <w:bCs/>
          <w:sz w:val="20"/>
          <w:szCs w:val="22"/>
          <w:rtl/>
        </w:rPr>
        <w:t xml:space="preserve">פרי חדש </w:t>
      </w:r>
      <w:r w:rsidR="00511586" w:rsidRPr="00DC2BA1">
        <w:rPr>
          <w:rFonts w:hint="cs"/>
          <w:b/>
          <w:bCs/>
          <w:sz w:val="20"/>
          <w:szCs w:val="22"/>
          <w:rtl/>
        </w:rPr>
        <w:t>שם:</w:t>
      </w:r>
      <w:r w:rsidR="00511586" w:rsidRPr="00DC2BA1">
        <w:rPr>
          <w:rFonts w:hint="cs"/>
          <w:sz w:val="20"/>
          <w:szCs w:val="22"/>
          <w:rtl/>
        </w:rPr>
        <w:t xml:space="preserve"> "</w:t>
      </w:r>
      <w:r w:rsidRPr="00DC2BA1">
        <w:rPr>
          <w:sz w:val="20"/>
          <w:szCs w:val="22"/>
          <w:rtl/>
        </w:rPr>
        <w:t>המחבר קיצר בדין משקים שנתגלו לפי שאין נחשים מצויים בינינו, אבל בארצות המערב יש הרבה מקומות דשכיחי בהו נחשים ועקרבים, וגם פה ירושלים תוב"ב ואגפיה אף על פי שאינן מצויין הרבה, מכל מקום מצויים קצת וראוי לכל ירא לנפשו להזהר בהם. ובמצרים זה שנה אחת בקירוב הניחו מין תבשיל אחד מגולה וכל אותם שאכלו מאותו תבשיל נסתכנו הרבה ובעל הבית מת ולמה נסכן עצמנו בדבר שבנקל יוכל האדם להזהר ממנו</w:t>
      </w:r>
      <w:r w:rsidR="00511586" w:rsidRPr="00DC2BA1">
        <w:rPr>
          <w:rFonts w:hint="cs"/>
          <w:sz w:val="20"/>
          <w:szCs w:val="22"/>
          <w:rtl/>
        </w:rPr>
        <w:t>".</w:t>
      </w:r>
    </w:p>
    <w:p w:rsidR="00511586" w:rsidRPr="00DC2BA1" w:rsidRDefault="00511586" w:rsidP="00DC2BA1">
      <w:pPr>
        <w:pStyle w:val="a8"/>
        <w:numPr>
          <w:ilvl w:val="0"/>
          <w:numId w:val="1"/>
        </w:numPr>
        <w:rPr>
          <w:sz w:val="20"/>
          <w:szCs w:val="22"/>
          <w:rtl/>
        </w:rPr>
      </w:pPr>
      <w:r w:rsidRPr="00DC2BA1">
        <w:rPr>
          <w:b/>
          <w:bCs/>
          <w:sz w:val="20"/>
          <w:szCs w:val="22"/>
          <w:rtl/>
        </w:rPr>
        <w:t xml:space="preserve">פתחי תשובה </w:t>
      </w:r>
      <w:r w:rsidRPr="00DC2BA1">
        <w:rPr>
          <w:rFonts w:hint="cs"/>
          <w:b/>
          <w:bCs/>
          <w:sz w:val="20"/>
          <w:szCs w:val="22"/>
          <w:rtl/>
        </w:rPr>
        <w:t>שם:</w:t>
      </w:r>
      <w:r w:rsidRPr="00DC2BA1">
        <w:rPr>
          <w:rFonts w:hint="cs"/>
          <w:sz w:val="20"/>
          <w:szCs w:val="22"/>
          <w:rtl/>
        </w:rPr>
        <w:t xml:space="preserve"> "</w:t>
      </w:r>
      <w:r w:rsidRPr="00DC2BA1">
        <w:rPr>
          <w:sz w:val="20"/>
          <w:szCs w:val="22"/>
          <w:rtl/>
        </w:rPr>
        <w:t>ועכשיו שאין נחשים עיין בשל"ה דף ע"ט ע"ב שכתב דמ"מ שומר נפשו ירחק מזה. והא ראיה שהרי הטור כתבן לכל הדינים אחד מהם לא נותר ע"ש עוד. ובהנהגת החסיד הגר"א ז"ל כתוב ג"כ שהיה נזהר מאד בדבר זה ע"ש טעמו ע"כ הרוצה ליזהר יעיין כל הדינים בטור</w:t>
      </w:r>
      <w:r w:rsidRPr="00DC2BA1">
        <w:rPr>
          <w:rFonts w:hint="cs"/>
          <w:sz w:val="20"/>
          <w:szCs w:val="22"/>
          <w:rtl/>
        </w:rPr>
        <w:t>".</w:t>
      </w:r>
    </w:p>
    <w:p w:rsidR="003E2DA8" w:rsidRPr="00DC2BA1" w:rsidRDefault="00511586" w:rsidP="00DC2BA1">
      <w:pPr>
        <w:pStyle w:val="a8"/>
        <w:numPr>
          <w:ilvl w:val="0"/>
          <w:numId w:val="1"/>
        </w:numPr>
        <w:rPr>
          <w:sz w:val="20"/>
          <w:szCs w:val="22"/>
          <w:rtl/>
        </w:rPr>
      </w:pPr>
      <w:r w:rsidRPr="00DC2BA1">
        <w:rPr>
          <w:rFonts w:hint="cs"/>
          <w:b/>
          <w:bCs/>
          <w:sz w:val="20"/>
          <w:szCs w:val="22"/>
          <w:rtl/>
        </w:rPr>
        <w:t>שיורי ברכה לחיד"א שם:</w:t>
      </w:r>
      <w:r w:rsidRPr="00DC2BA1">
        <w:rPr>
          <w:rFonts w:hint="cs"/>
          <w:sz w:val="20"/>
          <w:szCs w:val="22"/>
          <w:rtl/>
        </w:rPr>
        <w:t xml:space="preserve"> "</w:t>
      </w:r>
      <w:r w:rsidR="003E2DA8" w:rsidRPr="00DC2BA1">
        <w:rPr>
          <w:sz w:val="20"/>
          <w:szCs w:val="22"/>
          <w:rtl/>
        </w:rPr>
        <w:t>ועכשיו שאין נחשים בינינו וכו'. הרב פר"ח מסיק ליזהר הן עוד היום, וראוי לכל ירא לנפשו ליזהר. והאריך ע"ש. וכן נהגו בארץ ישראל לישמר</w:t>
      </w:r>
      <w:r w:rsidRPr="00DC2BA1">
        <w:rPr>
          <w:rFonts w:hint="cs"/>
          <w:sz w:val="20"/>
          <w:szCs w:val="22"/>
          <w:rtl/>
        </w:rPr>
        <w:t>".</w:t>
      </w:r>
    </w:p>
    <w:p w:rsidR="003E2DA8" w:rsidRPr="00DC2BA1" w:rsidRDefault="003E2DA8" w:rsidP="00DC2BA1">
      <w:pPr>
        <w:pStyle w:val="a8"/>
        <w:numPr>
          <w:ilvl w:val="0"/>
          <w:numId w:val="1"/>
        </w:numPr>
        <w:rPr>
          <w:sz w:val="20"/>
          <w:szCs w:val="22"/>
          <w:rtl/>
        </w:rPr>
      </w:pPr>
      <w:r w:rsidRPr="00DC2BA1">
        <w:rPr>
          <w:b/>
          <w:bCs/>
          <w:sz w:val="20"/>
          <w:szCs w:val="22"/>
          <w:rtl/>
        </w:rPr>
        <w:t>שו"ת מנחת יצחק</w:t>
      </w:r>
      <w:r w:rsidRPr="00DC2BA1">
        <w:rPr>
          <w:rFonts w:hint="cs"/>
          <w:b/>
          <w:bCs/>
          <w:sz w:val="20"/>
          <w:szCs w:val="22"/>
          <w:rtl/>
        </w:rPr>
        <w:t>, ט' פ"ה:</w:t>
      </w:r>
      <w:r w:rsidRPr="00DC2BA1">
        <w:rPr>
          <w:rFonts w:hint="cs"/>
          <w:sz w:val="20"/>
          <w:szCs w:val="22"/>
          <w:rtl/>
        </w:rPr>
        <w:t xml:space="preserve"> "</w:t>
      </w:r>
      <w:r w:rsidRPr="00DC2BA1">
        <w:rPr>
          <w:sz w:val="20"/>
          <w:szCs w:val="22"/>
          <w:rtl/>
        </w:rPr>
        <w:t>אבל הפלא הוא איך אפשר לומר שהב"י שהי' מרא דארעא דישראל, כתב דין זה דעכשיו שאין נחשים מצויין וכו' רק למדינתנו ולא למדינת א"י שהי' דר שם, ועכ"פ הי' לו לפרש ולא לסתום, וצע"ג</w:t>
      </w:r>
      <w:r w:rsidRPr="00DC2BA1">
        <w:rPr>
          <w:rFonts w:hint="cs"/>
          <w:sz w:val="20"/>
          <w:szCs w:val="22"/>
          <w:rtl/>
        </w:rPr>
        <w:t>"</w:t>
      </w:r>
      <w:r w:rsidRPr="00DC2BA1">
        <w:rPr>
          <w:sz w:val="20"/>
          <w:szCs w:val="22"/>
          <w:rtl/>
        </w:rPr>
        <w:t>.</w:t>
      </w:r>
    </w:p>
    <w:p w:rsidR="00511586" w:rsidRPr="00DC2BA1" w:rsidRDefault="00511586" w:rsidP="00DC2BA1">
      <w:pPr>
        <w:pStyle w:val="a8"/>
        <w:numPr>
          <w:ilvl w:val="0"/>
          <w:numId w:val="1"/>
        </w:numPr>
        <w:rPr>
          <w:sz w:val="20"/>
          <w:szCs w:val="22"/>
          <w:rtl/>
        </w:rPr>
      </w:pPr>
      <w:r w:rsidRPr="00DC2BA1">
        <w:rPr>
          <w:b/>
          <w:bCs/>
          <w:sz w:val="20"/>
          <w:szCs w:val="22"/>
          <w:rtl/>
        </w:rPr>
        <w:t>שו"ת ציץ אליעזר</w:t>
      </w:r>
      <w:r w:rsidRPr="00DC2BA1">
        <w:rPr>
          <w:rFonts w:hint="cs"/>
          <w:b/>
          <w:bCs/>
          <w:sz w:val="20"/>
          <w:szCs w:val="22"/>
          <w:rtl/>
        </w:rPr>
        <w:t>, כ"ב מ"א:</w:t>
      </w:r>
      <w:r w:rsidRPr="00DC2BA1">
        <w:rPr>
          <w:rFonts w:hint="cs"/>
          <w:sz w:val="20"/>
          <w:szCs w:val="22"/>
          <w:rtl/>
        </w:rPr>
        <w:t xml:space="preserve"> "</w:t>
      </w:r>
      <w:r w:rsidRPr="00DC2BA1">
        <w:rPr>
          <w:sz w:val="20"/>
          <w:szCs w:val="22"/>
          <w:rtl/>
        </w:rPr>
        <w:t>והנה לדעתי יש שפיר לומר דבכה"ג שנתון במקרר וכדומה דמותר אפילו להמחמירים במשקים שנתגלו אפילו בזה"ז משום, דזיל בתר טעמא</w:t>
      </w:r>
      <w:r w:rsidRPr="00DC2BA1">
        <w:rPr>
          <w:rFonts w:hint="cs"/>
          <w:sz w:val="20"/>
          <w:szCs w:val="22"/>
          <w:rtl/>
        </w:rPr>
        <w:t xml:space="preserve"> ... </w:t>
      </w:r>
      <w:r w:rsidRPr="00DC2BA1">
        <w:rPr>
          <w:sz w:val="20"/>
          <w:szCs w:val="22"/>
          <w:rtl/>
        </w:rPr>
        <w:t>וראה זה דבחיפושי מצאתי בספר שמירת הגוף והנפש סימן מ"ד. דמצד אחד מביא שם בשם הגאון החזון אי"ש ז"ל שהחמיר מאד במשקים שנתגלו, ואפילו גם על ספק גילוי כדיעו"ש, ומצד שני מביא גם זאת בשמו שהקיל אבל שפיר בעל כגון נידוננו ובזה"ל: "כשהשאירו משקין מגולין בהמקרר הורה מרן החזו"א זצ"ל שיש להקל דנחשב מכוסה" עכ"ל, ורק מחבר הספר שם מוסיף מצידו וכותב דאולי טעמו משום הקור במקרר דאין הנחש נכנס למקום כ"כ קר ע"ש. ולדעתי עיקר ההיתר שהורה החזו"א ז"ל להקל במקרר הוא מפני שאין מציאות שיבוא לשם נחש, וממילא מותר אליבא דידיה גם בכה"ג בארון סגור כשנמצא במקום שמור כזה שלא יתכן שיכנס שם נחש וכנ"ל, ומשום דלא על כגון דא היתה גזירת חכמים, ובדומה למה שמביא הספר שם שמרן החזו"א זצ"ל החמיר גם על ספק גילוי, וכששאל אותו למה צריכים להחמיר בזה הלא בזה"ז אינו אלא מדרבנן, השיב לו דהתקנה נשאר כמו שהיה מקודם ואז היה אסור גם ספק גילוי, וא"כ בנידוננו יש לומר גם בלהיפך דהתקנה מקדם בזה לא היתה לאסור גם על כגון כשהמשקים נתונים במקרר והדומה לזה במקום שלא יתכן שיכנס שם נחש, ונחשב אז זה כמכוסה, שהרי על זה הא לא נאמר שהכלי בעצמה שהמשקה נתון בתוכו צריך להיות מכוסה בדייקא</w:t>
      </w:r>
      <w:r w:rsidRPr="00DC2BA1">
        <w:rPr>
          <w:rFonts w:hint="cs"/>
          <w:sz w:val="20"/>
          <w:szCs w:val="22"/>
          <w:rtl/>
        </w:rPr>
        <w:t xml:space="preserve">". </w:t>
      </w:r>
    </w:p>
    <w:sectPr w:rsidR="00511586" w:rsidRPr="00DC2BA1"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E8E" w:rsidRDefault="00F05E8E" w:rsidP="001250C8">
      <w:pPr>
        <w:spacing w:line="240" w:lineRule="auto"/>
      </w:pPr>
      <w:r>
        <w:separator/>
      </w:r>
    </w:p>
  </w:endnote>
  <w:endnote w:type="continuationSeparator" w:id="0">
    <w:p w:rsidR="00F05E8E" w:rsidRDefault="00F05E8E"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E8E" w:rsidRDefault="00F05E8E" w:rsidP="001250C8">
      <w:pPr>
        <w:spacing w:line="240" w:lineRule="auto"/>
      </w:pPr>
      <w:r>
        <w:separator/>
      </w:r>
    </w:p>
  </w:footnote>
  <w:footnote w:type="continuationSeparator" w:id="0">
    <w:p w:rsidR="00F05E8E" w:rsidRDefault="00F05E8E"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E47C02"/>
    <w:multiLevelType w:val="hybridMultilevel"/>
    <w:tmpl w:val="8A44F918"/>
    <w:lvl w:ilvl="0" w:tplc="D982D42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53"/>
    <w:rsid w:val="001250C8"/>
    <w:rsid w:val="002E1DB7"/>
    <w:rsid w:val="00350453"/>
    <w:rsid w:val="003E2DA8"/>
    <w:rsid w:val="00511586"/>
    <w:rsid w:val="00656813"/>
    <w:rsid w:val="006A29B5"/>
    <w:rsid w:val="008A0A58"/>
    <w:rsid w:val="00A13A6B"/>
    <w:rsid w:val="00B17B18"/>
    <w:rsid w:val="00B45A22"/>
    <w:rsid w:val="00C23EB1"/>
    <w:rsid w:val="00DC2BA1"/>
    <w:rsid w:val="00E93D7D"/>
    <w:rsid w:val="00F05E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7AA9C-B4BD-4537-B86C-5A30CF9E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DC2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70</TotalTime>
  <Pages>1</Pages>
  <Words>666</Words>
  <Characters>3334</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2018-02-14T07:32:00Z</dcterms:created>
  <dcterms:modified xsi:type="dcterms:W3CDTF">2018-02-14T09:53:00Z</dcterms:modified>
</cp:coreProperties>
</file>