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B3" w:rsidRPr="00C33B15" w:rsidRDefault="00973FED" w:rsidP="00AE18B3">
      <w:pPr>
        <w:rPr>
          <w:rFonts w:hint="cs"/>
          <w:sz w:val="20"/>
          <w:szCs w:val="22"/>
          <w:rtl/>
        </w:rPr>
      </w:pPr>
      <w:r w:rsidRPr="00C33B15">
        <w:rPr>
          <w:rFonts w:hint="cs"/>
          <w:sz w:val="20"/>
          <w:szCs w:val="22"/>
          <w:rtl/>
        </w:rPr>
        <w:t xml:space="preserve">בס"ד, </w:t>
      </w:r>
      <w:r w:rsidR="00C33B15">
        <w:rPr>
          <w:rFonts w:hint="cs"/>
          <w:sz w:val="20"/>
          <w:szCs w:val="22"/>
          <w:rtl/>
        </w:rPr>
        <w:t xml:space="preserve">ז' באדר </w:t>
      </w:r>
      <w:r w:rsidRPr="00C33B15">
        <w:rPr>
          <w:rFonts w:hint="cs"/>
          <w:sz w:val="20"/>
          <w:szCs w:val="22"/>
          <w:rtl/>
        </w:rPr>
        <w:t>אדר תשע"ח</w:t>
      </w:r>
    </w:p>
    <w:p w:rsidR="00973FED" w:rsidRPr="00C33B15" w:rsidRDefault="00973FED" w:rsidP="00973FED">
      <w:pPr>
        <w:pStyle w:val="a3"/>
        <w:rPr>
          <w:sz w:val="22"/>
          <w:szCs w:val="26"/>
          <w:rtl/>
        </w:rPr>
      </w:pPr>
      <w:r w:rsidRPr="00C33B15">
        <w:rPr>
          <w:rFonts w:hint="cs"/>
          <w:sz w:val="22"/>
          <w:szCs w:val="26"/>
          <w:rtl/>
        </w:rPr>
        <w:t>עבודה זרה דף ל"ז, בית דין שריא</w:t>
      </w:r>
    </w:p>
    <w:p w:rsidR="00C0619B" w:rsidRPr="00C33B15" w:rsidRDefault="00C0619B" w:rsidP="00973FED">
      <w:pPr>
        <w:rPr>
          <w:b/>
          <w:bCs/>
          <w:sz w:val="20"/>
          <w:szCs w:val="22"/>
          <w:u w:val="single"/>
          <w:rtl/>
        </w:rPr>
      </w:pPr>
      <w:r w:rsidRPr="00C33B15">
        <w:rPr>
          <w:rFonts w:hint="cs"/>
          <w:b/>
          <w:bCs/>
          <w:sz w:val="20"/>
          <w:szCs w:val="22"/>
          <w:u w:val="single"/>
          <w:rtl/>
        </w:rPr>
        <w:t>א. מקור המימרא</w:t>
      </w:r>
    </w:p>
    <w:p w:rsidR="00973FED" w:rsidRPr="00C33B15" w:rsidRDefault="00973FED" w:rsidP="00C33B15">
      <w:pPr>
        <w:pStyle w:val="a8"/>
        <w:numPr>
          <w:ilvl w:val="0"/>
          <w:numId w:val="1"/>
        </w:numPr>
        <w:ind w:left="360"/>
        <w:rPr>
          <w:sz w:val="20"/>
          <w:szCs w:val="22"/>
          <w:rtl/>
        </w:rPr>
      </w:pPr>
      <w:r w:rsidRPr="00C33B15">
        <w:rPr>
          <w:b/>
          <w:bCs/>
          <w:sz w:val="20"/>
          <w:szCs w:val="22"/>
          <w:rtl/>
        </w:rPr>
        <w:t>משנה עדויות</w:t>
      </w:r>
      <w:r w:rsidRPr="00C33B15">
        <w:rPr>
          <w:rFonts w:hint="cs"/>
          <w:b/>
          <w:bCs/>
          <w:sz w:val="20"/>
          <w:szCs w:val="22"/>
          <w:rtl/>
        </w:rPr>
        <w:t>, ח' ד':</w:t>
      </w:r>
      <w:r w:rsidRPr="00C33B15">
        <w:rPr>
          <w:rFonts w:hint="cs"/>
          <w:sz w:val="20"/>
          <w:szCs w:val="22"/>
          <w:rtl/>
        </w:rPr>
        <w:t xml:space="preserve"> "</w:t>
      </w:r>
      <w:r w:rsidRPr="00C33B15">
        <w:rPr>
          <w:sz w:val="20"/>
          <w:szCs w:val="22"/>
          <w:rtl/>
        </w:rPr>
        <w:t>העיד רבי יוסי בן יועזר איש צרידה על איל קמצא דכן ועל משקה בית מטבחייא דאינון דכיין ודיקרב במיתא מסתאב וקרו ליה יוסי שריא</w:t>
      </w:r>
      <w:r w:rsidRPr="00C33B15">
        <w:rPr>
          <w:rFonts w:hint="cs"/>
          <w:sz w:val="20"/>
          <w:szCs w:val="22"/>
          <w:rtl/>
        </w:rPr>
        <w:t>".</w:t>
      </w:r>
    </w:p>
    <w:p w:rsidR="00973FED" w:rsidRPr="00C33B15" w:rsidRDefault="00973FED" w:rsidP="00C33B15">
      <w:pPr>
        <w:pStyle w:val="a8"/>
        <w:numPr>
          <w:ilvl w:val="0"/>
          <w:numId w:val="1"/>
        </w:numPr>
        <w:ind w:left="360"/>
        <w:rPr>
          <w:sz w:val="20"/>
          <w:szCs w:val="22"/>
          <w:rtl/>
        </w:rPr>
      </w:pPr>
      <w:r w:rsidRPr="00C33B15">
        <w:rPr>
          <w:rFonts w:hint="cs"/>
          <w:b/>
          <w:bCs/>
          <w:sz w:val="20"/>
          <w:szCs w:val="22"/>
          <w:rtl/>
        </w:rPr>
        <w:t>פירוש הרמב"ם שם:</w:t>
      </w:r>
      <w:r w:rsidRPr="00C33B15">
        <w:rPr>
          <w:rFonts w:hint="cs"/>
          <w:sz w:val="20"/>
          <w:szCs w:val="22"/>
          <w:rtl/>
        </w:rPr>
        <w:t xml:space="preserve"> "</w:t>
      </w:r>
      <w:r w:rsidRPr="00C33B15">
        <w:rPr>
          <w:sz w:val="20"/>
          <w:szCs w:val="22"/>
          <w:rtl/>
        </w:rPr>
        <w:t>וכך דרכם שכל בית דין המתיר שלשה דברים קורין אותו בי דינא שריא</w:t>
      </w:r>
      <w:r w:rsidR="00725AA1" w:rsidRPr="00C33B15">
        <w:rPr>
          <w:rFonts w:hint="cs"/>
          <w:sz w:val="20"/>
          <w:szCs w:val="22"/>
          <w:rtl/>
        </w:rPr>
        <w:t xml:space="preserve"> ... </w:t>
      </w:r>
      <w:r w:rsidR="00C33B15">
        <w:rPr>
          <w:sz w:val="20"/>
          <w:szCs w:val="22"/>
          <w:rtl/>
        </w:rPr>
        <w:t>וכל עדיותיו נכונות הלכה למעשה</w:t>
      </w:r>
      <w:r w:rsidRPr="00C33B15">
        <w:rPr>
          <w:rFonts w:hint="cs"/>
          <w:sz w:val="20"/>
          <w:szCs w:val="22"/>
          <w:rtl/>
        </w:rPr>
        <w:t>"</w:t>
      </w:r>
      <w:r w:rsidRPr="00C33B15">
        <w:rPr>
          <w:sz w:val="20"/>
          <w:szCs w:val="22"/>
          <w:rtl/>
        </w:rPr>
        <w:t>.</w:t>
      </w:r>
    </w:p>
    <w:p w:rsidR="00725AA1" w:rsidRPr="00C33B15" w:rsidRDefault="00725AA1" w:rsidP="00C33B15">
      <w:pPr>
        <w:pStyle w:val="a8"/>
        <w:numPr>
          <w:ilvl w:val="0"/>
          <w:numId w:val="1"/>
        </w:numPr>
        <w:ind w:left="360"/>
        <w:rPr>
          <w:sz w:val="20"/>
          <w:szCs w:val="22"/>
          <w:rtl/>
        </w:rPr>
      </w:pPr>
      <w:r w:rsidRPr="00C33B15">
        <w:rPr>
          <w:rFonts w:hint="cs"/>
          <w:b/>
          <w:bCs/>
          <w:sz w:val="20"/>
          <w:szCs w:val="22"/>
          <w:rtl/>
        </w:rPr>
        <w:t>פירוש "</w:t>
      </w:r>
      <w:r w:rsidRPr="00C33B15">
        <w:rPr>
          <w:b/>
          <w:bCs/>
          <w:sz w:val="20"/>
          <w:szCs w:val="22"/>
          <w:rtl/>
        </w:rPr>
        <w:t>הון עשיר</w:t>
      </w:r>
      <w:r w:rsidRPr="00C33B15">
        <w:rPr>
          <w:rFonts w:hint="cs"/>
          <w:b/>
          <w:bCs/>
          <w:sz w:val="20"/>
          <w:szCs w:val="22"/>
          <w:rtl/>
        </w:rPr>
        <w:t>", שם:</w:t>
      </w:r>
      <w:r w:rsidRPr="00C33B15">
        <w:rPr>
          <w:rFonts w:hint="cs"/>
          <w:sz w:val="20"/>
          <w:szCs w:val="22"/>
          <w:rtl/>
        </w:rPr>
        <w:t xml:space="preserve"> "</w:t>
      </w:r>
      <w:r w:rsidRPr="00C33B15">
        <w:rPr>
          <w:sz w:val="20"/>
          <w:szCs w:val="22"/>
          <w:rtl/>
        </w:rPr>
        <w:t>ומכיון דכבר נהגו העם כך, הוצרכה משנה זו המורה נגד מנהגם, להשנות בפומבי ובלשון המובן אצל כל העם, ולכן בעבור ישמע העם בדברו עמם נשנית לשון תרגום, כן נראה</w:t>
      </w:r>
      <w:r w:rsidRPr="00C33B15">
        <w:rPr>
          <w:rFonts w:hint="cs"/>
          <w:sz w:val="20"/>
          <w:szCs w:val="22"/>
          <w:rtl/>
        </w:rPr>
        <w:t>".</w:t>
      </w:r>
    </w:p>
    <w:p w:rsidR="00725AA1" w:rsidRPr="00C33B15" w:rsidRDefault="00725AA1" w:rsidP="00C33B15">
      <w:pPr>
        <w:pStyle w:val="a8"/>
        <w:numPr>
          <w:ilvl w:val="0"/>
          <w:numId w:val="1"/>
        </w:numPr>
        <w:ind w:left="360"/>
        <w:rPr>
          <w:b/>
          <w:bCs/>
          <w:sz w:val="20"/>
          <w:szCs w:val="22"/>
          <w:rtl/>
        </w:rPr>
      </w:pPr>
      <w:r w:rsidRPr="00C33B15">
        <w:rPr>
          <w:rFonts w:hint="cs"/>
          <w:b/>
          <w:bCs/>
          <w:sz w:val="20"/>
          <w:szCs w:val="22"/>
          <w:rtl/>
        </w:rPr>
        <w:t>ירושלמי גיטין, ז' ג':</w:t>
      </w:r>
      <w:r w:rsidRPr="00C33B15">
        <w:rPr>
          <w:rFonts w:hint="cs"/>
          <w:sz w:val="20"/>
          <w:szCs w:val="22"/>
          <w:rtl/>
        </w:rPr>
        <w:t xml:space="preserve"> "</w:t>
      </w:r>
      <w:r w:rsidRPr="00C33B15">
        <w:rPr>
          <w:sz w:val="20"/>
          <w:szCs w:val="22"/>
          <w:rtl/>
        </w:rPr>
        <w:t>בשלשה מקומות נקרא רבי יהודה הנשיא רבותינו</w:t>
      </w:r>
      <w:r w:rsidRPr="00C33B15">
        <w:rPr>
          <w:rFonts w:hint="cs"/>
          <w:sz w:val="20"/>
          <w:szCs w:val="22"/>
          <w:rtl/>
        </w:rPr>
        <w:t xml:space="preserve">: </w:t>
      </w:r>
      <w:r w:rsidRPr="00C33B15">
        <w:rPr>
          <w:sz w:val="20"/>
          <w:szCs w:val="22"/>
          <w:rtl/>
        </w:rPr>
        <w:t>בגיטין</w:t>
      </w:r>
      <w:r w:rsidRPr="00C33B15">
        <w:rPr>
          <w:rFonts w:hint="cs"/>
          <w:sz w:val="20"/>
          <w:szCs w:val="22"/>
          <w:rtl/>
        </w:rPr>
        <w:t>,</w:t>
      </w:r>
      <w:r w:rsidRPr="00C33B15">
        <w:rPr>
          <w:sz w:val="20"/>
          <w:szCs w:val="22"/>
          <w:rtl/>
        </w:rPr>
        <w:t xml:space="preserve"> בשמן ובסנדל. ויקראו לו בית דין שריא</w:t>
      </w:r>
      <w:r w:rsidRPr="00C33B15">
        <w:rPr>
          <w:rFonts w:hint="cs"/>
          <w:sz w:val="20"/>
          <w:szCs w:val="22"/>
          <w:rtl/>
        </w:rPr>
        <w:t>,</w:t>
      </w:r>
      <w:r w:rsidRPr="00C33B15">
        <w:rPr>
          <w:sz w:val="20"/>
          <w:szCs w:val="22"/>
          <w:rtl/>
        </w:rPr>
        <w:t xml:space="preserve"> שכל בית דין שהוא מתיר שלשה דברים הוא נקרא בית דין שריא</w:t>
      </w:r>
      <w:r w:rsidRPr="00C33B15">
        <w:rPr>
          <w:rFonts w:hint="cs"/>
          <w:sz w:val="20"/>
          <w:szCs w:val="22"/>
          <w:rtl/>
        </w:rPr>
        <w:t>?!</w:t>
      </w:r>
      <w:r w:rsidRPr="00C33B15">
        <w:rPr>
          <w:sz w:val="20"/>
          <w:szCs w:val="22"/>
          <w:rtl/>
        </w:rPr>
        <w:t xml:space="preserve"> אמר רבי יודן בי ר' ישמעאל בית דינו חלוק עליו</w:t>
      </w:r>
      <w:r w:rsidRPr="00C33B15">
        <w:rPr>
          <w:rFonts w:hint="cs"/>
          <w:sz w:val="20"/>
          <w:szCs w:val="22"/>
          <w:rtl/>
        </w:rPr>
        <w:t>"</w:t>
      </w:r>
      <w:r w:rsidRPr="00C33B15">
        <w:rPr>
          <w:sz w:val="20"/>
          <w:szCs w:val="22"/>
          <w:rtl/>
        </w:rPr>
        <w:t>.</w:t>
      </w:r>
    </w:p>
    <w:p w:rsidR="00725AA1" w:rsidRPr="00C33B15" w:rsidRDefault="00725AA1" w:rsidP="00C33B15">
      <w:pPr>
        <w:pStyle w:val="a8"/>
        <w:numPr>
          <w:ilvl w:val="0"/>
          <w:numId w:val="1"/>
        </w:numPr>
        <w:ind w:left="360"/>
        <w:rPr>
          <w:sz w:val="20"/>
          <w:szCs w:val="22"/>
          <w:rtl/>
        </w:rPr>
      </w:pPr>
      <w:r w:rsidRPr="00C33B15">
        <w:rPr>
          <w:b/>
          <w:bCs/>
          <w:sz w:val="20"/>
          <w:szCs w:val="22"/>
          <w:rtl/>
        </w:rPr>
        <w:t>עבודה זרה</w:t>
      </w:r>
      <w:r w:rsidRPr="00C33B15">
        <w:rPr>
          <w:rFonts w:hint="cs"/>
          <w:b/>
          <w:bCs/>
          <w:sz w:val="20"/>
          <w:szCs w:val="22"/>
          <w:rtl/>
        </w:rPr>
        <w:t>, דף ל"ז:</w:t>
      </w:r>
      <w:r w:rsidRPr="00C33B15">
        <w:rPr>
          <w:rFonts w:hint="cs"/>
          <w:sz w:val="20"/>
          <w:szCs w:val="22"/>
          <w:rtl/>
        </w:rPr>
        <w:t xml:space="preserve"> "</w:t>
      </w:r>
      <w:r w:rsidRPr="00C33B15">
        <w:rPr>
          <w:sz w:val="20"/>
          <w:szCs w:val="22"/>
          <w:rtl/>
        </w:rPr>
        <w:t>אמר לו: בימינו תתיר אף את הפת. אמר לו: א"כ, קרו לן בית דינא שריא</w:t>
      </w:r>
      <w:r w:rsidRPr="00C33B15">
        <w:rPr>
          <w:rFonts w:hint="cs"/>
          <w:sz w:val="20"/>
          <w:szCs w:val="22"/>
          <w:rtl/>
        </w:rPr>
        <w:t>".</w:t>
      </w:r>
    </w:p>
    <w:p w:rsidR="00725AA1" w:rsidRPr="00C33B15" w:rsidRDefault="00725AA1" w:rsidP="00C33B15">
      <w:pPr>
        <w:pStyle w:val="a8"/>
        <w:numPr>
          <w:ilvl w:val="0"/>
          <w:numId w:val="1"/>
        </w:numPr>
        <w:ind w:left="360"/>
        <w:rPr>
          <w:sz w:val="20"/>
          <w:szCs w:val="22"/>
          <w:rtl/>
        </w:rPr>
      </w:pPr>
      <w:r w:rsidRPr="00C33B15">
        <w:rPr>
          <w:b/>
          <w:bCs/>
          <w:sz w:val="20"/>
          <w:szCs w:val="22"/>
          <w:rtl/>
        </w:rPr>
        <w:t xml:space="preserve">תוספות </w:t>
      </w:r>
      <w:r w:rsidRPr="00C33B15">
        <w:rPr>
          <w:rFonts w:hint="cs"/>
          <w:b/>
          <w:bCs/>
          <w:sz w:val="20"/>
          <w:szCs w:val="22"/>
          <w:rtl/>
        </w:rPr>
        <w:t>שם, דף ל"ה:</w:t>
      </w:r>
      <w:r w:rsidRPr="00C33B15">
        <w:rPr>
          <w:rFonts w:hint="cs"/>
          <w:sz w:val="20"/>
          <w:szCs w:val="22"/>
          <w:rtl/>
        </w:rPr>
        <w:t xml:space="preserve"> "</w:t>
      </w:r>
      <w:r w:rsidRPr="00C33B15">
        <w:rPr>
          <w:sz w:val="20"/>
          <w:szCs w:val="22"/>
          <w:rtl/>
        </w:rPr>
        <w:t>ומכאן סמכו עתה לאכול פת של עובדי כוכבים כיון שלא פשט איסורו בכל ישראל</w:t>
      </w:r>
      <w:r w:rsidRPr="00C33B15">
        <w:rPr>
          <w:rFonts w:hint="cs"/>
          <w:sz w:val="20"/>
          <w:szCs w:val="22"/>
          <w:rtl/>
        </w:rPr>
        <w:t xml:space="preserve"> ... </w:t>
      </w:r>
      <w:r w:rsidRPr="00C33B15">
        <w:rPr>
          <w:sz w:val="20"/>
          <w:szCs w:val="22"/>
          <w:rtl/>
        </w:rPr>
        <w:t>ועוד ראיה דאמר לקמן (דף לז.) בימינו תתיר אף את הפת ולא הניח להתיר אלא משום דהוו קרו ליה ב"ד שריא ואחריו באו בית דין אחר שהתירוהו</w:t>
      </w:r>
      <w:r w:rsidRPr="00C33B15">
        <w:rPr>
          <w:rFonts w:hint="cs"/>
          <w:sz w:val="20"/>
          <w:szCs w:val="22"/>
          <w:rtl/>
        </w:rPr>
        <w:t>".</w:t>
      </w:r>
    </w:p>
    <w:p w:rsidR="00C0619B" w:rsidRPr="00C33B15" w:rsidRDefault="00C0619B" w:rsidP="00C33B15">
      <w:pPr>
        <w:rPr>
          <w:sz w:val="20"/>
          <w:szCs w:val="22"/>
          <w:rtl/>
        </w:rPr>
      </w:pPr>
    </w:p>
    <w:p w:rsidR="00C0619B" w:rsidRPr="00C33B15" w:rsidRDefault="00C0619B" w:rsidP="00C33B15">
      <w:pPr>
        <w:rPr>
          <w:rFonts w:hint="cs"/>
          <w:b/>
          <w:bCs/>
          <w:sz w:val="20"/>
          <w:szCs w:val="22"/>
          <w:u w:val="single"/>
          <w:rtl/>
        </w:rPr>
      </w:pPr>
      <w:r w:rsidRPr="00C33B15">
        <w:rPr>
          <w:rFonts w:hint="cs"/>
          <w:b/>
          <w:bCs/>
          <w:sz w:val="20"/>
          <w:szCs w:val="22"/>
          <w:u w:val="single"/>
          <w:rtl/>
        </w:rPr>
        <w:t>ב. כוח דהיתרא</w:t>
      </w:r>
      <w:r w:rsidR="00C33B15" w:rsidRPr="00C33B15">
        <w:rPr>
          <w:rFonts w:hint="cs"/>
          <w:b/>
          <w:bCs/>
          <w:sz w:val="20"/>
          <w:szCs w:val="22"/>
          <w:u w:val="single"/>
          <w:rtl/>
        </w:rPr>
        <w:t xml:space="preserve"> ובית דין שריא</w:t>
      </w:r>
    </w:p>
    <w:p w:rsidR="00C0619B" w:rsidRPr="00C33B15" w:rsidRDefault="00C0619B" w:rsidP="00C33B15">
      <w:pPr>
        <w:pStyle w:val="a8"/>
        <w:numPr>
          <w:ilvl w:val="0"/>
          <w:numId w:val="1"/>
        </w:numPr>
        <w:ind w:left="360"/>
        <w:rPr>
          <w:sz w:val="20"/>
          <w:szCs w:val="22"/>
          <w:rtl/>
        </w:rPr>
      </w:pPr>
      <w:r w:rsidRPr="00C33B15">
        <w:rPr>
          <w:rFonts w:hint="cs"/>
          <w:b/>
          <w:bCs/>
          <w:sz w:val="20"/>
          <w:szCs w:val="22"/>
          <w:rtl/>
        </w:rPr>
        <w:t>ביצה, דף ב':</w:t>
      </w:r>
      <w:r w:rsidRPr="00C33B15">
        <w:rPr>
          <w:rFonts w:hint="cs"/>
          <w:sz w:val="20"/>
          <w:szCs w:val="22"/>
          <w:rtl/>
        </w:rPr>
        <w:t xml:space="preserve"> "</w:t>
      </w:r>
      <w:r w:rsidRPr="00C33B15">
        <w:rPr>
          <w:sz w:val="20"/>
          <w:szCs w:val="22"/>
          <w:rtl/>
        </w:rPr>
        <w:t>כח דהתירא עדיף</w:t>
      </w:r>
      <w:r w:rsidRPr="00C33B15">
        <w:rPr>
          <w:rFonts w:hint="cs"/>
          <w:sz w:val="20"/>
          <w:szCs w:val="22"/>
          <w:rtl/>
        </w:rPr>
        <w:t xml:space="preserve">". </w:t>
      </w:r>
      <w:r w:rsidRPr="00C33B15">
        <w:rPr>
          <w:rFonts w:hint="cs"/>
          <w:b/>
          <w:bCs/>
          <w:sz w:val="20"/>
          <w:szCs w:val="22"/>
          <w:rtl/>
        </w:rPr>
        <w:t>רש"י שם:</w:t>
      </w:r>
      <w:r w:rsidRPr="00C33B15">
        <w:rPr>
          <w:rFonts w:hint="cs"/>
          <w:sz w:val="20"/>
          <w:szCs w:val="22"/>
          <w:rtl/>
        </w:rPr>
        <w:t xml:space="preserve"> "</w:t>
      </w:r>
      <w:r w:rsidRPr="00C33B15">
        <w:rPr>
          <w:sz w:val="20"/>
          <w:szCs w:val="22"/>
          <w:rtl/>
        </w:rPr>
        <w:t>דהתירא עדיף ליה - טוב לו להשמיענו כח דברי המתיר, שהוא סומך על שמועתו ואינו ירא להתיר, אבל כח האוסרין אינה ראיה, שהכל יכולין להחמיר, ואפילו בדבר המותר</w:t>
      </w:r>
      <w:r w:rsidRPr="00C33B15">
        <w:rPr>
          <w:rFonts w:hint="cs"/>
          <w:sz w:val="20"/>
          <w:szCs w:val="22"/>
          <w:rtl/>
        </w:rPr>
        <w:t>".</w:t>
      </w:r>
    </w:p>
    <w:p w:rsidR="00C33B15" w:rsidRPr="00C33B15" w:rsidRDefault="00C33B15" w:rsidP="00C33B15">
      <w:pPr>
        <w:pStyle w:val="a8"/>
        <w:numPr>
          <w:ilvl w:val="0"/>
          <w:numId w:val="1"/>
        </w:numPr>
        <w:ind w:left="360"/>
        <w:rPr>
          <w:sz w:val="20"/>
          <w:szCs w:val="22"/>
          <w:rtl/>
        </w:rPr>
      </w:pPr>
      <w:r w:rsidRPr="00C33B15">
        <w:rPr>
          <w:b/>
          <w:bCs/>
          <w:sz w:val="20"/>
          <w:szCs w:val="22"/>
          <w:rtl/>
        </w:rPr>
        <w:t>רמב"ם ממרים</w:t>
      </w:r>
      <w:r w:rsidRPr="00C33B15">
        <w:rPr>
          <w:rFonts w:hint="cs"/>
          <w:b/>
          <w:bCs/>
          <w:sz w:val="20"/>
          <w:szCs w:val="22"/>
          <w:rtl/>
        </w:rPr>
        <w:t>, ב' ח':</w:t>
      </w:r>
      <w:r w:rsidRPr="00C33B15">
        <w:rPr>
          <w:rFonts w:hint="cs"/>
          <w:sz w:val="20"/>
          <w:szCs w:val="22"/>
          <w:rtl/>
        </w:rPr>
        <w:t xml:space="preserve"> "</w:t>
      </w:r>
      <w:r w:rsidRPr="00C33B15">
        <w:rPr>
          <w:sz w:val="20"/>
          <w:szCs w:val="22"/>
          <w:rtl/>
        </w:rPr>
        <w:t>וכל בית דין שהתיר שני דברים אל ימהר להתיר דבר שלישי</w:t>
      </w:r>
      <w:r w:rsidRPr="00C33B15">
        <w:rPr>
          <w:rFonts w:hint="cs"/>
          <w:sz w:val="20"/>
          <w:szCs w:val="22"/>
          <w:rtl/>
        </w:rPr>
        <w:t>"</w:t>
      </w:r>
      <w:r w:rsidRPr="00C33B15">
        <w:rPr>
          <w:sz w:val="20"/>
          <w:szCs w:val="22"/>
          <w:rtl/>
        </w:rPr>
        <w:t>.</w:t>
      </w:r>
    </w:p>
    <w:p w:rsidR="00C0619B" w:rsidRPr="00C33B15" w:rsidRDefault="00C33B15" w:rsidP="00C33B15">
      <w:pPr>
        <w:pStyle w:val="a8"/>
        <w:numPr>
          <w:ilvl w:val="0"/>
          <w:numId w:val="1"/>
        </w:numPr>
        <w:ind w:left="360"/>
        <w:rPr>
          <w:sz w:val="20"/>
          <w:szCs w:val="22"/>
          <w:rtl/>
        </w:rPr>
      </w:pPr>
      <w:r w:rsidRPr="00C33B15">
        <w:rPr>
          <w:b/>
          <w:bCs/>
          <w:sz w:val="20"/>
          <w:szCs w:val="22"/>
          <w:rtl/>
        </w:rPr>
        <w:t xml:space="preserve">עלי תמר </w:t>
      </w:r>
      <w:r w:rsidRPr="00C33B15">
        <w:rPr>
          <w:rFonts w:hint="cs"/>
          <w:b/>
          <w:bCs/>
          <w:sz w:val="20"/>
          <w:szCs w:val="22"/>
          <w:rtl/>
        </w:rPr>
        <w:t>על הירושלמי, ראש השנה ב' א':</w:t>
      </w:r>
      <w:r w:rsidRPr="00C33B15">
        <w:rPr>
          <w:rFonts w:hint="cs"/>
          <w:sz w:val="20"/>
          <w:szCs w:val="22"/>
          <w:rtl/>
        </w:rPr>
        <w:t xml:space="preserve"> "</w:t>
      </w:r>
      <w:r w:rsidRPr="00C33B15">
        <w:rPr>
          <w:sz w:val="20"/>
          <w:szCs w:val="22"/>
          <w:rtl/>
        </w:rPr>
        <w:t>ונראה שהרמב"ם פירש שאין זה רק עצה טובה שלא ימהר להתיר דבר השלישי כשיש התנגדות לדעתו, ולכן אל ימהר עד שהציבור יוכח שכ"ה הנכון ולא יחרפוהו לקרותו בי"ד שריא או פלוני שריא. ור"י נשיאה לא נטה דעתו להתיר פת, מפני שחשש להתנגדות עד שידע שהעם רוצים בזה</w:t>
      </w:r>
      <w:r w:rsidRPr="00C33B15">
        <w:rPr>
          <w:rFonts w:hint="cs"/>
          <w:sz w:val="20"/>
          <w:szCs w:val="22"/>
          <w:rtl/>
        </w:rPr>
        <w:t>"</w:t>
      </w:r>
      <w:r w:rsidRPr="00C33B15">
        <w:rPr>
          <w:sz w:val="20"/>
          <w:szCs w:val="22"/>
          <w:rtl/>
        </w:rPr>
        <w:t>.</w:t>
      </w:r>
    </w:p>
    <w:p w:rsidR="00C33B15" w:rsidRPr="00C33B15" w:rsidRDefault="00C33B15" w:rsidP="00C33B15">
      <w:pPr>
        <w:pStyle w:val="a8"/>
        <w:numPr>
          <w:ilvl w:val="0"/>
          <w:numId w:val="1"/>
        </w:numPr>
        <w:ind w:left="360"/>
        <w:rPr>
          <w:sz w:val="20"/>
          <w:szCs w:val="22"/>
          <w:rtl/>
        </w:rPr>
      </w:pPr>
      <w:r w:rsidRPr="00C33B15">
        <w:rPr>
          <w:b/>
          <w:bCs/>
          <w:sz w:val="20"/>
          <w:szCs w:val="22"/>
          <w:rtl/>
        </w:rPr>
        <w:t>שו"ת אורח משפט</w:t>
      </w:r>
      <w:r w:rsidRPr="00C33B15">
        <w:rPr>
          <w:rFonts w:hint="cs"/>
          <w:b/>
          <w:bCs/>
          <w:sz w:val="20"/>
          <w:szCs w:val="22"/>
          <w:rtl/>
        </w:rPr>
        <w:t>, אורח חיים קי"ב:</w:t>
      </w:r>
      <w:r w:rsidRPr="00C33B15">
        <w:rPr>
          <w:rFonts w:hint="cs"/>
          <w:sz w:val="20"/>
          <w:szCs w:val="22"/>
          <w:rtl/>
        </w:rPr>
        <w:t xml:space="preserve"> "</w:t>
      </w:r>
      <w:r w:rsidRPr="00C33B15">
        <w:rPr>
          <w:sz w:val="20"/>
          <w:szCs w:val="22"/>
          <w:rtl/>
        </w:rPr>
        <w:t>ובודאי כונת הענין על דברים כאלה, שאין לבקש להחמיר במה שלא קבלנו ע"ז מרבותינו בדבר שבעצמו הוא סייג. ואין להוסיף חומרא על חומרא כ"א במה שמצאנו מפורש או בראיות ברורות, אבל בנ"ד שהכל הוא להיפוך, שהענין הוא מנהג ביסודו וזה הפרט המחודש אין בו שום מנהג וא"א שיהי' בו מנהג, וראיות ברורות נותנות עדותן להקל, אפי' אם יהיה אפשר להכנס באיזה דחוקים לדחות את הראיות, ג"כ אין לנו למשוך את הדבר להחמיר ולהיות מוסיפים על הדברים ששמענו. ועיקר הנטי' לחומרות יתירות, במה שיש דרך סלולה ע"פ דרכי התורה להקל אין זה מילתא דחסידותא כלל וכבר גנה ענין זה קדוש ד' הרח"ו ז"ל בהקדמתו לספר עץ - חיים, ודייק, שזוהי מדה של המתרחקים מפנימיות התורה רחמנא לצלן מהאי דעתא, וזה לשונו הקדוש: וכנגד כת חכמי הפשט, אותם אשר הם מואסים לעסוק בחכמת האמת הנקרא עץ חיים לחיי עולם, ועוסקים בסיפורים הפשטיים בפשוטן בלבד, ואומרים שאין בתורה אלא הפשט בלבד ח"ו, אשר היא נקרא עץ הדעת טוב ורע, עליהם אמרו: חכמים הם להרע ולהטיב לא ידעו, כי בסיבת היותם מואסים בעץ חיים אין הקדוש ברוך הוא עוזר אותם והם שוגים (או שונים) בפרטי עץ הדעת טוב ורע ומהפכים אותו לרע ומטמאים את הטהור ואוסרים את המותר ופוסלים את הכשר עכ"ל</w:t>
      </w:r>
      <w:r w:rsidRPr="00C33B15">
        <w:rPr>
          <w:rFonts w:hint="cs"/>
          <w:sz w:val="20"/>
          <w:szCs w:val="22"/>
          <w:rtl/>
        </w:rPr>
        <w:t>"</w:t>
      </w:r>
      <w:r w:rsidRPr="00C33B15">
        <w:rPr>
          <w:sz w:val="20"/>
          <w:szCs w:val="22"/>
          <w:rtl/>
        </w:rPr>
        <w:t>.</w:t>
      </w:r>
    </w:p>
    <w:p w:rsidR="00C0619B" w:rsidRPr="00C33B15" w:rsidRDefault="00C33B15" w:rsidP="00C33B15">
      <w:pPr>
        <w:pStyle w:val="a8"/>
        <w:numPr>
          <w:ilvl w:val="0"/>
          <w:numId w:val="1"/>
        </w:numPr>
        <w:ind w:left="360"/>
        <w:rPr>
          <w:sz w:val="20"/>
          <w:szCs w:val="22"/>
          <w:rtl/>
        </w:rPr>
      </w:pPr>
      <w:r w:rsidRPr="00C33B15">
        <w:rPr>
          <w:rFonts w:hint="cs"/>
          <w:b/>
          <w:bCs/>
          <w:sz w:val="20"/>
          <w:szCs w:val="22"/>
          <w:rtl/>
        </w:rPr>
        <w:t>הרב עובדיה יוסף, נאום בטקס הכתרת בנו הרב יצחק לראשון לציון, תשע"ג:</w:t>
      </w:r>
      <w:r w:rsidRPr="00C33B15">
        <w:rPr>
          <w:rFonts w:hint="cs"/>
          <w:sz w:val="20"/>
          <w:szCs w:val="22"/>
          <w:rtl/>
        </w:rPr>
        <w:t xml:space="preserve"> </w:t>
      </w:r>
      <w:r w:rsidR="00C0619B" w:rsidRPr="00C33B15">
        <w:rPr>
          <w:sz w:val="20"/>
          <w:szCs w:val="22"/>
          <w:rtl/>
        </w:rPr>
        <w:t>״עליך לרחם על העשוקים, על המסכנים. אישה שבאה דמעתה על לחייה, יש לה בעל לא טוב. מצער אותה. 'תעמוד לימין אביון' תשתדל לעזור כל מה שאתה יכול לעזור לה", אמר הרב, שהמשיל את היחס לנשים ליחס הראוי לכלל הציבור- "תראה, אתה יודע בספרים שלי כמה טרחתי, טיפחתי וריביתי דעות של פוסקים, למצוא דרכים להתיר את הנשים האלה. אתה צריך לעמוד לימינה כל מה שאתה יכול</w:t>
      </w:r>
      <w:r w:rsidRPr="00C33B15">
        <w:rPr>
          <w:rFonts w:hint="cs"/>
          <w:sz w:val="20"/>
          <w:szCs w:val="22"/>
          <w:rtl/>
        </w:rPr>
        <w:t xml:space="preserve"> ... </w:t>
      </w:r>
      <w:r w:rsidR="00C0619B" w:rsidRPr="00C33B15">
        <w:rPr>
          <w:sz w:val="20"/>
          <w:szCs w:val="22"/>
        </w:rPr>
        <w:br/>
      </w:r>
      <w:r w:rsidR="00C0619B" w:rsidRPr="00C33B15">
        <w:rPr>
          <w:sz w:val="20"/>
          <w:szCs w:val="22"/>
          <w:rtl/>
        </w:rPr>
        <w:t>אדם שהוא לא יודע הרבה תורה, כשיש אצלו ספק? – אסו</w:t>
      </w:r>
      <w:r w:rsidRPr="00C33B15">
        <w:rPr>
          <w:sz w:val="20"/>
          <w:szCs w:val="22"/>
          <w:rtl/>
        </w:rPr>
        <w:t>ר וגמרנו. כל דבר אסור אסור</w:t>
      </w:r>
      <w:r w:rsidRPr="00C33B15">
        <w:rPr>
          <w:rFonts w:hint="cs"/>
          <w:sz w:val="20"/>
          <w:szCs w:val="22"/>
          <w:rtl/>
        </w:rPr>
        <w:t xml:space="preserve">. </w:t>
      </w:r>
      <w:r w:rsidR="00C0619B" w:rsidRPr="00C33B15">
        <w:rPr>
          <w:sz w:val="20"/>
          <w:szCs w:val="22"/>
          <w:rtl/>
        </w:rPr>
        <w:t>זו לא דרכה של תורה. דרכה של תורה לחפש, למצוא דרכים לפתרונות, להקל על ישראל, לא להכביד עליהם. לחפש איסורים זה לא חכמה. 'כוח דהיתרא עדיף איך? על ידי ידע רחב שיש לו״</w:t>
      </w:r>
      <w:r w:rsidRPr="00C33B15">
        <w:rPr>
          <w:rFonts w:hint="cs"/>
          <w:sz w:val="20"/>
          <w:szCs w:val="22"/>
          <w:rtl/>
        </w:rPr>
        <w:t>.</w:t>
      </w:r>
    </w:p>
    <w:p w:rsidR="00973FED" w:rsidRPr="00C33B15" w:rsidRDefault="00973FED" w:rsidP="00C33B15">
      <w:pPr>
        <w:pStyle w:val="a8"/>
        <w:numPr>
          <w:ilvl w:val="0"/>
          <w:numId w:val="1"/>
        </w:numPr>
        <w:ind w:left="360"/>
        <w:rPr>
          <w:sz w:val="20"/>
          <w:szCs w:val="22"/>
          <w:rtl/>
        </w:rPr>
      </w:pPr>
      <w:r w:rsidRPr="00C33B15">
        <w:rPr>
          <w:rFonts w:hint="cs"/>
          <w:b/>
          <w:bCs/>
          <w:sz w:val="20"/>
          <w:szCs w:val="22"/>
          <w:rtl/>
        </w:rPr>
        <w:t>"</w:t>
      </w:r>
      <w:r w:rsidRPr="00C33B15">
        <w:rPr>
          <w:b/>
          <w:bCs/>
          <w:sz w:val="20"/>
          <w:szCs w:val="22"/>
          <w:rtl/>
        </w:rPr>
        <w:t>דף על הדף</w:t>
      </w:r>
      <w:r w:rsidRPr="00C33B15">
        <w:rPr>
          <w:rFonts w:hint="cs"/>
          <w:b/>
          <w:bCs/>
          <w:sz w:val="20"/>
          <w:szCs w:val="22"/>
          <w:rtl/>
        </w:rPr>
        <w:t>", עבודה זרה דף ל"ז:</w:t>
      </w:r>
      <w:r w:rsidRPr="00C33B15">
        <w:rPr>
          <w:rFonts w:hint="cs"/>
          <w:sz w:val="20"/>
          <w:szCs w:val="22"/>
          <w:rtl/>
        </w:rPr>
        <w:t xml:space="preserve"> "</w:t>
      </w:r>
      <w:r w:rsidRPr="00C33B15">
        <w:rPr>
          <w:sz w:val="20"/>
          <w:szCs w:val="22"/>
          <w:rtl/>
        </w:rPr>
        <w:t>בשו"ת שלמת חיים (סי' תתשפ</w:t>
      </w:r>
      <w:r w:rsidRPr="00C33B15">
        <w:rPr>
          <w:sz w:val="20"/>
          <w:szCs w:val="22"/>
          <w:rtl/>
        </w:rPr>
        <w:t>ח) נשאל הגה"צ רי"ח זוננפלד זצ"ל</w:t>
      </w:r>
      <w:r w:rsidRPr="00C33B15">
        <w:rPr>
          <w:rFonts w:hint="cs"/>
          <w:sz w:val="20"/>
          <w:szCs w:val="22"/>
          <w:rtl/>
        </w:rPr>
        <w:t xml:space="preserve"> </w:t>
      </w:r>
      <w:r w:rsidRPr="00C33B15">
        <w:rPr>
          <w:sz w:val="20"/>
          <w:szCs w:val="22"/>
          <w:rtl/>
        </w:rPr>
        <w:t>"בההיא דעבודה זרה שלא רצה רבי יהודה נשיאה להתיר שלשה דברים שלא יקראוהו בית דינא שריא, יש להבין דאדרבה הרי בעלמא אמרו לשבח כח דהתירא עדיף". והשיבו הגרי"ח זצ"ל: "כח דהתירא עדיף, אבל יש לו גבול שלא יעברנו" עכ"ל</w:t>
      </w:r>
      <w:r w:rsidR="00C33B15">
        <w:rPr>
          <w:rFonts w:hint="cs"/>
          <w:sz w:val="20"/>
          <w:szCs w:val="22"/>
          <w:rtl/>
        </w:rPr>
        <w:t>"</w:t>
      </w:r>
      <w:bookmarkStart w:id="0" w:name="_GoBack"/>
      <w:bookmarkEnd w:id="0"/>
      <w:r w:rsidRPr="00C33B15">
        <w:rPr>
          <w:sz w:val="20"/>
          <w:szCs w:val="22"/>
          <w:rtl/>
        </w:rPr>
        <w:t>.</w:t>
      </w:r>
    </w:p>
    <w:sectPr w:rsidR="00973FED" w:rsidRPr="00C33B15"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10" w:rsidRDefault="000C1510" w:rsidP="001250C8">
      <w:pPr>
        <w:spacing w:line="240" w:lineRule="auto"/>
      </w:pPr>
      <w:r>
        <w:separator/>
      </w:r>
    </w:p>
  </w:endnote>
  <w:endnote w:type="continuationSeparator" w:id="0">
    <w:p w:rsidR="000C1510" w:rsidRDefault="000C1510"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10" w:rsidRDefault="000C1510" w:rsidP="001250C8">
      <w:pPr>
        <w:spacing w:line="240" w:lineRule="auto"/>
      </w:pPr>
      <w:r>
        <w:separator/>
      </w:r>
    </w:p>
  </w:footnote>
  <w:footnote w:type="continuationSeparator" w:id="0">
    <w:p w:rsidR="000C1510" w:rsidRDefault="000C1510"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87273"/>
    <w:multiLevelType w:val="hybridMultilevel"/>
    <w:tmpl w:val="DE3C60DA"/>
    <w:lvl w:ilvl="0" w:tplc="087CF9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B3"/>
    <w:rsid w:val="000C1510"/>
    <w:rsid w:val="001250C8"/>
    <w:rsid w:val="00250E83"/>
    <w:rsid w:val="002E1DB7"/>
    <w:rsid w:val="00575A1E"/>
    <w:rsid w:val="00656813"/>
    <w:rsid w:val="006A29B5"/>
    <w:rsid w:val="00725AA1"/>
    <w:rsid w:val="008A0A58"/>
    <w:rsid w:val="00973FED"/>
    <w:rsid w:val="00A13A6B"/>
    <w:rsid w:val="00AE18B3"/>
    <w:rsid w:val="00B45A22"/>
    <w:rsid w:val="00C0619B"/>
    <w:rsid w:val="00C33B15"/>
    <w:rsid w:val="00C37174"/>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1A660-7D4A-4261-922B-B1BFBD18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C33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529</TotalTime>
  <Pages>1</Pages>
  <Words>610</Words>
  <Characters>3051</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2018-02-21T08:33:00Z</dcterms:created>
  <dcterms:modified xsi:type="dcterms:W3CDTF">2018-02-22T12:34:00Z</dcterms:modified>
</cp:coreProperties>
</file>