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3355E8" w:rsidRDefault="00B45A22" w:rsidP="006A29B5">
      <w:pPr>
        <w:rPr>
          <w:rFonts w:hint="cs"/>
          <w:b/>
          <w:bCs/>
          <w:sz w:val="20"/>
          <w:szCs w:val="22"/>
          <w:rtl/>
        </w:rPr>
      </w:pPr>
      <w:r w:rsidRPr="00B74F62">
        <w:rPr>
          <w:rFonts w:hint="cs"/>
          <w:sz w:val="20"/>
          <w:szCs w:val="22"/>
          <w:rtl/>
        </w:rPr>
        <w:t>בס"ד</w:t>
      </w:r>
      <w:r w:rsidR="001819BB" w:rsidRPr="00B74F62">
        <w:rPr>
          <w:rFonts w:hint="cs"/>
          <w:sz w:val="20"/>
          <w:szCs w:val="22"/>
          <w:rtl/>
        </w:rPr>
        <w:t xml:space="preserve">, </w:t>
      </w:r>
      <w:r w:rsidR="006C2CF1">
        <w:rPr>
          <w:rFonts w:hint="cs"/>
          <w:sz w:val="20"/>
          <w:szCs w:val="22"/>
          <w:rtl/>
        </w:rPr>
        <w:t>א' ד</w:t>
      </w:r>
      <w:r w:rsidR="001819BB" w:rsidRPr="00B74F62">
        <w:rPr>
          <w:rFonts w:hint="cs"/>
          <w:sz w:val="20"/>
          <w:szCs w:val="22"/>
          <w:rtl/>
        </w:rPr>
        <w:t>ראש השנה תש"ף</w:t>
      </w:r>
      <w:r w:rsidR="003355E8">
        <w:rPr>
          <w:sz w:val="20"/>
          <w:szCs w:val="22"/>
          <w:rtl/>
        </w:rPr>
        <w:tab/>
      </w:r>
      <w:r w:rsidR="003355E8">
        <w:rPr>
          <w:sz w:val="20"/>
          <w:szCs w:val="22"/>
          <w:rtl/>
        </w:rPr>
        <w:tab/>
      </w:r>
      <w:r w:rsidR="003355E8">
        <w:rPr>
          <w:sz w:val="20"/>
          <w:szCs w:val="22"/>
          <w:rtl/>
        </w:rPr>
        <w:tab/>
      </w:r>
      <w:r w:rsidR="003355E8">
        <w:rPr>
          <w:sz w:val="20"/>
          <w:szCs w:val="22"/>
          <w:rtl/>
        </w:rPr>
        <w:tab/>
      </w:r>
      <w:r w:rsidR="003355E8">
        <w:rPr>
          <w:sz w:val="20"/>
          <w:szCs w:val="22"/>
          <w:rtl/>
        </w:rPr>
        <w:tab/>
      </w:r>
      <w:r w:rsidR="003355E8">
        <w:rPr>
          <w:sz w:val="20"/>
          <w:szCs w:val="22"/>
          <w:rtl/>
        </w:rPr>
        <w:tab/>
      </w:r>
      <w:r w:rsidR="003355E8">
        <w:rPr>
          <w:rFonts w:hint="cs"/>
          <w:b/>
          <w:bCs/>
          <w:sz w:val="20"/>
          <w:szCs w:val="22"/>
          <w:rtl/>
        </w:rPr>
        <w:t>דף מקורות לעיון ולהעמקה, הרב אודי שורץ</w:t>
      </w:r>
      <w:bookmarkStart w:id="0" w:name="_GoBack"/>
      <w:bookmarkEnd w:id="0"/>
    </w:p>
    <w:p w:rsidR="001819BB" w:rsidRPr="00B74F62" w:rsidRDefault="001819BB" w:rsidP="00B74F62">
      <w:pPr>
        <w:pStyle w:val="a3"/>
        <w:rPr>
          <w:sz w:val="22"/>
          <w:szCs w:val="26"/>
          <w:rtl/>
        </w:rPr>
      </w:pPr>
      <w:r w:rsidRPr="00B74F62">
        <w:rPr>
          <w:rFonts w:hint="cs"/>
          <w:sz w:val="22"/>
          <w:szCs w:val="26"/>
          <w:rtl/>
        </w:rPr>
        <w:t xml:space="preserve">דף י"ג, קדושה </w:t>
      </w:r>
      <w:r w:rsidR="00B74F62" w:rsidRPr="00B74F62">
        <w:rPr>
          <w:rFonts w:hint="cs"/>
          <w:sz w:val="22"/>
          <w:szCs w:val="26"/>
          <w:rtl/>
        </w:rPr>
        <w:t xml:space="preserve">ובעלות </w:t>
      </w:r>
      <w:r w:rsidRPr="00B74F62">
        <w:rPr>
          <w:rFonts w:hint="cs"/>
          <w:sz w:val="22"/>
          <w:szCs w:val="26"/>
          <w:rtl/>
        </w:rPr>
        <w:t xml:space="preserve">בהקדש, </w:t>
      </w:r>
      <w:r w:rsidR="00B74F62" w:rsidRPr="00B74F62">
        <w:rPr>
          <w:rFonts w:hint="cs"/>
          <w:sz w:val="22"/>
          <w:szCs w:val="26"/>
          <w:rtl/>
        </w:rPr>
        <w:t xml:space="preserve">דין </w:t>
      </w:r>
      <w:r w:rsidRPr="00B74F62">
        <w:rPr>
          <w:rFonts w:hint="cs"/>
          <w:sz w:val="22"/>
          <w:szCs w:val="26"/>
          <w:rtl/>
        </w:rPr>
        <w:t>"חצר ההקדש"</w:t>
      </w:r>
      <w:r w:rsidR="00B74F62" w:rsidRPr="00B74F62">
        <w:rPr>
          <w:rFonts w:hint="cs"/>
          <w:sz w:val="22"/>
          <w:szCs w:val="26"/>
          <w:rtl/>
        </w:rPr>
        <w:t xml:space="preserve"> וסוד "מלא כל הארץ כבודו"</w:t>
      </w:r>
    </w:p>
    <w:p w:rsidR="001819BB" w:rsidRPr="00B74F62" w:rsidRDefault="001819BB" w:rsidP="001819BB">
      <w:pPr>
        <w:rPr>
          <w:b/>
          <w:bCs/>
          <w:sz w:val="20"/>
          <w:szCs w:val="22"/>
          <w:u w:val="single"/>
          <w:rtl/>
        </w:rPr>
      </w:pPr>
      <w:r w:rsidRPr="00B74F62">
        <w:rPr>
          <w:rFonts w:hint="cs"/>
          <w:b/>
          <w:bCs/>
          <w:sz w:val="20"/>
          <w:szCs w:val="22"/>
          <w:u w:val="single"/>
          <w:rtl/>
        </w:rPr>
        <w:t>א. מחלוקת הראשונים בדין חצר ההקדש</w:t>
      </w:r>
    </w:p>
    <w:p w:rsidR="002F7BC3" w:rsidRPr="00B74F62" w:rsidRDefault="001819BB" w:rsidP="00E34670">
      <w:pPr>
        <w:pStyle w:val="a8"/>
        <w:numPr>
          <w:ilvl w:val="0"/>
          <w:numId w:val="1"/>
        </w:numPr>
        <w:ind w:left="360"/>
        <w:rPr>
          <w:sz w:val="20"/>
          <w:szCs w:val="22"/>
          <w:rtl/>
        </w:rPr>
      </w:pPr>
      <w:r w:rsidRPr="00B74F62">
        <w:rPr>
          <w:b/>
          <w:bCs/>
          <w:sz w:val="20"/>
          <w:szCs w:val="22"/>
          <w:rtl/>
        </w:rPr>
        <w:t>מעילה</w:t>
      </w:r>
      <w:r w:rsidRPr="00B74F62">
        <w:rPr>
          <w:rFonts w:hint="cs"/>
          <w:b/>
          <w:bCs/>
          <w:sz w:val="20"/>
          <w:szCs w:val="22"/>
          <w:rtl/>
        </w:rPr>
        <w:t>,</w:t>
      </w:r>
      <w:r w:rsidRPr="00B74F62">
        <w:rPr>
          <w:b/>
          <w:bCs/>
          <w:sz w:val="20"/>
          <w:szCs w:val="22"/>
          <w:rtl/>
        </w:rPr>
        <w:t xml:space="preserve"> דף י</w:t>
      </w:r>
      <w:r w:rsidRPr="00B74F62">
        <w:rPr>
          <w:rFonts w:hint="cs"/>
          <w:b/>
          <w:bCs/>
          <w:sz w:val="20"/>
          <w:szCs w:val="22"/>
          <w:rtl/>
        </w:rPr>
        <w:t>"</w:t>
      </w:r>
      <w:r w:rsidRPr="00B74F62">
        <w:rPr>
          <w:b/>
          <w:bCs/>
          <w:sz w:val="20"/>
          <w:szCs w:val="22"/>
          <w:rtl/>
        </w:rPr>
        <w:t>ג</w:t>
      </w:r>
      <w:r w:rsidRPr="00B74F62">
        <w:rPr>
          <w:rFonts w:hint="cs"/>
          <w:b/>
          <w:bCs/>
          <w:sz w:val="20"/>
          <w:szCs w:val="22"/>
          <w:rtl/>
        </w:rPr>
        <w:t>:</w:t>
      </w:r>
      <w:r w:rsidRPr="00B74F62">
        <w:rPr>
          <w:rFonts w:hint="cs"/>
          <w:sz w:val="20"/>
          <w:szCs w:val="22"/>
          <w:rtl/>
        </w:rPr>
        <w:t xml:space="preserve"> "כל הראוי למזבח </w:t>
      </w:r>
      <w:r w:rsidRPr="00B74F62">
        <w:rPr>
          <w:sz w:val="20"/>
          <w:szCs w:val="22"/>
          <w:rtl/>
        </w:rPr>
        <w:t xml:space="preserve">ולא לבדק הבית, לבדק הבית ולא למזבח, לא למזבח </w:t>
      </w:r>
      <w:r w:rsidRPr="00B74F62">
        <w:rPr>
          <w:sz w:val="20"/>
          <w:szCs w:val="22"/>
          <w:rtl/>
        </w:rPr>
        <w:t>ולא לבדק הבית - מועלין בה. כיצד</w:t>
      </w:r>
      <w:r w:rsidRPr="00B74F62">
        <w:rPr>
          <w:rFonts w:hint="cs"/>
          <w:sz w:val="20"/>
          <w:szCs w:val="22"/>
          <w:rtl/>
        </w:rPr>
        <w:t>?</w:t>
      </w:r>
      <w:r w:rsidRPr="00B74F62">
        <w:rPr>
          <w:sz w:val="20"/>
          <w:szCs w:val="22"/>
          <w:rtl/>
        </w:rPr>
        <w:t xml:space="preserve"> הקדיש בור מלא מים, אשפות מלאות זבל, שובך מלא יונים, אילן מלא פירות, שדה מלאה עשבים - מועלין בהם ובמה שבתוכה. אבל אם הקדיש בור ואח"כ נתמלא מים, אשפה ואח"כ נתמלא זבל, שובך ואח"כ נתמלא יונים, אילן ואח"כ נתמלא פירות, שדה ואחר כך נתמלאה עשבים - מועלין בהם ואין מועלין במה שבתוכה</w:t>
      </w:r>
      <w:r w:rsidRPr="00B74F62">
        <w:rPr>
          <w:rFonts w:hint="cs"/>
          <w:sz w:val="20"/>
          <w:szCs w:val="22"/>
          <w:rtl/>
        </w:rPr>
        <w:t>"</w:t>
      </w:r>
      <w:r w:rsidRPr="00B74F62">
        <w:rPr>
          <w:sz w:val="20"/>
          <w:szCs w:val="22"/>
          <w:rtl/>
        </w:rPr>
        <w:t>.</w:t>
      </w:r>
    </w:p>
    <w:p w:rsidR="001819BB" w:rsidRPr="00B74F62" w:rsidRDefault="001819BB" w:rsidP="00E34670">
      <w:pPr>
        <w:pStyle w:val="a8"/>
        <w:numPr>
          <w:ilvl w:val="0"/>
          <w:numId w:val="1"/>
        </w:numPr>
        <w:ind w:left="360"/>
        <w:rPr>
          <w:sz w:val="20"/>
          <w:szCs w:val="22"/>
          <w:rtl/>
        </w:rPr>
      </w:pPr>
      <w:r w:rsidRPr="00B74F62">
        <w:rPr>
          <w:b/>
          <w:bCs/>
          <w:sz w:val="20"/>
          <w:szCs w:val="22"/>
          <w:rtl/>
        </w:rPr>
        <w:t xml:space="preserve">תוספות </w:t>
      </w:r>
      <w:r w:rsidRPr="00B74F62">
        <w:rPr>
          <w:rFonts w:hint="cs"/>
          <w:b/>
          <w:bCs/>
          <w:sz w:val="20"/>
          <w:szCs w:val="22"/>
          <w:rtl/>
        </w:rPr>
        <w:t>שם:</w:t>
      </w:r>
      <w:r w:rsidRPr="00B74F62">
        <w:rPr>
          <w:rFonts w:hint="cs"/>
          <w:sz w:val="20"/>
          <w:szCs w:val="22"/>
          <w:rtl/>
        </w:rPr>
        <w:t xml:space="preserve"> "</w:t>
      </w:r>
      <w:r w:rsidRPr="00B74F62">
        <w:rPr>
          <w:sz w:val="20"/>
          <w:szCs w:val="22"/>
          <w:rtl/>
        </w:rPr>
        <w:t>אבל אם הקדיש בור ואח"כ נתמלא כו' מועלין בהם אבל לא מה שבתוכו - ולא ביונים מטעם הפקר דחצר משום יד איתרבאי (גטין דף כא.) ואין יד להקדש וגבי אילן ונתמלא משום דאין מעילה בגידולי הקדש</w:t>
      </w:r>
      <w:r w:rsidRPr="00B74F62">
        <w:rPr>
          <w:rFonts w:hint="cs"/>
          <w:sz w:val="20"/>
          <w:szCs w:val="22"/>
          <w:rtl/>
        </w:rPr>
        <w:t>".</w:t>
      </w:r>
    </w:p>
    <w:p w:rsidR="001819BB" w:rsidRPr="00B74F62" w:rsidRDefault="001819BB" w:rsidP="00E34670">
      <w:pPr>
        <w:pStyle w:val="a8"/>
        <w:numPr>
          <w:ilvl w:val="0"/>
          <w:numId w:val="1"/>
        </w:numPr>
        <w:ind w:left="360"/>
        <w:rPr>
          <w:rFonts w:hint="cs"/>
          <w:szCs w:val="22"/>
          <w:rtl/>
        </w:rPr>
      </w:pPr>
      <w:r w:rsidRPr="00B74F62">
        <w:rPr>
          <w:rFonts w:hint="cs"/>
          <w:b/>
          <w:bCs/>
          <w:szCs w:val="22"/>
          <w:rtl/>
        </w:rPr>
        <w:t>רשב"ם</w:t>
      </w:r>
      <w:r w:rsidRPr="00B74F62">
        <w:rPr>
          <w:rFonts w:hint="cs"/>
          <w:b/>
          <w:bCs/>
          <w:szCs w:val="22"/>
          <w:rtl/>
        </w:rPr>
        <w:t xml:space="preserve"> בבא בתרא, דף ע"ט: </w:t>
      </w:r>
      <w:r w:rsidRPr="00B74F62">
        <w:rPr>
          <w:rFonts w:hint="cs"/>
          <w:szCs w:val="22"/>
          <w:rtl/>
        </w:rPr>
        <w:t>"</w:t>
      </w:r>
      <w:r w:rsidRPr="00B74F62">
        <w:rPr>
          <w:szCs w:val="22"/>
          <w:rtl/>
        </w:rPr>
        <w:t>דבבור ושובך מודי דלא אלים רשות הקדש לקנות מן רשותו כיד הדיוט דאילו בהדיוט אתרבאי רשות מואם המצא תמצא בידו (שמות כב) אבל לא בהקדש</w:t>
      </w:r>
      <w:r w:rsidRPr="00B74F62">
        <w:rPr>
          <w:rFonts w:hint="cs"/>
          <w:szCs w:val="22"/>
          <w:rtl/>
        </w:rPr>
        <w:t>".</w:t>
      </w:r>
    </w:p>
    <w:p w:rsidR="001819BB" w:rsidRPr="00B74F62" w:rsidRDefault="001819BB" w:rsidP="00E34670">
      <w:pPr>
        <w:pStyle w:val="a8"/>
        <w:numPr>
          <w:ilvl w:val="0"/>
          <w:numId w:val="1"/>
        </w:numPr>
        <w:ind w:left="360"/>
        <w:rPr>
          <w:rFonts w:hint="cs"/>
          <w:szCs w:val="22"/>
          <w:rtl/>
        </w:rPr>
      </w:pPr>
      <w:r w:rsidRPr="00B74F62">
        <w:rPr>
          <w:rFonts w:hint="cs"/>
          <w:b/>
          <w:bCs/>
          <w:szCs w:val="22"/>
          <w:rtl/>
        </w:rPr>
        <w:t>תוספות</w:t>
      </w:r>
      <w:r w:rsidRPr="00B74F62">
        <w:rPr>
          <w:rFonts w:hint="cs"/>
          <w:b/>
          <w:bCs/>
          <w:szCs w:val="22"/>
          <w:rtl/>
        </w:rPr>
        <w:t xml:space="preserve"> שם: </w:t>
      </w:r>
      <w:r w:rsidRPr="00B74F62">
        <w:rPr>
          <w:rFonts w:hint="cs"/>
          <w:szCs w:val="22"/>
          <w:rtl/>
        </w:rPr>
        <w:t>"</w:t>
      </w:r>
      <w:r w:rsidRPr="00B74F62">
        <w:rPr>
          <w:szCs w:val="22"/>
          <w:rtl/>
        </w:rPr>
        <w:t>ואין מועלין במה שבתוכו - דלא אמרינן שיקנה חצר הקדש כמו שקונה חצר הדיוט דחצר משום יד איתרבאי ולא מצינו יד להקדש</w:t>
      </w:r>
      <w:r w:rsidRPr="00B74F62">
        <w:rPr>
          <w:rFonts w:hint="cs"/>
          <w:szCs w:val="22"/>
          <w:rtl/>
        </w:rPr>
        <w:t xml:space="preserve">". </w:t>
      </w:r>
    </w:p>
    <w:p w:rsidR="001819BB" w:rsidRPr="00B74F62" w:rsidRDefault="001819BB" w:rsidP="00E34670">
      <w:pPr>
        <w:pStyle w:val="a8"/>
        <w:numPr>
          <w:ilvl w:val="0"/>
          <w:numId w:val="1"/>
        </w:numPr>
        <w:ind w:left="360"/>
        <w:rPr>
          <w:rFonts w:hint="cs"/>
          <w:szCs w:val="22"/>
          <w:rtl/>
        </w:rPr>
      </w:pPr>
      <w:r w:rsidRPr="00B74F62">
        <w:rPr>
          <w:rFonts w:hint="cs"/>
          <w:b/>
          <w:bCs/>
          <w:szCs w:val="22"/>
          <w:rtl/>
        </w:rPr>
        <w:t>רמב"ן, שם:</w:t>
      </w:r>
      <w:r w:rsidRPr="00B74F62">
        <w:rPr>
          <w:rFonts w:hint="cs"/>
          <w:szCs w:val="22"/>
          <w:rtl/>
        </w:rPr>
        <w:t xml:space="preserve"> </w:t>
      </w:r>
      <w:r w:rsidRPr="00B74F62">
        <w:rPr>
          <w:rFonts w:hint="cs"/>
          <w:szCs w:val="22"/>
          <w:rtl/>
        </w:rPr>
        <w:t>"</w:t>
      </w:r>
      <w:r w:rsidRPr="00B74F62">
        <w:rPr>
          <w:szCs w:val="22"/>
          <w:rtl/>
        </w:rPr>
        <w:t>והא דאמרינן מועלין בהן ואין מועלין במה שבתוכן. שמעתי משום דלא קניא חצר להקדש דמשום יד איתרבאי ואין יד להקדש, וכן פי' ה"ר שמואל ז"ל</w:t>
      </w:r>
      <w:r w:rsidRPr="00B74F62">
        <w:rPr>
          <w:rFonts w:hint="cs"/>
          <w:szCs w:val="22"/>
          <w:rtl/>
        </w:rPr>
        <w:t>.</w:t>
      </w:r>
      <w:r w:rsidRPr="00B74F62">
        <w:rPr>
          <w:szCs w:val="22"/>
          <w:rtl/>
        </w:rPr>
        <w:t xml:space="preserve"> ויש לומר אי נמי קניא ליה אין מעילה בזכיתה</w:t>
      </w:r>
      <w:r w:rsidRPr="00B74F62">
        <w:rPr>
          <w:rFonts w:hint="cs"/>
          <w:szCs w:val="22"/>
          <w:rtl/>
        </w:rPr>
        <w:t>".</w:t>
      </w:r>
    </w:p>
    <w:p w:rsidR="001819BB" w:rsidRPr="00B74F62" w:rsidRDefault="001819BB" w:rsidP="00E34670">
      <w:pPr>
        <w:rPr>
          <w:rFonts w:hint="cs"/>
          <w:szCs w:val="22"/>
          <w:rtl/>
        </w:rPr>
      </w:pPr>
    </w:p>
    <w:p w:rsidR="001819BB" w:rsidRPr="00B74F62" w:rsidRDefault="001819BB" w:rsidP="00E34670">
      <w:pPr>
        <w:rPr>
          <w:rFonts w:hint="cs"/>
          <w:b/>
          <w:bCs/>
          <w:szCs w:val="22"/>
          <w:u w:val="single"/>
          <w:rtl/>
        </w:rPr>
      </w:pPr>
      <w:r w:rsidRPr="00B74F62">
        <w:rPr>
          <w:rFonts w:hint="cs"/>
          <w:b/>
          <w:bCs/>
          <w:szCs w:val="22"/>
          <w:u w:val="single"/>
          <w:rtl/>
        </w:rPr>
        <w:t>ב. יסוד דין מעילה</w:t>
      </w:r>
    </w:p>
    <w:p w:rsidR="001819BB" w:rsidRPr="00B74F62" w:rsidRDefault="001819BB" w:rsidP="00E34670">
      <w:pPr>
        <w:pStyle w:val="a8"/>
        <w:numPr>
          <w:ilvl w:val="0"/>
          <w:numId w:val="1"/>
        </w:numPr>
        <w:ind w:left="360"/>
        <w:rPr>
          <w:rFonts w:hint="cs"/>
          <w:szCs w:val="22"/>
          <w:rtl/>
        </w:rPr>
      </w:pPr>
      <w:r w:rsidRPr="00B74F62">
        <w:rPr>
          <w:rFonts w:hint="cs"/>
          <w:b/>
          <w:bCs/>
          <w:szCs w:val="22"/>
          <w:rtl/>
        </w:rPr>
        <w:t>תוספות כתובות ל:, ד"ה זר:</w:t>
      </w:r>
      <w:r w:rsidRPr="00B74F62">
        <w:rPr>
          <w:rFonts w:hint="cs"/>
          <w:szCs w:val="22"/>
          <w:rtl/>
        </w:rPr>
        <w:t xml:space="preserve"> </w:t>
      </w:r>
      <w:r w:rsidRPr="00B74F62">
        <w:rPr>
          <w:rFonts w:hint="cs"/>
          <w:szCs w:val="22"/>
          <w:rtl/>
        </w:rPr>
        <w:t>"</w:t>
      </w:r>
      <w:r w:rsidRPr="00B74F62">
        <w:rPr>
          <w:szCs w:val="22"/>
          <w:rtl/>
        </w:rPr>
        <w:t>אבל קרן וחומש של הקדש אינו משום כפרה אלא משלם ממון שגזל הקדש</w:t>
      </w:r>
      <w:r w:rsidRPr="00B74F62">
        <w:rPr>
          <w:rFonts w:hint="cs"/>
          <w:szCs w:val="22"/>
          <w:rtl/>
        </w:rPr>
        <w:t>".</w:t>
      </w:r>
    </w:p>
    <w:p w:rsidR="001819BB" w:rsidRPr="00B74F62" w:rsidRDefault="001819BB" w:rsidP="00E34670">
      <w:pPr>
        <w:pStyle w:val="a8"/>
        <w:numPr>
          <w:ilvl w:val="0"/>
          <w:numId w:val="1"/>
        </w:numPr>
        <w:ind w:left="360"/>
        <w:rPr>
          <w:rFonts w:hint="cs"/>
          <w:szCs w:val="22"/>
          <w:rtl/>
        </w:rPr>
      </w:pPr>
      <w:r w:rsidRPr="00B74F62">
        <w:rPr>
          <w:rFonts w:hint="cs"/>
          <w:b/>
          <w:bCs/>
          <w:szCs w:val="22"/>
          <w:rtl/>
        </w:rPr>
        <w:t>מעילה, דף י"ח:</w:t>
      </w:r>
      <w:r w:rsidRPr="00B74F62">
        <w:rPr>
          <w:rFonts w:hint="cs"/>
          <w:szCs w:val="22"/>
          <w:rtl/>
        </w:rPr>
        <w:t xml:space="preserve"> </w:t>
      </w:r>
      <w:r w:rsidRPr="00B74F62">
        <w:rPr>
          <w:rFonts w:hint="cs"/>
          <w:szCs w:val="22"/>
          <w:rtl/>
        </w:rPr>
        <w:t>"</w:t>
      </w:r>
      <w:r w:rsidRPr="00B74F62">
        <w:rPr>
          <w:szCs w:val="22"/>
          <w:rtl/>
        </w:rPr>
        <w:t xml:space="preserve">כי תמעל מעל - אין מעל אלא שנוי, וכן הוא אומר </w:t>
      </w:r>
      <w:r w:rsidRPr="00B74F62">
        <w:rPr>
          <w:rFonts w:hint="cs"/>
          <w:szCs w:val="22"/>
          <w:rtl/>
        </w:rPr>
        <w:t>"</w:t>
      </w:r>
      <w:r w:rsidRPr="00B74F62">
        <w:rPr>
          <w:szCs w:val="22"/>
          <w:rtl/>
        </w:rPr>
        <w:t>איש איש כי תשטה אשתו ומעלה בו מעל</w:t>
      </w:r>
      <w:r w:rsidRPr="00B74F62">
        <w:rPr>
          <w:rFonts w:hint="cs"/>
          <w:szCs w:val="22"/>
          <w:rtl/>
        </w:rPr>
        <w:t>"</w:t>
      </w:r>
      <w:r w:rsidRPr="00B74F62">
        <w:rPr>
          <w:szCs w:val="22"/>
          <w:rtl/>
        </w:rPr>
        <w:t xml:space="preserve">, ואומר </w:t>
      </w:r>
      <w:r w:rsidRPr="00B74F62">
        <w:rPr>
          <w:rFonts w:hint="cs"/>
          <w:szCs w:val="22"/>
          <w:rtl/>
        </w:rPr>
        <w:t>"</w:t>
      </w:r>
      <w:r w:rsidRPr="00B74F62">
        <w:rPr>
          <w:szCs w:val="22"/>
          <w:rtl/>
        </w:rPr>
        <w:t>וימעלו בא</w:t>
      </w:r>
      <w:r w:rsidRPr="00B74F62">
        <w:rPr>
          <w:rFonts w:hint="cs"/>
          <w:szCs w:val="22"/>
          <w:rtl/>
        </w:rPr>
        <w:t>-</w:t>
      </w:r>
      <w:r w:rsidRPr="00B74F62">
        <w:rPr>
          <w:szCs w:val="22"/>
          <w:rtl/>
        </w:rPr>
        <w:t>להי</w:t>
      </w:r>
      <w:r w:rsidRPr="00B74F62">
        <w:rPr>
          <w:rFonts w:hint="cs"/>
          <w:szCs w:val="22"/>
          <w:rtl/>
        </w:rPr>
        <w:t xml:space="preserve"> </w:t>
      </w:r>
      <w:r w:rsidRPr="00B74F62">
        <w:rPr>
          <w:szCs w:val="22"/>
          <w:rtl/>
        </w:rPr>
        <w:t>אבותיהם ויזנו אחרי הבעלים</w:t>
      </w:r>
      <w:r w:rsidRPr="00B74F62">
        <w:rPr>
          <w:rFonts w:hint="cs"/>
          <w:szCs w:val="22"/>
          <w:rtl/>
        </w:rPr>
        <w:t>" "</w:t>
      </w:r>
      <w:r w:rsidRPr="00B74F62">
        <w:rPr>
          <w:szCs w:val="22"/>
          <w:rtl/>
        </w:rPr>
        <w:t>.</w:t>
      </w:r>
    </w:p>
    <w:p w:rsidR="001819BB" w:rsidRPr="00B74F62" w:rsidRDefault="001819BB" w:rsidP="00E34670">
      <w:pPr>
        <w:pStyle w:val="a8"/>
        <w:numPr>
          <w:ilvl w:val="0"/>
          <w:numId w:val="1"/>
        </w:numPr>
        <w:ind w:left="360"/>
        <w:rPr>
          <w:rFonts w:hint="cs"/>
          <w:szCs w:val="22"/>
          <w:rtl/>
        </w:rPr>
      </w:pPr>
      <w:r w:rsidRPr="00B74F62">
        <w:rPr>
          <w:rFonts w:hint="cs"/>
          <w:b/>
          <w:bCs/>
          <w:szCs w:val="22"/>
          <w:rtl/>
        </w:rPr>
        <w:t>קובץ שיעורים בבא בתרא, אות רצ"ט:</w:t>
      </w:r>
      <w:r w:rsidRPr="00B74F62">
        <w:rPr>
          <w:rFonts w:hint="cs"/>
          <w:szCs w:val="22"/>
          <w:rtl/>
        </w:rPr>
        <w:t xml:space="preserve"> </w:t>
      </w:r>
      <w:r w:rsidRPr="00B74F62">
        <w:rPr>
          <w:rFonts w:hint="cs"/>
          <w:szCs w:val="22"/>
          <w:rtl/>
        </w:rPr>
        <w:t>"והנה לכאורה נראה דמחלוקת תוספות והרמב"ן תלוי בזה אם חיוב מעילה הוא משום גזל ממון גבוה, או שהוא משום קדושה ואיסור הנאה. דאי נ</w:t>
      </w:r>
      <w:r w:rsidRPr="00B74F62">
        <w:rPr>
          <w:rFonts w:hint="cs"/>
          <w:szCs w:val="22"/>
          <w:rtl/>
        </w:rPr>
        <w:t>ימא דמשום גזל הוא, אין צורך לקדו</w:t>
      </w:r>
      <w:r w:rsidRPr="00B74F62">
        <w:rPr>
          <w:rFonts w:hint="cs"/>
          <w:szCs w:val="22"/>
          <w:rtl/>
        </w:rPr>
        <w:t xml:space="preserve">שת פה, כיון דחצר קונה להקדש והוי ממון גבוה ראוי למעול בו. אבל אי נימא דחיוב מעילה אינו בשביל גזל ממון אלא מפני חילול הקדושה, אז יש לחלק בין קדושת פה לקדושה הבאה מאליה". </w:t>
      </w:r>
    </w:p>
    <w:p w:rsidR="001819BB" w:rsidRPr="00B74F62" w:rsidRDefault="001819BB" w:rsidP="00E34670">
      <w:pPr>
        <w:pStyle w:val="a8"/>
        <w:numPr>
          <w:ilvl w:val="0"/>
          <w:numId w:val="1"/>
        </w:numPr>
        <w:ind w:left="360"/>
        <w:rPr>
          <w:szCs w:val="22"/>
          <w:rtl/>
        </w:rPr>
      </w:pPr>
      <w:r w:rsidRPr="00B74F62">
        <w:rPr>
          <w:rFonts w:hint="cs"/>
          <w:b/>
          <w:bCs/>
          <w:szCs w:val="22"/>
          <w:rtl/>
        </w:rPr>
        <w:t>ריטב"א בבא בתרא</w:t>
      </w:r>
      <w:r w:rsidRPr="00B74F62">
        <w:rPr>
          <w:rFonts w:hint="cs"/>
          <w:b/>
          <w:bCs/>
          <w:szCs w:val="22"/>
          <w:rtl/>
        </w:rPr>
        <w:t xml:space="preserve">, שם: </w:t>
      </w:r>
      <w:r w:rsidRPr="00B74F62">
        <w:rPr>
          <w:rFonts w:hint="cs"/>
          <w:szCs w:val="22"/>
          <w:rtl/>
        </w:rPr>
        <w:t>"</w:t>
      </w:r>
      <w:r w:rsidRPr="00B74F62">
        <w:rPr>
          <w:szCs w:val="22"/>
          <w:rtl/>
        </w:rPr>
        <w:t>עוד פירשו בשם ר"י ז"ל שאין מעילה אלא בקדושת פה ולא בדבר הקדוש מאליו</w:t>
      </w:r>
      <w:r w:rsidRPr="00B74F62">
        <w:rPr>
          <w:rFonts w:hint="cs"/>
          <w:szCs w:val="22"/>
          <w:rtl/>
        </w:rPr>
        <w:t>,</w:t>
      </w:r>
      <w:r w:rsidRPr="00B74F62">
        <w:rPr>
          <w:szCs w:val="22"/>
          <w:rtl/>
        </w:rPr>
        <w:t xml:space="preserve"> דמעילה גבי קדושת פה כתיבא</w:t>
      </w:r>
      <w:r w:rsidRPr="00B74F62">
        <w:rPr>
          <w:rFonts w:hint="cs"/>
          <w:szCs w:val="22"/>
          <w:rtl/>
        </w:rPr>
        <w:t>".</w:t>
      </w:r>
    </w:p>
    <w:p w:rsidR="008D0707" w:rsidRPr="00B74F62" w:rsidRDefault="005A6F17" w:rsidP="00E34670">
      <w:pPr>
        <w:pStyle w:val="a8"/>
        <w:numPr>
          <w:ilvl w:val="0"/>
          <w:numId w:val="1"/>
        </w:numPr>
        <w:ind w:left="360"/>
        <w:rPr>
          <w:rFonts w:hint="cs"/>
          <w:sz w:val="18"/>
          <w:szCs w:val="18"/>
          <w:rtl/>
        </w:rPr>
      </w:pPr>
      <w:r w:rsidRPr="00B74F62">
        <w:rPr>
          <w:b/>
          <w:bCs/>
          <w:sz w:val="20"/>
          <w:szCs w:val="22"/>
          <w:rtl/>
        </w:rPr>
        <w:t>קצות החושן</w:t>
      </w:r>
      <w:r w:rsidRPr="00B74F62">
        <w:rPr>
          <w:rFonts w:hint="cs"/>
          <w:b/>
          <w:bCs/>
          <w:sz w:val="20"/>
          <w:szCs w:val="22"/>
          <w:rtl/>
        </w:rPr>
        <w:t>, סימן ר' ס"ק א':</w:t>
      </w:r>
      <w:r w:rsidRPr="00B74F62">
        <w:rPr>
          <w:rFonts w:hint="cs"/>
          <w:sz w:val="20"/>
          <w:szCs w:val="22"/>
          <w:rtl/>
        </w:rPr>
        <w:t xml:space="preserve"> "</w:t>
      </w:r>
      <w:r w:rsidRPr="00B74F62">
        <w:rPr>
          <w:sz w:val="20"/>
          <w:szCs w:val="22"/>
          <w:rtl/>
        </w:rPr>
        <w:t>כתב באגודה ריש מעילה ז"ל, מצא דבר בבית הכנסת זכה בו ולא אמרינן דחצר בית הכנסת קונה להקדש, דחצר קונה מכח יד ואין יד להקדש, והובא במגן אברהם הלכות בית הכנסת (סימן קנ"ד סקכ"ג). ומקור הדין בפרק הספינה</w:t>
      </w:r>
      <w:r w:rsidRPr="00B74F62">
        <w:rPr>
          <w:rFonts w:hint="cs"/>
          <w:sz w:val="20"/>
          <w:szCs w:val="22"/>
          <w:rtl/>
        </w:rPr>
        <w:t xml:space="preserve"> ... </w:t>
      </w:r>
      <w:r w:rsidRPr="00B74F62">
        <w:rPr>
          <w:sz w:val="20"/>
          <w:szCs w:val="22"/>
          <w:rtl/>
        </w:rPr>
        <w:t>והרמב"ן בחידושיו שם פרק הספינה כתב ז"ל, והא דאמרינן אין מועלין במה שבתוכן, שמעתי משום דלא קניא חצר להקדש דמשום יד אתרבי ואין יד להקדש, וכ"כ הר"ר שמואל ז"ל. (וז"ל) [ויש לומר] א"נ קני לה אין מעילה בזכייתה עכ"ל. ונראה טעמא משום דאין מעילה אלא בהקדש שהוקדש ע"י אדם, אבל זה שאינו קדוש ע"י דעת אחרת מקנה אלא ממילא זכי לה הקדש בתורת חצר אין מועלין בו, ותדע דהא אפילו בקדשי עכו"ם פליגי תנאי בזבחים דף מ"ה (ע"א) אם מועלין בו, ואף על גב דודאי קני לה הקדש, וזה שהוקדש ממילא שלא ע"י אדם אין מועלין אליביה דכ"ע.</w:t>
      </w:r>
      <w:r w:rsidRPr="00B74F62">
        <w:rPr>
          <w:rFonts w:hint="cs"/>
          <w:sz w:val="20"/>
          <w:szCs w:val="22"/>
          <w:rtl/>
        </w:rPr>
        <w:t xml:space="preserve"> </w:t>
      </w:r>
      <w:r w:rsidRPr="00B74F62">
        <w:rPr>
          <w:sz w:val="20"/>
          <w:szCs w:val="22"/>
          <w:rtl/>
        </w:rPr>
        <w:t>ולפי"ז מצא מציאה בבית הכנסת אכתי יש לחוש לדעת הרמב"ן דיש חצר להקדש לזכות בו</w:t>
      </w:r>
      <w:r w:rsidRPr="00B74F62">
        <w:rPr>
          <w:rFonts w:hint="cs"/>
          <w:sz w:val="20"/>
          <w:szCs w:val="22"/>
          <w:rtl/>
        </w:rPr>
        <w:t xml:space="preserve"> ... </w:t>
      </w:r>
      <w:r w:rsidRPr="00B74F62">
        <w:rPr>
          <w:sz w:val="20"/>
          <w:szCs w:val="22"/>
          <w:rtl/>
        </w:rPr>
        <w:t>אולם בעיקר דברי אגודה תמיהא לי דכתב בחצר בית הכנסת דאין יד להקדש, דהא בית הכנסת אין לו דין הקדש אלא הרי הוא כמו חצר השותפין</w:t>
      </w:r>
      <w:r w:rsidRPr="00B74F62">
        <w:rPr>
          <w:rFonts w:hint="cs"/>
          <w:sz w:val="20"/>
          <w:szCs w:val="22"/>
          <w:rtl/>
        </w:rPr>
        <w:t>".</w:t>
      </w:r>
    </w:p>
    <w:p w:rsidR="001819BB" w:rsidRPr="00B74F62" w:rsidRDefault="001819BB" w:rsidP="00E34670">
      <w:pPr>
        <w:rPr>
          <w:rFonts w:hint="cs"/>
          <w:sz w:val="18"/>
          <w:szCs w:val="18"/>
          <w:rtl/>
        </w:rPr>
      </w:pPr>
    </w:p>
    <w:p w:rsidR="001819BB" w:rsidRPr="00B74F62" w:rsidRDefault="008D0707" w:rsidP="00E34670">
      <w:pPr>
        <w:rPr>
          <w:rFonts w:hint="cs"/>
          <w:b/>
          <w:bCs/>
          <w:szCs w:val="22"/>
          <w:u w:val="single"/>
          <w:rtl/>
        </w:rPr>
      </w:pPr>
      <w:r w:rsidRPr="00B74F62">
        <w:rPr>
          <w:rFonts w:hint="cs"/>
          <w:b/>
          <w:bCs/>
          <w:szCs w:val="22"/>
          <w:u w:val="single"/>
          <w:rtl/>
        </w:rPr>
        <w:t>ג</w:t>
      </w:r>
      <w:r w:rsidR="001819BB" w:rsidRPr="00B74F62">
        <w:rPr>
          <w:rFonts w:hint="cs"/>
          <w:b/>
          <w:bCs/>
          <w:szCs w:val="22"/>
          <w:u w:val="single"/>
          <w:rtl/>
        </w:rPr>
        <w:t>.</w:t>
      </w:r>
      <w:r w:rsidRPr="00B74F62">
        <w:rPr>
          <w:rFonts w:hint="cs"/>
          <w:b/>
          <w:bCs/>
          <w:szCs w:val="22"/>
          <w:u w:val="single"/>
          <w:rtl/>
        </w:rPr>
        <w:t xml:space="preserve"> יסוד</w:t>
      </w:r>
      <w:r w:rsidR="001819BB" w:rsidRPr="00B74F62">
        <w:rPr>
          <w:rFonts w:hint="cs"/>
          <w:b/>
          <w:bCs/>
          <w:szCs w:val="22"/>
          <w:u w:val="single"/>
          <w:rtl/>
        </w:rPr>
        <w:t xml:space="preserve"> קניין חצר</w:t>
      </w:r>
    </w:p>
    <w:p w:rsidR="001819BB" w:rsidRPr="00B74F62" w:rsidRDefault="001819BB" w:rsidP="00E34670">
      <w:pPr>
        <w:pStyle w:val="a8"/>
        <w:numPr>
          <w:ilvl w:val="0"/>
          <w:numId w:val="1"/>
        </w:numPr>
        <w:ind w:left="360"/>
        <w:rPr>
          <w:rFonts w:hint="cs"/>
          <w:szCs w:val="22"/>
          <w:rtl/>
        </w:rPr>
      </w:pPr>
      <w:r w:rsidRPr="00B74F62">
        <w:rPr>
          <w:rFonts w:hint="cs"/>
          <w:b/>
          <w:bCs/>
          <w:szCs w:val="22"/>
          <w:rtl/>
        </w:rPr>
        <w:t>בבא מציעא, דף י':</w:t>
      </w:r>
      <w:r w:rsidR="008D0707" w:rsidRPr="00B74F62">
        <w:rPr>
          <w:rFonts w:hint="cs"/>
          <w:szCs w:val="22"/>
          <w:rtl/>
        </w:rPr>
        <w:t xml:space="preserve"> </w:t>
      </w:r>
      <w:r w:rsidRPr="00B74F62">
        <w:rPr>
          <w:rFonts w:hint="cs"/>
          <w:szCs w:val="22"/>
          <w:rtl/>
        </w:rPr>
        <w:t>"</w:t>
      </w:r>
      <w:r w:rsidRPr="00B74F62">
        <w:rPr>
          <w:rFonts w:hint="eastAsia"/>
          <w:szCs w:val="22"/>
          <w:rtl/>
        </w:rPr>
        <w:t>מר</w:t>
      </w:r>
      <w:r w:rsidRPr="00B74F62">
        <w:rPr>
          <w:szCs w:val="22"/>
          <w:rtl/>
        </w:rPr>
        <w:t xml:space="preserve"> </w:t>
      </w:r>
      <w:r w:rsidRPr="00B74F62">
        <w:rPr>
          <w:rFonts w:hint="eastAsia"/>
          <w:szCs w:val="22"/>
          <w:rtl/>
        </w:rPr>
        <w:t>סבר</w:t>
      </w:r>
      <w:r w:rsidRPr="00B74F62">
        <w:rPr>
          <w:szCs w:val="22"/>
          <w:rtl/>
        </w:rPr>
        <w:t xml:space="preserve">: </w:t>
      </w:r>
      <w:r w:rsidRPr="00B74F62">
        <w:rPr>
          <w:rFonts w:hint="eastAsia"/>
          <w:szCs w:val="22"/>
          <w:rtl/>
        </w:rPr>
        <w:t>חצר</w:t>
      </w:r>
      <w:r w:rsidRPr="00B74F62">
        <w:rPr>
          <w:szCs w:val="22"/>
          <w:rtl/>
        </w:rPr>
        <w:t xml:space="preserve"> </w:t>
      </w:r>
      <w:r w:rsidRPr="00B74F62">
        <w:rPr>
          <w:rFonts w:hint="eastAsia"/>
          <w:szCs w:val="22"/>
          <w:rtl/>
        </w:rPr>
        <w:t>משום</w:t>
      </w:r>
      <w:r w:rsidRPr="00B74F62">
        <w:rPr>
          <w:szCs w:val="22"/>
          <w:rtl/>
        </w:rPr>
        <w:t xml:space="preserve"> </w:t>
      </w:r>
      <w:r w:rsidRPr="00B74F62">
        <w:rPr>
          <w:rFonts w:hint="eastAsia"/>
          <w:szCs w:val="22"/>
          <w:rtl/>
        </w:rPr>
        <w:t>ידה</w:t>
      </w:r>
      <w:r w:rsidRPr="00B74F62">
        <w:rPr>
          <w:szCs w:val="22"/>
          <w:rtl/>
        </w:rPr>
        <w:t xml:space="preserve"> </w:t>
      </w:r>
      <w:r w:rsidRPr="00B74F62">
        <w:rPr>
          <w:rFonts w:hint="eastAsia"/>
          <w:szCs w:val="22"/>
          <w:rtl/>
        </w:rPr>
        <w:t>איתרבאי</w:t>
      </w:r>
      <w:r w:rsidRPr="00B74F62">
        <w:rPr>
          <w:rFonts w:hint="cs"/>
          <w:szCs w:val="22"/>
          <w:rtl/>
        </w:rPr>
        <w:t xml:space="preserve"> ... </w:t>
      </w:r>
      <w:r w:rsidRPr="00B74F62">
        <w:rPr>
          <w:rFonts w:hint="eastAsia"/>
          <w:szCs w:val="22"/>
          <w:rtl/>
        </w:rPr>
        <w:t>ומר</w:t>
      </w:r>
      <w:r w:rsidRPr="00B74F62">
        <w:rPr>
          <w:szCs w:val="22"/>
          <w:rtl/>
        </w:rPr>
        <w:t xml:space="preserve"> </w:t>
      </w:r>
      <w:r w:rsidRPr="00B74F62">
        <w:rPr>
          <w:rFonts w:hint="eastAsia"/>
          <w:szCs w:val="22"/>
          <w:rtl/>
        </w:rPr>
        <w:t>סבר</w:t>
      </w:r>
      <w:r w:rsidRPr="00B74F62">
        <w:rPr>
          <w:szCs w:val="22"/>
          <w:rtl/>
        </w:rPr>
        <w:t xml:space="preserve">: </w:t>
      </w:r>
      <w:r w:rsidRPr="00B74F62">
        <w:rPr>
          <w:rFonts w:hint="eastAsia"/>
          <w:szCs w:val="22"/>
          <w:rtl/>
        </w:rPr>
        <w:t>חצר</w:t>
      </w:r>
      <w:r w:rsidRPr="00B74F62">
        <w:rPr>
          <w:szCs w:val="22"/>
          <w:rtl/>
        </w:rPr>
        <w:t xml:space="preserve"> </w:t>
      </w:r>
      <w:r w:rsidRPr="00B74F62">
        <w:rPr>
          <w:rFonts w:hint="eastAsia"/>
          <w:szCs w:val="22"/>
          <w:rtl/>
        </w:rPr>
        <w:t>משום</w:t>
      </w:r>
      <w:r w:rsidRPr="00B74F62">
        <w:rPr>
          <w:szCs w:val="22"/>
          <w:rtl/>
        </w:rPr>
        <w:t xml:space="preserve"> </w:t>
      </w:r>
      <w:r w:rsidRPr="00B74F62">
        <w:rPr>
          <w:rFonts w:hint="eastAsia"/>
          <w:szCs w:val="22"/>
          <w:rtl/>
        </w:rPr>
        <w:t>שליחות</w:t>
      </w:r>
      <w:r w:rsidRPr="00B74F62">
        <w:rPr>
          <w:szCs w:val="22"/>
          <w:rtl/>
        </w:rPr>
        <w:t xml:space="preserve"> </w:t>
      </w:r>
      <w:r w:rsidRPr="00B74F62">
        <w:rPr>
          <w:rFonts w:hint="eastAsia"/>
          <w:szCs w:val="22"/>
          <w:rtl/>
        </w:rPr>
        <w:t>איתרבאי</w:t>
      </w:r>
      <w:r w:rsidRPr="00B74F62">
        <w:rPr>
          <w:rFonts w:hint="cs"/>
          <w:szCs w:val="22"/>
          <w:rtl/>
        </w:rPr>
        <w:t>".</w:t>
      </w:r>
    </w:p>
    <w:p w:rsidR="001819BB" w:rsidRPr="00B74F62" w:rsidRDefault="001819BB" w:rsidP="00E34670">
      <w:pPr>
        <w:pStyle w:val="a8"/>
        <w:numPr>
          <w:ilvl w:val="0"/>
          <w:numId w:val="1"/>
        </w:numPr>
        <w:ind w:left="360"/>
        <w:rPr>
          <w:sz w:val="18"/>
          <w:szCs w:val="18"/>
          <w:rtl/>
        </w:rPr>
      </w:pPr>
      <w:r w:rsidRPr="00B74F62">
        <w:rPr>
          <w:rFonts w:hint="cs"/>
          <w:b/>
          <w:bCs/>
          <w:szCs w:val="22"/>
          <w:rtl/>
        </w:rPr>
        <w:t>שו"ת דבר אברהם (רבי אברהם מקובנה), חלק א' סימן כ"א אות כ"ג:</w:t>
      </w:r>
      <w:r w:rsidR="008D0707" w:rsidRPr="00B74F62">
        <w:rPr>
          <w:rFonts w:hint="cs"/>
          <w:szCs w:val="22"/>
          <w:rtl/>
        </w:rPr>
        <w:t xml:space="preserve"> </w:t>
      </w:r>
      <w:r w:rsidRPr="00B74F62">
        <w:rPr>
          <w:rFonts w:hint="cs"/>
          <w:szCs w:val="22"/>
          <w:rtl/>
        </w:rPr>
        <w:t>"</w:t>
      </w:r>
      <w:r w:rsidRPr="00B74F62">
        <w:rPr>
          <w:szCs w:val="22"/>
          <w:rtl/>
        </w:rPr>
        <w:t>ואולם עניינו של דבר הוא דעיקר מעשה הקנין שבחצר בודאי הוא כעין יד משום דכל דבר שתופס בו קנין שנכנס לאיזה רשות שיהיה הרשות קונה אותו במה שהוא ברשותו, ובהא כו"ע לא פליגי דמעשה הקנין שבחצר משום יד הוא אלא דפלוגתייהו היא ביחס של החצר אל הבעלים, ר"ל דאף שנעשה מעשה קנין ע"י החצר מ"מ איזו שייכות היא לבעלים לזכות בו ע"י רשות החצר</w:t>
      </w:r>
      <w:r w:rsidRPr="00B74F62">
        <w:rPr>
          <w:rFonts w:hint="cs"/>
          <w:szCs w:val="22"/>
          <w:rtl/>
        </w:rPr>
        <w:t xml:space="preserve"> ... ו</w:t>
      </w:r>
      <w:r w:rsidRPr="00B74F62">
        <w:rPr>
          <w:szCs w:val="22"/>
          <w:rtl/>
        </w:rPr>
        <w:t>בזה ס</w:t>
      </w:r>
      <w:r w:rsidRPr="00B74F62">
        <w:rPr>
          <w:rFonts w:hint="cs"/>
          <w:szCs w:val="22"/>
          <w:rtl/>
        </w:rPr>
        <w:t xml:space="preserve">בירא ליה </w:t>
      </w:r>
      <w:r w:rsidRPr="00B74F62">
        <w:rPr>
          <w:szCs w:val="22"/>
          <w:rtl/>
        </w:rPr>
        <w:t>למ"ד משום יד אתרבאי דהוי כיד אריכתא דבעלים</w:t>
      </w:r>
      <w:r w:rsidRPr="00B74F62">
        <w:rPr>
          <w:rFonts w:hint="cs"/>
          <w:szCs w:val="22"/>
          <w:rtl/>
        </w:rPr>
        <w:t>,</w:t>
      </w:r>
      <w:r w:rsidRPr="00B74F62">
        <w:rPr>
          <w:szCs w:val="22"/>
          <w:rtl/>
        </w:rPr>
        <w:t xml:space="preserve"> והלכך זכי איהו</w:t>
      </w:r>
      <w:r w:rsidRPr="00B74F62">
        <w:rPr>
          <w:rFonts w:hint="cs"/>
          <w:szCs w:val="22"/>
          <w:rtl/>
        </w:rPr>
        <w:t>;</w:t>
      </w:r>
      <w:r w:rsidRPr="00B74F62">
        <w:rPr>
          <w:szCs w:val="22"/>
          <w:rtl/>
        </w:rPr>
        <w:t xml:space="preserve"> ולמ"ד משום שליחות אתרבאי אין זה יד הבעלים אלא יד בפ"ע כיד שלוחו דזכיא ליה נמי</w:t>
      </w:r>
      <w:r w:rsidRPr="00B74F62">
        <w:rPr>
          <w:rFonts w:hint="cs"/>
          <w:szCs w:val="22"/>
          <w:rtl/>
        </w:rPr>
        <w:t>"</w:t>
      </w:r>
      <w:r w:rsidRPr="00B74F62">
        <w:rPr>
          <w:szCs w:val="22"/>
          <w:rtl/>
        </w:rPr>
        <w:t>.</w:t>
      </w:r>
    </w:p>
    <w:p w:rsidR="008D0707" w:rsidRPr="00B74F62" w:rsidRDefault="008D0707" w:rsidP="00E34670">
      <w:pPr>
        <w:pStyle w:val="a8"/>
        <w:numPr>
          <w:ilvl w:val="0"/>
          <w:numId w:val="1"/>
        </w:numPr>
        <w:ind w:left="360"/>
        <w:rPr>
          <w:sz w:val="20"/>
          <w:szCs w:val="22"/>
          <w:rtl/>
        </w:rPr>
      </w:pPr>
      <w:r w:rsidRPr="00B74F62">
        <w:rPr>
          <w:rFonts w:hint="cs"/>
          <w:b/>
          <w:bCs/>
          <w:sz w:val="20"/>
          <w:szCs w:val="22"/>
          <w:rtl/>
        </w:rPr>
        <w:t xml:space="preserve">קצות החושן, שם: </w:t>
      </w:r>
      <w:r w:rsidRPr="00B74F62">
        <w:rPr>
          <w:rFonts w:hint="cs"/>
          <w:sz w:val="20"/>
          <w:szCs w:val="22"/>
          <w:rtl/>
        </w:rPr>
        <w:t>"</w:t>
      </w:r>
      <w:r w:rsidRPr="00B74F62">
        <w:rPr>
          <w:sz w:val="20"/>
          <w:szCs w:val="22"/>
          <w:rtl/>
        </w:rPr>
        <w:t xml:space="preserve">אמנם דברי התוס' נראין תמוהין כאשר עמד עליהן אא"ז בתוי"ט פ"ג דמעילה (משנה ו') ע"ש דכתב עלה וז"ל, ותמיהני דהתם מסקינן בגמ' פ"ק דמציעא (יב, א) דאע"ג דחצר משום יד אתרבי לא גרע משליחות, ולמה לא יהיה שליחות להקדש </w:t>
      </w:r>
      <w:r w:rsidRPr="00B74F62">
        <w:rPr>
          <w:sz w:val="20"/>
          <w:szCs w:val="22"/>
          <w:rtl/>
        </w:rPr>
        <w:lastRenderedPageBreak/>
        <w:t>דהא הני כהני שלוחי שמים כמ"ש במשנה ג' פ"ד מנדרים (לה, ב) וכשהגזבר עומד בצד כל הני דהשתא הוי חצר המשתמרת תקני להקדש, ודוחק לומר דגזבר גופיה שליח דהקדש הוא ואין שליח עושה שליח וצ"ע עכ"ל</w:t>
      </w:r>
      <w:r w:rsidRPr="00B74F62">
        <w:rPr>
          <w:rFonts w:hint="cs"/>
          <w:sz w:val="20"/>
          <w:szCs w:val="22"/>
          <w:rtl/>
        </w:rPr>
        <w:t xml:space="preserve"> ... </w:t>
      </w:r>
    </w:p>
    <w:p w:rsidR="008D0707" w:rsidRPr="00B74F62" w:rsidRDefault="008D0707" w:rsidP="00E34670">
      <w:pPr>
        <w:pStyle w:val="a8"/>
        <w:ind w:left="360"/>
        <w:rPr>
          <w:rFonts w:hint="cs"/>
          <w:sz w:val="18"/>
          <w:szCs w:val="18"/>
          <w:rtl/>
        </w:rPr>
      </w:pPr>
      <w:r w:rsidRPr="00B74F62">
        <w:rPr>
          <w:sz w:val="20"/>
          <w:szCs w:val="22"/>
          <w:rtl/>
        </w:rPr>
        <w:t>והנראה לענ"ד בזה לפי מ"ש תוס' פ"ב דגיטין דף כ"א</w:t>
      </w:r>
      <w:r w:rsidRPr="00B74F62">
        <w:rPr>
          <w:rFonts w:hint="cs"/>
          <w:sz w:val="20"/>
          <w:szCs w:val="22"/>
          <w:rtl/>
        </w:rPr>
        <w:t>,</w:t>
      </w:r>
      <w:r w:rsidRPr="00B74F62">
        <w:rPr>
          <w:sz w:val="20"/>
          <w:szCs w:val="22"/>
          <w:rtl/>
        </w:rPr>
        <w:t xml:space="preserve"> דדוקא לענין שלא בפניו אמרינן דלא גרע משליחות לקנות במידי דזכות הוא לו, אבל בשאר דברים בעינן דומיא דידה, דאל"כ חצר מהלכת אמאי לא קנה, תקנה מטעם שליחות כמו שליח מהלך אף על גב דמטעם יד לא קני עכ"ל</w:t>
      </w:r>
      <w:r w:rsidRPr="00B74F62">
        <w:rPr>
          <w:rFonts w:hint="cs"/>
          <w:sz w:val="20"/>
          <w:szCs w:val="22"/>
          <w:rtl/>
        </w:rPr>
        <w:t xml:space="preserve"> ... </w:t>
      </w:r>
      <w:r w:rsidRPr="00B74F62">
        <w:rPr>
          <w:sz w:val="20"/>
          <w:szCs w:val="22"/>
          <w:rtl/>
        </w:rPr>
        <w:t>וכיון דלא מהני חצר שאינו דומה ליד אלא גבי חצר שאינו משתמר שאינו חלוק לגמרי מיד, אבל מהלך שאינו דומה ליד כלל [לא מהני] אפילו משום שליחות ומשום דלא הוי חצר משום שליחות אלא חצר שדומה לידו דלהכי אתרבי מידו, א"כ ממילא בהקדש דליכא תורת יד כלל א"כ חצר נמי ליתיה, ואפילו משום שליחות דגם שליחות דחצר ליכא אלא הדומה ליד ואין יד להקדש וזה ברור</w:t>
      </w:r>
      <w:r w:rsidRPr="00B74F62">
        <w:rPr>
          <w:rFonts w:hint="cs"/>
          <w:sz w:val="20"/>
          <w:szCs w:val="22"/>
          <w:rtl/>
        </w:rPr>
        <w:t>"</w:t>
      </w:r>
      <w:r w:rsidRPr="00B74F62">
        <w:rPr>
          <w:sz w:val="20"/>
          <w:szCs w:val="22"/>
          <w:rtl/>
        </w:rPr>
        <w:t>.</w:t>
      </w:r>
    </w:p>
    <w:p w:rsidR="006A29B5" w:rsidRPr="00B74F62" w:rsidRDefault="001819BB" w:rsidP="00E34670">
      <w:pPr>
        <w:pStyle w:val="a8"/>
        <w:numPr>
          <w:ilvl w:val="0"/>
          <w:numId w:val="1"/>
        </w:numPr>
        <w:ind w:left="360"/>
        <w:rPr>
          <w:szCs w:val="22"/>
          <w:rtl/>
        </w:rPr>
      </w:pPr>
      <w:r w:rsidRPr="00B74F62">
        <w:rPr>
          <w:rFonts w:hint="cs"/>
          <w:b/>
          <w:bCs/>
          <w:szCs w:val="22"/>
          <w:rtl/>
        </w:rPr>
        <w:t>קהלות יעקב בבא בתרא, סימן ל"ו, אות ו':</w:t>
      </w:r>
      <w:r w:rsidR="005A6F17" w:rsidRPr="00B74F62">
        <w:rPr>
          <w:rFonts w:hint="cs"/>
          <w:szCs w:val="22"/>
          <w:rtl/>
        </w:rPr>
        <w:t xml:space="preserve"> </w:t>
      </w:r>
      <w:r w:rsidRPr="00B74F62">
        <w:rPr>
          <w:rFonts w:hint="cs"/>
          <w:szCs w:val="22"/>
          <w:rtl/>
        </w:rPr>
        <w:t xml:space="preserve">"דלעניות דעתי יש לפרש דטעמא דאין יד להקדש הוא משום דבמציאות ליכא יד הראוי לקנות והוא משום דיסוד הדין דחצר נחשב כידו הוא מפני שהמקום מיוחד להשתמשות שלו כידו, ולכן דינו כידו. אבל חצר הקדש אינו בגדר מיוחד לגבוה להשתמשות של הקב"ה, כי כל ענייני וקנייני הקדש אינו כעין השתמשות גבוה, דכתיב "אם תצדק מה תתן לו", רק הכל הוא השתמשות שלנו לעבוד בו את הקב"ה, ואנו צריכים להתנהג בקדושה בכל המיוחד לשמו ... אבל אין זה נקרא שהקב"ה משתמש בנכסי הקדש, ולכן אין החצר הזה נידון כיד של גבוה לשיזכה ממון חולין לגבוה".  </w:t>
      </w:r>
    </w:p>
    <w:p w:rsidR="005A6F17" w:rsidRPr="00B74F62" w:rsidRDefault="005A6F17" w:rsidP="00E34670">
      <w:pPr>
        <w:rPr>
          <w:szCs w:val="22"/>
          <w:rtl/>
        </w:rPr>
      </w:pPr>
    </w:p>
    <w:p w:rsidR="005A6F17" w:rsidRPr="00B74F62" w:rsidRDefault="005A6F17" w:rsidP="00E34670">
      <w:pPr>
        <w:rPr>
          <w:b/>
          <w:bCs/>
          <w:szCs w:val="22"/>
          <w:u w:val="single"/>
          <w:rtl/>
        </w:rPr>
      </w:pPr>
      <w:r w:rsidRPr="00B74F62">
        <w:rPr>
          <w:rFonts w:hint="cs"/>
          <w:b/>
          <w:bCs/>
          <w:szCs w:val="22"/>
          <w:u w:val="single"/>
          <w:rtl/>
        </w:rPr>
        <w:t>ד. איה מקום כבודו</w:t>
      </w:r>
    </w:p>
    <w:p w:rsidR="005A6F17" w:rsidRPr="00B74F62" w:rsidRDefault="005A6F17" w:rsidP="00E34670">
      <w:pPr>
        <w:pStyle w:val="a8"/>
        <w:numPr>
          <w:ilvl w:val="0"/>
          <w:numId w:val="1"/>
        </w:numPr>
        <w:ind w:left="360"/>
        <w:rPr>
          <w:sz w:val="20"/>
          <w:szCs w:val="22"/>
          <w:rtl/>
        </w:rPr>
      </w:pPr>
      <w:r w:rsidRPr="00B74F62">
        <w:rPr>
          <w:b/>
          <w:bCs/>
          <w:sz w:val="20"/>
          <w:szCs w:val="22"/>
          <w:rtl/>
        </w:rPr>
        <w:t>ליקוטי מוהר"ן תניינא</w:t>
      </w:r>
      <w:r w:rsidRPr="00B74F62">
        <w:rPr>
          <w:rFonts w:hint="cs"/>
          <w:b/>
          <w:bCs/>
          <w:sz w:val="20"/>
          <w:szCs w:val="22"/>
          <w:rtl/>
        </w:rPr>
        <w:t>,</w:t>
      </w:r>
      <w:r w:rsidRPr="00B74F62">
        <w:rPr>
          <w:b/>
          <w:bCs/>
          <w:sz w:val="20"/>
          <w:szCs w:val="22"/>
          <w:rtl/>
        </w:rPr>
        <w:t xml:space="preserve"> תורה י</w:t>
      </w:r>
      <w:r w:rsidRPr="00B74F62">
        <w:rPr>
          <w:rFonts w:hint="cs"/>
          <w:b/>
          <w:bCs/>
          <w:sz w:val="20"/>
          <w:szCs w:val="22"/>
          <w:rtl/>
        </w:rPr>
        <w:t>"</w:t>
      </w:r>
      <w:r w:rsidRPr="00B74F62">
        <w:rPr>
          <w:b/>
          <w:bCs/>
          <w:sz w:val="20"/>
          <w:szCs w:val="22"/>
          <w:rtl/>
        </w:rPr>
        <w:t>ב</w:t>
      </w:r>
      <w:r w:rsidRPr="00B74F62">
        <w:rPr>
          <w:rFonts w:hint="cs"/>
          <w:b/>
          <w:bCs/>
          <w:sz w:val="20"/>
          <w:szCs w:val="22"/>
          <w:rtl/>
        </w:rPr>
        <w:t>:</w:t>
      </w:r>
      <w:r w:rsidRPr="00B74F62">
        <w:rPr>
          <w:rFonts w:hint="cs"/>
          <w:sz w:val="20"/>
          <w:szCs w:val="22"/>
          <w:rtl/>
        </w:rPr>
        <w:t xml:space="preserve"> "</w:t>
      </w:r>
      <w:r w:rsidRPr="00B74F62">
        <w:rPr>
          <w:sz w:val="20"/>
          <w:szCs w:val="22"/>
          <w:rtl/>
        </w:rPr>
        <w:t>כשאדם הולך אחר שכלו וחכמתו, יוכל ליפול בטעותים ומכשולות רבים, ולבא לידי רעות גדולות ח"ו. ויש שקלקלו הרבה, כגון הרשעים הגדולים מאד המפורסמים, שהטעו את העולם, והכל הי</w:t>
      </w:r>
      <w:r w:rsidRPr="00B74F62">
        <w:rPr>
          <w:rFonts w:hint="cs"/>
          <w:sz w:val="20"/>
          <w:szCs w:val="22"/>
          <w:rtl/>
        </w:rPr>
        <w:t>ה</w:t>
      </w:r>
      <w:r w:rsidRPr="00B74F62">
        <w:rPr>
          <w:sz w:val="20"/>
          <w:szCs w:val="22"/>
          <w:rtl/>
        </w:rPr>
        <w:t xml:space="preserve"> ע"י חכמתם ושכלם. ועיקר היהדות הוא, רק לילך בתמימות ובפשיטות בלי שום חכמות. ולהסתכל בכל דבר שעושה, שיהי' שם הש"י. ולבלי להשגיח כלל על כבוד עצמו, רק אם יש בזה כבוד השי"ת יעשה, ואם לאו לאו, ואזי בוודאי לא יכשל לעולם. </w:t>
      </w:r>
    </w:p>
    <w:p w:rsidR="00E34670" w:rsidRPr="00B74F62" w:rsidRDefault="005A6F17" w:rsidP="00E34670">
      <w:pPr>
        <w:pStyle w:val="a8"/>
        <w:ind w:left="360"/>
        <w:rPr>
          <w:sz w:val="20"/>
          <w:szCs w:val="22"/>
          <w:rtl/>
        </w:rPr>
      </w:pPr>
      <w:r w:rsidRPr="00B74F62">
        <w:rPr>
          <w:sz w:val="20"/>
          <w:szCs w:val="22"/>
          <w:rtl/>
        </w:rPr>
        <w:t xml:space="preserve">ואפילו כשנופל ח"ו לספיקות, ויש שנפילתו גדולה מאד מאד ר"ל, שנופל לספיקות והרהורים, ומהרהר אחר השי"ת. אעפ"כ, הנפילה והירידה היא תכלית העליה. כי דע, כי שורש כל הבריאה הוא הכבוד, כי כל מה שברא הקדוש ברוך הוא לא בראו אלא לכבודו, כ"ש כל הנקרא בשמי ולכבודי בראתיו. ומאחר שהכל נברא בשביל כבודו ית', נמצא שכבודו יתברך הוא שורש כל הבריאה. </w:t>
      </w:r>
    </w:p>
    <w:p w:rsidR="00E34670" w:rsidRPr="00B74F62" w:rsidRDefault="005A6F17" w:rsidP="00E34670">
      <w:pPr>
        <w:pStyle w:val="a8"/>
        <w:ind w:left="360"/>
        <w:rPr>
          <w:sz w:val="20"/>
          <w:szCs w:val="22"/>
          <w:rtl/>
        </w:rPr>
      </w:pPr>
      <w:r w:rsidRPr="00B74F62">
        <w:rPr>
          <w:sz w:val="20"/>
          <w:szCs w:val="22"/>
          <w:rtl/>
        </w:rPr>
        <w:t>ואף על פי שכולו אחד, על כל זה בהבריאה יש חלקים, ובכל חלק וחלק מהבריאה, יש בו בחי' כבוד מיוחד, שהוא שרשו כנ"ל</w:t>
      </w:r>
      <w:r w:rsidR="00E34670" w:rsidRPr="00B74F62">
        <w:rPr>
          <w:rFonts w:hint="cs"/>
          <w:sz w:val="20"/>
          <w:szCs w:val="22"/>
          <w:rtl/>
        </w:rPr>
        <w:t xml:space="preserve">, </w:t>
      </w:r>
      <w:r w:rsidRPr="00B74F62">
        <w:rPr>
          <w:sz w:val="20"/>
          <w:szCs w:val="22"/>
          <w:rtl/>
        </w:rPr>
        <w:t xml:space="preserve">כי מלא כל הארץ כבודו (ישעיה ו). ואפי' בעבירות ודברים רעים ח"ו, ששם אין כבודו ית', בבחי' (ישעיה מב) וכבודי לאחר לא אתן, אעפ"כ בוודאי גם הם מקבלים חיות ממנו ית', ואפי' מקומות המטונפים או בתי ע"ז, צריכין גם כן לקבל חיות ממנו ית'. אך דע, כי הם מקבלים מבחי' </w:t>
      </w:r>
      <w:r w:rsidR="00E34670" w:rsidRPr="00B74F62">
        <w:rPr>
          <w:rFonts w:hint="cs"/>
          <w:sz w:val="20"/>
          <w:szCs w:val="22"/>
          <w:rtl/>
        </w:rPr>
        <w:t>"</w:t>
      </w:r>
      <w:r w:rsidRPr="00B74F62">
        <w:rPr>
          <w:sz w:val="20"/>
          <w:szCs w:val="22"/>
          <w:rtl/>
        </w:rPr>
        <w:t>מאמר סתום</w:t>
      </w:r>
      <w:r w:rsidR="00E34670" w:rsidRPr="00B74F62">
        <w:rPr>
          <w:rFonts w:hint="cs"/>
          <w:sz w:val="20"/>
          <w:szCs w:val="22"/>
          <w:rtl/>
        </w:rPr>
        <w:t xml:space="preserve">", </w:t>
      </w:r>
      <w:r w:rsidRPr="00B74F62">
        <w:rPr>
          <w:sz w:val="20"/>
          <w:szCs w:val="22"/>
          <w:rtl/>
        </w:rPr>
        <w:t>והכבוד של ה</w:t>
      </w:r>
      <w:r w:rsidR="00E34670" w:rsidRPr="00B74F62">
        <w:rPr>
          <w:rFonts w:hint="cs"/>
          <w:sz w:val="20"/>
          <w:szCs w:val="22"/>
          <w:rtl/>
        </w:rPr>
        <w:t>"</w:t>
      </w:r>
      <w:r w:rsidRPr="00B74F62">
        <w:rPr>
          <w:sz w:val="20"/>
          <w:szCs w:val="22"/>
          <w:rtl/>
        </w:rPr>
        <w:t>מאמר סתום</w:t>
      </w:r>
      <w:r w:rsidR="00E34670" w:rsidRPr="00B74F62">
        <w:rPr>
          <w:rFonts w:hint="cs"/>
          <w:sz w:val="20"/>
          <w:szCs w:val="22"/>
          <w:rtl/>
        </w:rPr>
        <w:t>"</w:t>
      </w:r>
      <w:r w:rsidRPr="00B74F62">
        <w:rPr>
          <w:sz w:val="20"/>
          <w:szCs w:val="22"/>
          <w:rtl/>
        </w:rPr>
        <w:t>, הוא סתום ונעלם בתכלית ההסתרה. ודבר זה אי אפשר להבין, ואסור להרהר בזה כלל. וע"כ כשאדם נופל חס ושלום לבחי' מקומות אלו, דהיינו לבחי' מקומות המטונפים, ונופל לספיקות והרהורים ובלבולים גדולים. ואזי מתחיל להסתכל על עצמו, ורואה שרחוק מאד מכבודו ית', ושואל ומבקש איה מקום כבודו, מאחר שרואה בעצמו שרחוק מכבודו ית', מאחר שנפל למקומות כאלו ר"ל. וזה זה עיקר תקונו ועלייתו, בבחי' ירידה תכלית העליה המובא בספרים. כי אי"ה מקום כבודו, זה בחי' הכבוד עליון של המאמר העליון, דהיינו המאמר סתום בראשית כנ"ל, שמשם נמשך חיות למקומות האלו. נמצא כשמבקש ומחפש אי"ה מקום כבודו, בזה בעצמו הוא חוזר ועולה אל הכבוד העליון, שהוא בחי' אי"ה, שמגודל הסתרתו והעלמו הוא מחי' מקומות הללו, ועכשיו על ידי שהוא נפל לשם, ואזי מבקש אי"ה מקום כבודו, ובזה חוזר ומדבק עצמו לשם, ומחי' את נפילתו, ועולה בתכלית העליה.</w:t>
      </w:r>
    </w:p>
    <w:p w:rsidR="005A6F17" w:rsidRPr="00B74F62" w:rsidRDefault="005A6F17" w:rsidP="00B74F62">
      <w:pPr>
        <w:pStyle w:val="a8"/>
        <w:ind w:left="360"/>
        <w:rPr>
          <w:sz w:val="20"/>
          <w:szCs w:val="22"/>
        </w:rPr>
      </w:pPr>
      <w:r w:rsidRPr="00B74F62">
        <w:rPr>
          <w:sz w:val="20"/>
          <w:szCs w:val="22"/>
          <w:rtl/>
        </w:rPr>
        <w:t>וזה בחי' קרבן עולה, שמכפר על הרהור הלב, כמו שאמרו רז"ל (מ"ר ויקרא פ' ז). כ"ש והעולה על רוחכם, שעולה מכפר ההרהור</w:t>
      </w:r>
      <w:r w:rsidR="00E34670" w:rsidRPr="00B74F62">
        <w:rPr>
          <w:rFonts w:hint="cs"/>
          <w:sz w:val="20"/>
          <w:szCs w:val="22"/>
          <w:rtl/>
        </w:rPr>
        <w:t xml:space="preserve"> ... </w:t>
      </w:r>
      <w:r w:rsidRPr="00B74F62">
        <w:rPr>
          <w:sz w:val="20"/>
          <w:szCs w:val="22"/>
          <w:rtl/>
        </w:rPr>
        <w:t>וזהו בחינות עולה, בחי' (בראשית כב) ואי"ה, השה לעולה, שבחי' אי"ה, היא בחינות שה לעולה, לתקן ולכפר הרהור הלב, שבא ממקומות המטונפים כנ"ל. כי ע"י בחינות אי"ה, נתתקן ועולה משם כנ"ל</w:t>
      </w:r>
      <w:r w:rsidR="00E34670" w:rsidRPr="00B74F62">
        <w:rPr>
          <w:rFonts w:hint="cs"/>
          <w:sz w:val="20"/>
          <w:szCs w:val="22"/>
          <w:rtl/>
        </w:rPr>
        <w:t xml:space="preserve"> ... </w:t>
      </w:r>
      <w:r w:rsidRPr="00B74F62">
        <w:rPr>
          <w:sz w:val="20"/>
          <w:szCs w:val="22"/>
          <w:rtl/>
        </w:rPr>
        <w:t>וזה בחינות תשובה, כי זה עיקר התשובה, כשאדם מבקש ומחפש אחר כבודו יתברך, ורואה בעצמו שרחוק מכבודו יתברך, ומתגעגע ושואל ומצטער אי"ה מקום כבודו, וזהו בעצמו תשובתו ותיקונו כנ"ל</w:t>
      </w:r>
      <w:r w:rsidR="00E34670" w:rsidRPr="00B74F62">
        <w:rPr>
          <w:rFonts w:hint="cs"/>
          <w:sz w:val="20"/>
          <w:szCs w:val="22"/>
          <w:rtl/>
        </w:rPr>
        <w:t>;</w:t>
      </w:r>
      <w:r w:rsidRPr="00B74F62">
        <w:rPr>
          <w:sz w:val="20"/>
          <w:szCs w:val="22"/>
          <w:rtl/>
        </w:rPr>
        <w:t xml:space="preserve"> והבן היטב</w:t>
      </w:r>
      <w:r w:rsidR="00E34670" w:rsidRPr="00B74F62">
        <w:rPr>
          <w:rFonts w:hint="cs"/>
          <w:sz w:val="20"/>
          <w:szCs w:val="22"/>
          <w:rtl/>
        </w:rPr>
        <w:t>".</w:t>
      </w:r>
    </w:p>
    <w:sectPr w:rsidR="005A6F17" w:rsidRPr="00B74F62"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9E" w:rsidRDefault="00FE349E" w:rsidP="001250C8">
      <w:pPr>
        <w:spacing w:line="240" w:lineRule="auto"/>
      </w:pPr>
      <w:r>
        <w:separator/>
      </w:r>
    </w:p>
  </w:endnote>
  <w:endnote w:type="continuationSeparator" w:id="0">
    <w:p w:rsidR="00FE349E" w:rsidRDefault="00FE349E"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9E" w:rsidRDefault="00FE349E" w:rsidP="001250C8">
      <w:pPr>
        <w:spacing w:line="240" w:lineRule="auto"/>
      </w:pPr>
      <w:r>
        <w:separator/>
      </w:r>
    </w:p>
  </w:footnote>
  <w:footnote w:type="continuationSeparator" w:id="0">
    <w:p w:rsidR="00FE349E" w:rsidRDefault="00FE349E"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0D8"/>
    <w:multiLevelType w:val="hybridMultilevel"/>
    <w:tmpl w:val="A80C87F6"/>
    <w:lvl w:ilvl="0" w:tplc="5380BDE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C3"/>
    <w:rsid w:val="001250C8"/>
    <w:rsid w:val="001819BB"/>
    <w:rsid w:val="002E1DB7"/>
    <w:rsid w:val="002F7BC3"/>
    <w:rsid w:val="003355E8"/>
    <w:rsid w:val="005A6F17"/>
    <w:rsid w:val="00656813"/>
    <w:rsid w:val="006A29B5"/>
    <w:rsid w:val="006C2CF1"/>
    <w:rsid w:val="008A0A58"/>
    <w:rsid w:val="008D0707"/>
    <w:rsid w:val="00A13A6B"/>
    <w:rsid w:val="00B45A22"/>
    <w:rsid w:val="00B74F62"/>
    <w:rsid w:val="00E34670"/>
    <w:rsid w:val="00E93D7D"/>
    <w:rsid w:val="00FE34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E6FE0-4F8F-4C84-9A5D-DB20EE30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E34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176</TotalTime>
  <Pages>2</Pages>
  <Words>1247</Words>
  <Characters>6238</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2019-09-29T08:30:00Z</dcterms:created>
  <dcterms:modified xsi:type="dcterms:W3CDTF">2019-09-29T11:32:00Z</dcterms:modified>
</cp:coreProperties>
</file>