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C42F" w14:textId="77777777" w:rsidR="000E7C31" w:rsidRPr="000E7C31" w:rsidRDefault="000E7C31" w:rsidP="000E7C3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E7C31">
        <w:rPr>
          <w:rFonts w:asciiTheme="majorBidi" w:hAnsiTheme="majorBidi" w:cs="Times New Roman"/>
          <w:sz w:val="24"/>
          <w:szCs w:val="24"/>
          <w:rtl/>
        </w:rPr>
        <w:t>משנה מסכת יבמות פרק א משנה ד</w:t>
      </w:r>
    </w:p>
    <w:p w14:paraId="7A611015" w14:textId="5314AA19" w:rsidR="000E7C31" w:rsidRDefault="000E7C31" w:rsidP="000E7C3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E7C31">
        <w:rPr>
          <w:rFonts w:asciiTheme="majorBidi" w:hAnsiTheme="majorBidi" w:cs="Times New Roman"/>
          <w:sz w:val="24"/>
          <w:szCs w:val="24"/>
          <w:rtl/>
        </w:rPr>
        <w:t xml:space="preserve">בית שמאי מתירין הצרות לאחים ובית הלל אוסרים </w:t>
      </w:r>
      <w:r>
        <w:rPr>
          <w:rFonts w:asciiTheme="majorBidi" w:hAnsiTheme="majorBidi" w:cs="Times New Roman" w:hint="cs"/>
          <w:sz w:val="24"/>
          <w:szCs w:val="24"/>
          <w:rtl/>
        </w:rPr>
        <w:t>...</w:t>
      </w:r>
      <w:r w:rsidRPr="000E7C31">
        <w:rPr>
          <w:rFonts w:asciiTheme="majorBidi" w:hAnsiTheme="majorBidi" w:cs="Times New Roman"/>
          <w:sz w:val="24"/>
          <w:szCs w:val="24"/>
          <w:rtl/>
        </w:rPr>
        <w:t xml:space="preserve"> אף על פי שאלו אוסרין ואלו מתירין אלו פוסלין ואלו מכשירין לא נמנעו בית שמאי מלישא נשים מבית הלל ולא בית הלל מבית שמאי </w:t>
      </w:r>
      <w:r w:rsidRPr="000E7C31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14:paraId="7BCDCCD7" w14:textId="54320AF1" w:rsidR="00A82CF4" w:rsidRDefault="000E7C31" w:rsidP="004C0BF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E7C31">
        <w:rPr>
          <w:rFonts w:asciiTheme="majorBidi" w:hAnsiTheme="majorBidi" w:cstheme="majorBidi"/>
          <w:sz w:val="24"/>
          <w:szCs w:val="24"/>
          <w:rtl/>
        </w:rPr>
        <w:t>דף יד עמוד א</w:t>
      </w:r>
      <w:r w:rsidR="004C0BF6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0E7C31">
        <w:rPr>
          <w:rFonts w:asciiTheme="majorBidi" w:hAnsiTheme="majorBidi" w:cstheme="majorBidi"/>
          <w:sz w:val="24"/>
          <w:szCs w:val="24"/>
          <w:rtl/>
        </w:rPr>
        <w:t>רב אומר: לא עשו ב"ש כדבריהם, ושמואל אמר: עשו ועשו.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8CBFE6D" w14:textId="5E3BD61F" w:rsidR="000E7C31" w:rsidRDefault="000E7C31" w:rsidP="000E7C3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E7C31">
        <w:rPr>
          <w:rFonts w:asciiTheme="majorBidi" w:hAnsiTheme="majorBidi" w:cs="Times New Roman"/>
          <w:sz w:val="24"/>
          <w:szCs w:val="24"/>
          <w:rtl/>
        </w:rPr>
        <w:t>ת"ש: אף על פי שאלו אוסרים ואלו מתירים, לא נמנעו ב"ש מלישא נשים מב"ה, ולא ב"ה מב"ש; אי אמרת בשלמא לא עשו, משום הכי לא נמנעו, אלא אי אמרת עשו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.. </w:t>
      </w:r>
      <w:r w:rsidRPr="000E7C31">
        <w:rPr>
          <w:rFonts w:asciiTheme="majorBidi" w:hAnsiTheme="majorBidi" w:cs="Times New Roman"/>
          <w:sz w:val="24"/>
          <w:szCs w:val="24"/>
          <w:rtl/>
        </w:rPr>
        <w:t>ב"ה מבית שמאי אמאי לא נמנעו? בני חייבי כריתות - ממזרים נינהו!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.. </w:t>
      </w:r>
      <w:r w:rsidRPr="000E7C31">
        <w:rPr>
          <w:rFonts w:asciiTheme="majorBidi" w:hAnsiTheme="majorBidi" w:cs="Times New Roman"/>
          <w:sz w:val="24"/>
          <w:szCs w:val="24"/>
          <w:rtl/>
        </w:rPr>
        <w:t>אלא לאו שמע מינה: לא עשו! לא, לעולם עשו, דמודעי להו ופרשי.</w:t>
      </w:r>
    </w:p>
    <w:p w14:paraId="389245A5" w14:textId="1EDA945F" w:rsidR="000E7C31" w:rsidRDefault="000E7C31" w:rsidP="000E7C3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E7C31">
        <w:rPr>
          <w:rFonts w:asciiTheme="majorBidi" w:hAnsiTheme="majorBidi" w:cs="Times New Roman"/>
          <w:sz w:val="24"/>
          <w:szCs w:val="24"/>
          <w:rtl/>
        </w:rPr>
        <w:t>דף יד עמוד ב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0E7C31">
        <w:rPr>
          <w:rFonts w:asciiTheme="majorBidi" w:hAnsiTheme="majorBidi" w:cs="Times New Roman"/>
          <w:sz w:val="24"/>
          <w:szCs w:val="24"/>
          <w:rtl/>
        </w:rPr>
        <w:t>ללמדך, שחיבה וריעות נוהגים זה בזה, לקיים מה שנאמר: האמת והשלום אהבו</w:t>
      </w:r>
    </w:p>
    <w:p w14:paraId="427ACBAA" w14:textId="780E0261" w:rsidR="004C0BF6" w:rsidRPr="008D2904" w:rsidRDefault="00DB6233" w:rsidP="008D2904">
      <w:pPr>
        <w:pStyle w:val="a6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2904">
        <w:rPr>
          <w:rFonts w:asciiTheme="majorBidi" w:hAnsiTheme="majorBidi" w:cstheme="majorBidi" w:hint="cs"/>
          <w:b/>
          <w:bCs/>
          <w:sz w:val="24"/>
          <w:szCs w:val="24"/>
          <w:rtl/>
        </w:rPr>
        <w:t>סיכום הסוגיה</w:t>
      </w:r>
    </w:p>
    <w:p w14:paraId="337D97DB" w14:textId="5937703E" w:rsidR="004E1282" w:rsidRDefault="004E1282" w:rsidP="000E7C3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רב ושמואל נחלקו אם בית שמאי נהגו בפועל כדעתם, לייבם צרות הערווה. הגמרא ניסתה להוכיח כדעת רב</w:t>
      </w:r>
      <w:r w:rsidR="0072665A">
        <w:rPr>
          <w:rFonts w:asciiTheme="majorBidi" w:hAnsiTheme="majorBidi" w:cstheme="majorBidi" w:hint="cs"/>
          <w:sz w:val="24"/>
          <w:szCs w:val="24"/>
          <w:rtl/>
        </w:rPr>
        <w:t xml:space="preserve"> וריש לקיש</w:t>
      </w:r>
      <w:r>
        <w:rPr>
          <w:rFonts w:asciiTheme="majorBidi" w:hAnsiTheme="majorBidi" w:cstheme="majorBidi" w:hint="cs"/>
          <w:sz w:val="24"/>
          <w:szCs w:val="24"/>
          <w:rtl/>
        </w:rPr>
        <w:t>, שלא עשו כדבריהם, מכך שבית הלל לא נמנעו מלשאת נשים מבית שמאי. ההוכחה נדחית בהצעה שבית שמאי היו מודיעים ל</w:t>
      </w:r>
      <w:r w:rsidR="008D2904">
        <w:rPr>
          <w:rFonts w:asciiTheme="majorBidi" w:hAnsiTheme="majorBidi" w:cstheme="majorBidi" w:hint="cs"/>
          <w:sz w:val="24"/>
          <w:szCs w:val="24"/>
          <w:rtl/>
        </w:rPr>
        <w:t>בית הלל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במקרה שהנישואין היו אסורים לדעת</w:t>
      </w:r>
      <w:r w:rsidR="00686395">
        <w:rPr>
          <w:rFonts w:asciiTheme="majorBidi" w:hAnsiTheme="majorBidi" w:cstheme="majorBidi" w:hint="cs"/>
          <w:sz w:val="24"/>
          <w:szCs w:val="24"/>
          <w:rtl/>
        </w:rPr>
        <w:t xml:space="preserve"> בית הלל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מעשה זה </w:t>
      </w:r>
      <w:r w:rsidR="0072665A">
        <w:rPr>
          <w:rFonts w:asciiTheme="majorBidi" w:hAnsiTheme="majorBidi" w:cstheme="majorBidi" w:hint="cs"/>
          <w:sz w:val="24"/>
          <w:szCs w:val="24"/>
          <w:rtl/>
        </w:rPr>
        <w:t>מבטא חיבה ורעות. רבי יוחנן סובר כשמואל</w:t>
      </w:r>
      <w:r w:rsidR="0056225B">
        <w:rPr>
          <w:rFonts w:asciiTheme="majorBidi" w:hAnsiTheme="majorBidi" w:cstheme="majorBidi" w:hint="cs"/>
          <w:sz w:val="24"/>
          <w:szCs w:val="24"/>
          <w:rtl/>
        </w:rPr>
        <w:t>, כך שיש להניח שהלכה כשמואל</w:t>
      </w:r>
      <w:r w:rsidR="0056225B">
        <w:rPr>
          <w:rStyle w:val="a5"/>
          <w:rFonts w:asciiTheme="majorBidi" w:hAnsiTheme="majorBidi" w:cstheme="majorBidi"/>
          <w:sz w:val="24"/>
          <w:szCs w:val="24"/>
          <w:rtl/>
        </w:rPr>
        <w:footnoteReference w:id="1"/>
      </w:r>
      <w:r w:rsidR="0056225B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CD23D57" w14:textId="48E3CDC0" w:rsidR="009473BF" w:rsidRPr="009473BF" w:rsidRDefault="000C4AD7" w:rsidP="009473BF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המרדכי מסיק: </w:t>
      </w:r>
      <w:r>
        <w:rPr>
          <w:rFonts w:ascii="David" w:hAnsi="David" w:cs="David" w:hint="cs"/>
          <w:sz w:val="24"/>
          <w:szCs w:val="24"/>
          <w:rtl/>
        </w:rPr>
        <w:t>"צריכין האוסרין</w:t>
      </w:r>
      <w:r w:rsidR="00686395">
        <w:rPr>
          <w:rFonts w:ascii="David" w:hAnsi="David" w:cs="David" w:hint="cs"/>
          <w:sz w:val="24"/>
          <w:szCs w:val="24"/>
          <w:rtl/>
        </w:rPr>
        <w:t xml:space="preserve"> להודיע למתירין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r w:rsidR="00686395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דבר זה א</w:t>
      </w:r>
      <w:r w:rsidR="00686395">
        <w:rPr>
          <w:rFonts w:ascii="David" w:hAnsi="David" w:cs="David" w:hint="cs"/>
          <w:sz w:val="24"/>
          <w:szCs w:val="24"/>
          <w:rtl/>
        </w:rPr>
        <w:t>נו</w:t>
      </w:r>
      <w:r>
        <w:rPr>
          <w:rFonts w:ascii="David" w:hAnsi="David" w:cs="David" w:hint="cs"/>
          <w:sz w:val="24"/>
          <w:szCs w:val="24"/>
          <w:rtl/>
        </w:rPr>
        <w:t xml:space="preserve"> אוסרין וא</w:t>
      </w:r>
      <w:r w:rsidR="00686395">
        <w:rPr>
          <w:rFonts w:ascii="David" w:hAnsi="David" w:cs="David" w:hint="cs"/>
          <w:sz w:val="24"/>
          <w:szCs w:val="24"/>
          <w:rtl/>
        </w:rPr>
        <w:t>תם</w:t>
      </w:r>
      <w:r>
        <w:rPr>
          <w:rFonts w:ascii="David" w:hAnsi="David" w:cs="David" w:hint="cs"/>
          <w:sz w:val="24"/>
          <w:szCs w:val="24"/>
          <w:rtl/>
        </w:rPr>
        <w:t xml:space="preserve"> מתירין</w:t>
      </w:r>
      <w:r w:rsidR="00686395">
        <w:rPr>
          <w:rFonts w:ascii="David" w:hAnsi="David" w:cs="David" w:hint="cs"/>
          <w:sz w:val="24"/>
          <w:szCs w:val="24"/>
          <w:rtl/>
        </w:rPr>
        <w:t xml:space="preserve">' ". </w:t>
      </w:r>
      <w:r w:rsidR="00686395">
        <w:rPr>
          <w:rFonts w:asciiTheme="majorBidi" w:hAnsiTheme="majorBidi" w:cstheme="majorBidi" w:hint="cs"/>
          <w:sz w:val="24"/>
          <w:szCs w:val="24"/>
          <w:rtl/>
        </w:rPr>
        <w:t xml:space="preserve">בחידושי אנשי שם גרס להיפך: </w:t>
      </w:r>
      <w:r w:rsidR="00686395" w:rsidRPr="00686395">
        <w:rPr>
          <w:rFonts w:ascii="David" w:hAnsi="David" w:cs="David"/>
          <w:sz w:val="24"/>
          <w:szCs w:val="24"/>
          <w:rtl/>
        </w:rPr>
        <w:t>"צריכין המתירים להודיע להאוסרין</w:t>
      </w:r>
      <w:r w:rsidR="00686395">
        <w:rPr>
          <w:rFonts w:ascii="David" w:hAnsi="David" w:cs="David" w:hint="cs"/>
          <w:sz w:val="24"/>
          <w:szCs w:val="24"/>
          <w:rtl/>
        </w:rPr>
        <w:t>:'</w:t>
      </w:r>
      <w:r w:rsidR="00686395" w:rsidRPr="00686395">
        <w:rPr>
          <w:rFonts w:ascii="David" w:hAnsi="David" w:cs="David"/>
          <w:sz w:val="24"/>
          <w:szCs w:val="24"/>
          <w:rtl/>
        </w:rPr>
        <w:t>דבר זה אנו מתירין</w:t>
      </w:r>
      <w:r w:rsidR="00686395">
        <w:rPr>
          <w:rFonts w:ascii="David" w:hAnsi="David" w:cs="David" w:hint="cs"/>
          <w:sz w:val="24"/>
          <w:szCs w:val="24"/>
          <w:rtl/>
        </w:rPr>
        <w:t>',</w:t>
      </w:r>
      <w:r w:rsidR="00686395" w:rsidRPr="00686395">
        <w:rPr>
          <w:rFonts w:ascii="David" w:hAnsi="David" w:cs="David"/>
          <w:sz w:val="24"/>
          <w:szCs w:val="24"/>
          <w:rtl/>
        </w:rPr>
        <w:t xml:space="preserve"> כדי שלא יחשדו שעושין איסור לקיים מה שנאמר: והייתם נקיים'".</w:t>
      </w:r>
      <w:r w:rsidR="00686395">
        <w:rPr>
          <w:rFonts w:asciiTheme="majorBidi" w:hAnsiTheme="majorBidi" w:cstheme="majorBidi" w:hint="cs"/>
          <w:sz w:val="24"/>
          <w:szCs w:val="24"/>
          <w:rtl/>
        </w:rPr>
        <w:t xml:space="preserve"> לכאורה כך יותר מוכח מהסוגיה, אם כי הטעם הוא שלא להכשיל. </w:t>
      </w:r>
      <w:r w:rsidR="009473BF">
        <w:rPr>
          <w:rFonts w:asciiTheme="majorBidi" w:hAnsiTheme="majorBidi" w:cstheme="majorBidi" w:hint="cs"/>
          <w:sz w:val="24"/>
          <w:szCs w:val="24"/>
          <w:rtl/>
        </w:rPr>
        <w:t xml:space="preserve">גם האור זרוע כתב: </w:t>
      </w:r>
    </w:p>
    <w:p w14:paraId="43E46DBC" w14:textId="48F77E1E" w:rsidR="00E01264" w:rsidRPr="00E01264" w:rsidRDefault="009473BF" w:rsidP="009473BF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9473BF">
        <w:rPr>
          <w:rFonts w:ascii="David" w:hAnsi="David" w:cs="David"/>
          <w:sz w:val="24"/>
          <w:szCs w:val="24"/>
          <w:rtl/>
        </w:rPr>
        <w:t>פשיטא לי</w:t>
      </w:r>
      <w:r w:rsidR="008D2904">
        <w:rPr>
          <w:rFonts w:ascii="David" w:hAnsi="David" w:cs="David" w:hint="cs"/>
          <w:sz w:val="24"/>
          <w:szCs w:val="24"/>
          <w:rtl/>
        </w:rPr>
        <w:t>:</w:t>
      </w:r>
      <w:r w:rsidRPr="009473BF">
        <w:rPr>
          <w:rFonts w:ascii="David" w:hAnsi="David" w:cs="David"/>
          <w:sz w:val="24"/>
          <w:szCs w:val="24"/>
          <w:rtl/>
        </w:rPr>
        <w:t xml:space="preserve"> אדם שאסר עצמו בדבר המותר לו ואחרים יודעים שהחמיר על עצמו אף על פי שידע שהוא היתר אלא שהדיר עצמו</w:t>
      </w:r>
      <w:r w:rsidR="008D2904">
        <w:rPr>
          <w:rFonts w:ascii="David" w:hAnsi="David" w:cs="David" w:hint="cs"/>
          <w:sz w:val="24"/>
          <w:szCs w:val="24"/>
          <w:rtl/>
        </w:rPr>
        <w:t xml:space="preserve">- </w:t>
      </w:r>
      <w:r w:rsidRPr="009473BF">
        <w:rPr>
          <w:rFonts w:ascii="David" w:hAnsi="David" w:cs="David"/>
          <w:sz w:val="24"/>
          <w:szCs w:val="24"/>
          <w:rtl/>
        </w:rPr>
        <w:t>פשיטא לי שסומך על אחרים ואין לחוש שמא יאכילהו</w:t>
      </w:r>
      <w:r w:rsidR="008D2904">
        <w:rPr>
          <w:rFonts w:ascii="David" w:hAnsi="David" w:cs="David" w:hint="cs"/>
          <w:sz w:val="24"/>
          <w:szCs w:val="24"/>
          <w:rtl/>
        </w:rPr>
        <w:t>.</w:t>
      </w:r>
      <w:r w:rsidRPr="009473BF">
        <w:rPr>
          <w:rFonts w:ascii="David" w:hAnsi="David" w:cs="David"/>
          <w:sz w:val="24"/>
          <w:szCs w:val="24"/>
          <w:rtl/>
        </w:rPr>
        <w:t xml:space="preserve"> כמו שנזיר אוכל בבית ישראל ולא חיישי' שמא שם בו ישראל יין באותו מאכל דלא עבר משום לפני עור לא תתן מכשול</w:t>
      </w:r>
      <w:r>
        <w:rPr>
          <w:rFonts w:ascii="David" w:hAnsi="David" w:cs="David" w:hint="cs"/>
          <w:sz w:val="24"/>
          <w:szCs w:val="24"/>
          <w:rtl/>
        </w:rPr>
        <w:t xml:space="preserve">.. </w:t>
      </w:r>
      <w:r w:rsidRPr="009473BF">
        <w:rPr>
          <w:rFonts w:ascii="David" w:hAnsi="David" w:cs="David"/>
          <w:sz w:val="24"/>
          <w:szCs w:val="24"/>
          <w:rtl/>
        </w:rPr>
        <w:t>אלא בהא נסתפקתי.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9473BF">
        <w:rPr>
          <w:rFonts w:ascii="David" w:hAnsi="David" w:cs="David"/>
          <w:sz w:val="24"/>
          <w:szCs w:val="24"/>
          <w:rtl/>
        </w:rPr>
        <w:t>ראובן שפירש עצמו ממאכלים מחמת שנראה לו שאלו המאכלים אסורים לו. ושמעון נוהג בהם היתר גמור</w:t>
      </w:r>
      <w:r w:rsidR="008D2904">
        <w:rPr>
          <w:rFonts w:ascii="David" w:hAnsi="David" w:cs="David" w:hint="cs"/>
          <w:sz w:val="24"/>
          <w:szCs w:val="24"/>
          <w:rtl/>
        </w:rPr>
        <w:t>,</w:t>
      </w:r>
      <w:r w:rsidRPr="009473BF">
        <w:rPr>
          <w:rFonts w:ascii="David" w:hAnsi="David" w:cs="David"/>
          <w:sz w:val="24"/>
          <w:szCs w:val="24"/>
          <w:rtl/>
        </w:rPr>
        <w:t xml:space="preserve"> ונראה לו שראובן טועה בדבר לגמרי</w:t>
      </w:r>
      <w:r w:rsidR="008D2904">
        <w:rPr>
          <w:rFonts w:ascii="David" w:hAnsi="David" w:cs="David" w:hint="cs"/>
          <w:sz w:val="24"/>
          <w:szCs w:val="24"/>
          <w:rtl/>
        </w:rPr>
        <w:t>.</w:t>
      </w:r>
      <w:r w:rsidRPr="009473BF">
        <w:rPr>
          <w:rFonts w:ascii="David" w:hAnsi="David" w:cs="David"/>
          <w:sz w:val="24"/>
          <w:szCs w:val="24"/>
          <w:rtl/>
        </w:rPr>
        <w:t xml:space="preserve"> אם יכול ראובן לאכול בבית שמעון</w:t>
      </w:r>
      <w:r w:rsidR="008D2904">
        <w:rPr>
          <w:rFonts w:ascii="David" w:hAnsi="David" w:cs="David" w:hint="cs"/>
          <w:sz w:val="24"/>
          <w:szCs w:val="24"/>
          <w:rtl/>
        </w:rPr>
        <w:t>,</w:t>
      </w:r>
      <w:r w:rsidRPr="009473BF">
        <w:rPr>
          <w:rFonts w:ascii="David" w:hAnsi="David" w:cs="David"/>
          <w:sz w:val="24"/>
          <w:szCs w:val="24"/>
          <w:rtl/>
        </w:rPr>
        <w:t xml:space="preserve"> מי אמרי' הואיל ששמעון תופס את ראובן טועה</w:t>
      </w:r>
      <w:r w:rsidR="008D2904">
        <w:rPr>
          <w:rFonts w:ascii="David" w:hAnsi="David" w:cs="David" w:hint="cs"/>
          <w:sz w:val="24"/>
          <w:szCs w:val="24"/>
          <w:rtl/>
        </w:rPr>
        <w:t>,</w:t>
      </w:r>
      <w:r w:rsidRPr="009473BF">
        <w:rPr>
          <w:rFonts w:ascii="David" w:hAnsi="David" w:cs="David"/>
          <w:sz w:val="24"/>
          <w:szCs w:val="24"/>
          <w:rtl/>
        </w:rPr>
        <w:t xml:space="preserve"> גם ראובן עצמו אם הי' יודע שהוא מותר היה אוכל</w:t>
      </w:r>
      <w:r w:rsidR="008D2904">
        <w:rPr>
          <w:rFonts w:ascii="David" w:hAnsi="David" w:cs="David" w:hint="cs"/>
          <w:sz w:val="24"/>
          <w:szCs w:val="24"/>
          <w:rtl/>
        </w:rPr>
        <w:t>,</w:t>
      </w:r>
      <w:r w:rsidRPr="009473BF">
        <w:rPr>
          <w:rFonts w:ascii="David" w:hAnsi="David" w:cs="David"/>
          <w:sz w:val="24"/>
          <w:szCs w:val="24"/>
          <w:rtl/>
        </w:rPr>
        <w:t xml:space="preserve"> אלא שמחמת טעותו מניח. הרי יש לחוש לראובן שמא שמעון יאכילנו וה"ל לגבי' דידי' כמו אסור</w:t>
      </w:r>
      <w:r w:rsidR="00FF485B">
        <w:rPr>
          <w:rFonts w:ascii="David" w:hAnsi="David" w:cs="David" w:hint="cs"/>
          <w:sz w:val="24"/>
          <w:szCs w:val="24"/>
          <w:rtl/>
        </w:rPr>
        <w:t xml:space="preserve">.. </w:t>
      </w:r>
      <w:r w:rsidRPr="009473BF">
        <w:rPr>
          <w:rFonts w:ascii="David" w:hAnsi="David" w:cs="David"/>
          <w:sz w:val="24"/>
          <w:szCs w:val="24"/>
          <w:rtl/>
        </w:rPr>
        <w:t>או דילמא לא ספי אינש לחברי' מידי דלא (סבירא) [כשירה] ליה. ויש לדקדק מ</w:t>
      </w:r>
      <w:r w:rsidR="00FF485B">
        <w:rPr>
          <w:rFonts w:ascii="David" w:hAnsi="David" w:cs="David" w:hint="cs"/>
          <w:sz w:val="24"/>
          <w:szCs w:val="24"/>
          <w:rtl/>
        </w:rPr>
        <w:t>..</w:t>
      </w:r>
      <w:r w:rsidRPr="009473BF">
        <w:rPr>
          <w:rFonts w:ascii="David" w:hAnsi="David" w:cs="David"/>
          <w:sz w:val="24"/>
          <w:szCs w:val="24"/>
          <w:rtl/>
        </w:rPr>
        <w:t>עשו ב"ש כדבריהם. והאי דלא נמנעו ב"ה מב"ש משום דמודעו להו ופרשי אלמא שסומך עליו ולא חיישינן דילמא ספי לי'</w:t>
      </w:r>
      <w:r w:rsidR="00FF485B">
        <w:rPr>
          <w:rStyle w:val="a5"/>
          <w:rFonts w:ascii="David" w:hAnsi="David" w:cs="David"/>
          <w:sz w:val="24"/>
          <w:szCs w:val="24"/>
          <w:rtl/>
        </w:rPr>
        <w:footnoteReference w:id="2"/>
      </w:r>
      <w:r w:rsidR="00FF485B">
        <w:rPr>
          <w:rFonts w:asciiTheme="majorBidi" w:hAnsiTheme="majorBidi" w:cs="Times New Roman" w:hint="cs"/>
          <w:sz w:val="24"/>
          <w:szCs w:val="24"/>
          <w:rtl/>
        </w:rPr>
        <w:t xml:space="preserve">". </w:t>
      </w:r>
      <w:r w:rsidR="00E01264">
        <w:rPr>
          <w:rFonts w:asciiTheme="majorBidi" w:hAnsiTheme="majorBidi" w:cstheme="majorBidi" w:hint="cs"/>
          <w:sz w:val="24"/>
          <w:szCs w:val="24"/>
          <w:rtl/>
        </w:rPr>
        <w:t xml:space="preserve">הריטב"א חולק על </w:t>
      </w:r>
      <w:r>
        <w:rPr>
          <w:rFonts w:asciiTheme="majorBidi" w:hAnsiTheme="majorBidi" w:cstheme="majorBidi" w:hint="cs"/>
          <w:sz w:val="24"/>
          <w:szCs w:val="24"/>
          <w:rtl/>
        </w:rPr>
        <w:t>החובה להודיע</w:t>
      </w:r>
      <w:r w:rsidR="00E01264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</w:p>
    <w:p w14:paraId="753386D5" w14:textId="4461B170" w:rsidR="00EC5C42" w:rsidRPr="009473BF" w:rsidRDefault="00E01264" w:rsidP="00E01264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E01264">
        <w:rPr>
          <w:rFonts w:ascii="David" w:hAnsi="David" w:cs="David"/>
          <w:sz w:val="24"/>
          <w:szCs w:val="24"/>
          <w:rtl/>
        </w:rPr>
        <w:t>"מדינא נהי ד</w:t>
      </w:r>
      <w:r w:rsidRPr="008C01E7">
        <w:rPr>
          <w:rFonts w:ascii="David" w:hAnsi="David" w:cs="David"/>
          <w:b/>
          <w:bCs/>
          <w:sz w:val="24"/>
          <w:szCs w:val="24"/>
          <w:rtl/>
        </w:rPr>
        <w:t xml:space="preserve">אסור למיספי להו בידים </w:t>
      </w:r>
      <w:r w:rsidRPr="00E01264">
        <w:rPr>
          <w:rFonts w:ascii="David" w:hAnsi="David" w:cs="David"/>
          <w:sz w:val="24"/>
          <w:szCs w:val="24"/>
          <w:rtl/>
        </w:rPr>
        <w:t>כדאמרינן בחולין</w:t>
      </w:r>
      <w:r w:rsidR="00612E7C">
        <w:rPr>
          <w:rFonts w:ascii="David" w:hAnsi="David" w:cs="David" w:hint="cs"/>
          <w:sz w:val="24"/>
          <w:szCs w:val="24"/>
          <w:rtl/>
        </w:rPr>
        <w:t>:</w:t>
      </w:r>
      <w:r w:rsidRPr="00E01264">
        <w:rPr>
          <w:rFonts w:ascii="David" w:hAnsi="David" w:cs="David"/>
          <w:sz w:val="24"/>
          <w:szCs w:val="24"/>
          <w:rtl/>
        </w:rPr>
        <w:t xml:space="preserve"> חס ליה לזרעי' דאבא בר אבא למיספי מידי דלא ס"ל, מ"מ כד ספו אינהו מנפשייהו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Pr="00E01264">
        <w:rPr>
          <w:rFonts w:ascii="David" w:hAnsi="David" w:cs="David"/>
          <w:sz w:val="24"/>
          <w:szCs w:val="24"/>
          <w:rtl/>
        </w:rPr>
        <w:t xml:space="preserve"> </w:t>
      </w:r>
      <w:r w:rsidRPr="00E01264">
        <w:rPr>
          <w:rFonts w:ascii="David" w:hAnsi="David" w:cs="David"/>
          <w:b/>
          <w:bCs/>
          <w:sz w:val="24"/>
          <w:szCs w:val="24"/>
          <w:rtl/>
        </w:rPr>
        <w:t>לא מחייבי לאפרושינהו</w:t>
      </w:r>
      <w:r w:rsidR="00B87696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E01264">
        <w:rPr>
          <w:rFonts w:ascii="David" w:hAnsi="David" w:cs="David"/>
          <w:sz w:val="24"/>
          <w:szCs w:val="24"/>
          <w:rtl/>
        </w:rPr>
        <w:t xml:space="preserve"> כיון דלדידהו היתר גמור הוא, אלא דאהבה וריעות נוהגים זה בזה</w:t>
      </w:r>
      <w:r w:rsidR="00FF485B">
        <w:rPr>
          <w:rFonts w:ascii="David" w:hAnsi="David" w:cs="David" w:hint="cs"/>
          <w:sz w:val="24"/>
          <w:szCs w:val="24"/>
          <w:rtl/>
        </w:rPr>
        <w:t>,</w:t>
      </w:r>
      <w:r w:rsidRPr="00E01264">
        <w:rPr>
          <w:rFonts w:ascii="David" w:hAnsi="David" w:cs="David"/>
          <w:sz w:val="24"/>
          <w:szCs w:val="24"/>
          <w:rtl/>
        </w:rPr>
        <w:t xml:space="preserve"> ומאי דסני להו לחבריהו לא עבדי</w:t>
      </w:r>
      <w:r w:rsidRPr="00E01264">
        <w:rPr>
          <w:rStyle w:val="a5"/>
          <w:rFonts w:ascii="David" w:hAnsi="David" w:cs="David"/>
          <w:sz w:val="24"/>
          <w:szCs w:val="24"/>
          <w:rtl/>
        </w:rPr>
        <w:footnoteReference w:id="3"/>
      </w:r>
      <w:r w:rsidRPr="00E01264">
        <w:rPr>
          <w:rFonts w:ascii="David" w:hAnsi="David" w:cs="David"/>
          <w:sz w:val="24"/>
          <w:szCs w:val="24"/>
          <w:rtl/>
        </w:rPr>
        <w:t>".</w:t>
      </w:r>
      <w:r w:rsidR="009473BF">
        <w:rPr>
          <w:rFonts w:ascii="David" w:hAnsi="David" w:cs="David" w:hint="cs"/>
          <w:sz w:val="24"/>
          <w:szCs w:val="24"/>
          <w:rtl/>
        </w:rPr>
        <w:t xml:space="preserve"> </w:t>
      </w:r>
      <w:r w:rsidR="009473BF">
        <w:rPr>
          <w:rFonts w:asciiTheme="majorBidi" w:hAnsiTheme="majorBidi" w:cstheme="majorBidi" w:hint="cs"/>
          <w:sz w:val="24"/>
          <w:szCs w:val="24"/>
          <w:rtl/>
        </w:rPr>
        <w:t>הרי הסוגיה בחולין</w:t>
      </w:r>
      <w:r w:rsidR="00B87696">
        <w:rPr>
          <w:rFonts w:asciiTheme="majorBidi" w:hAnsiTheme="majorBidi" w:cstheme="majorBidi" w:hint="cs"/>
          <w:sz w:val="24"/>
          <w:szCs w:val="24"/>
          <w:rtl/>
        </w:rPr>
        <w:t xml:space="preserve"> שהזכיר הריטב"א</w:t>
      </w:r>
      <w:r w:rsidR="009473BF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</w:p>
    <w:p w14:paraId="1F224D05" w14:textId="170D442E" w:rsidR="000071F6" w:rsidRDefault="00612E7C" w:rsidP="000071F6">
      <w:pPr>
        <w:spacing w:after="0" w:line="36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"</w:t>
      </w:r>
      <w:r w:rsidR="004C0BF6" w:rsidRPr="004C0BF6">
        <w:rPr>
          <w:rFonts w:ascii="David" w:hAnsi="David" w:cs="David"/>
          <w:sz w:val="24"/>
          <w:szCs w:val="24"/>
          <w:rtl/>
        </w:rPr>
        <w:t>איתמר, דגים שעלו בקערה, רב אמר: אסור לאכלן בכותח, ושמואל אמר: מותר לאכלן בכותח; רב אמר אסור - נותן טעם הוא, ושמואל אמר מותר - נותן טעם בר נ"ט הוא.</w:t>
      </w:r>
      <w:r>
        <w:rPr>
          <w:rFonts w:ascii="David" w:hAnsi="David" w:cs="David" w:hint="cs"/>
          <w:sz w:val="24"/>
          <w:szCs w:val="24"/>
          <w:rtl/>
        </w:rPr>
        <w:t>..</w:t>
      </w:r>
      <w:r w:rsidR="004C0BF6" w:rsidRPr="004C0BF6">
        <w:rPr>
          <w:rFonts w:ascii="David" w:hAnsi="David" w:cs="David"/>
          <w:sz w:val="24"/>
          <w:szCs w:val="24"/>
          <w:rtl/>
        </w:rPr>
        <w:t xml:space="preserve"> רבי אלעזר הוה קאים קמיה דמר שמואל, אייתו לקמיה דגים שעלו בקערה וקא אכיל בכותח, יהיב ליה ולא אכל, א"ל: לרבך יהיבי ליה - ואכל, ואת לא אכלת? אתא לקמיה דרב, א"ל: הדר ביה מר משמעתיה? א"ל: חס ליה לזרעיה דאבא בר אבא דליספי לי מידי ולא סבירא לי</w:t>
      </w:r>
      <w:r>
        <w:rPr>
          <w:rStyle w:val="a5"/>
          <w:rFonts w:ascii="David" w:hAnsi="David" w:cs="David"/>
          <w:sz w:val="24"/>
          <w:szCs w:val="24"/>
          <w:rtl/>
        </w:rPr>
        <w:footnoteReference w:id="4"/>
      </w:r>
      <w:r w:rsidR="00C47666">
        <w:rPr>
          <w:rFonts w:ascii="David" w:hAnsi="David" w:cs="David" w:hint="cs"/>
          <w:sz w:val="24"/>
          <w:szCs w:val="24"/>
          <w:rtl/>
        </w:rPr>
        <w:t>"</w:t>
      </w:r>
      <w:r w:rsidR="004C0BF6" w:rsidRPr="004C0BF6">
        <w:rPr>
          <w:rFonts w:ascii="David" w:hAnsi="David" w:cs="David"/>
          <w:sz w:val="24"/>
          <w:szCs w:val="24"/>
          <w:rtl/>
        </w:rPr>
        <w:t>.</w:t>
      </w:r>
      <w:r w:rsidR="00C47666">
        <w:rPr>
          <w:rFonts w:ascii="David" w:hAnsi="David" w:cs="David" w:hint="cs"/>
          <w:sz w:val="24"/>
          <w:szCs w:val="24"/>
          <w:rtl/>
        </w:rPr>
        <w:t xml:space="preserve"> </w:t>
      </w:r>
      <w:r w:rsidR="00C47666">
        <w:rPr>
          <w:rFonts w:asciiTheme="majorBidi" w:hAnsiTheme="majorBidi" w:cstheme="majorBidi" w:hint="cs"/>
          <w:sz w:val="24"/>
          <w:szCs w:val="24"/>
          <w:rtl/>
        </w:rPr>
        <w:t xml:space="preserve">כלומר: רב היה בטוח שלא יתכן ששמואל האכיל אותו דבר שמותר לדעת שמואל אך אסור לדעת רב. לכאורה יש להבין: שמואל הצהיר במפורש </w:t>
      </w:r>
      <w:r w:rsidR="000071F6">
        <w:rPr>
          <w:rFonts w:asciiTheme="majorBidi" w:hAnsiTheme="majorBidi" w:cstheme="majorBidi" w:hint="cs"/>
          <w:sz w:val="24"/>
          <w:szCs w:val="24"/>
          <w:rtl/>
        </w:rPr>
        <w:t xml:space="preserve">שהאכיל את רב, כיצד רב מכחיש זאת? הריטב"א שם מציע לכך שני תירוצים: </w:t>
      </w:r>
    </w:p>
    <w:p w14:paraId="4567D02A" w14:textId="51C36CA1" w:rsidR="006C1BE5" w:rsidRPr="006C1BE5" w:rsidRDefault="000071F6" w:rsidP="006C1BE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71F6">
        <w:rPr>
          <w:rFonts w:ascii="David" w:hAnsi="David" w:cs="David"/>
          <w:sz w:val="24"/>
          <w:szCs w:val="24"/>
          <w:rtl/>
        </w:rPr>
        <w:t>"מגזם היה דבריו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Pr="000071F6">
        <w:rPr>
          <w:rFonts w:ascii="David" w:hAnsi="David" w:cs="David"/>
          <w:sz w:val="24"/>
          <w:szCs w:val="24"/>
          <w:rtl/>
        </w:rPr>
        <w:t xml:space="preserve"> </w:t>
      </w:r>
      <w:r w:rsidRPr="000071F6">
        <w:rPr>
          <w:rFonts w:ascii="David" w:hAnsi="David" w:cs="David"/>
          <w:b/>
          <w:bCs/>
          <w:sz w:val="24"/>
          <w:szCs w:val="24"/>
          <w:rtl/>
        </w:rPr>
        <w:t xml:space="preserve">שאילו </w:t>
      </w:r>
      <w:r w:rsidRPr="000071F6">
        <w:rPr>
          <w:rFonts w:ascii="David" w:hAnsi="David" w:cs="David"/>
          <w:sz w:val="24"/>
          <w:szCs w:val="24"/>
          <w:rtl/>
        </w:rPr>
        <w:t>היה נותן לרבו היה אוכל, כלומר שיקפחנו בדברים עד שיאכל, ומורי נר"ו פירש ד</w:t>
      </w:r>
      <w:r w:rsidR="00B87696">
        <w:rPr>
          <w:rFonts w:ascii="David" w:hAnsi="David" w:cs="David" w:hint="cs"/>
          <w:sz w:val="24"/>
          <w:szCs w:val="24"/>
          <w:rtl/>
        </w:rPr>
        <w:t>'</w:t>
      </w:r>
      <w:r w:rsidRPr="000071F6">
        <w:rPr>
          <w:rFonts w:ascii="David" w:hAnsi="David" w:cs="David"/>
          <w:sz w:val="24"/>
          <w:szCs w:val="24"/>
          <w:rtl/>
        </w:rPr>
        <w:t>רבך</w:t>
      </w:r>
      <w:r w:rsidR="00B87696">
        <w:rPr>
          <w:rFonts w:ascii="David" w:hAnsi="David" w:cs="David" w:hint="cs"/>
          <w:sz w:val="24"/>
          <w:szCs w:val="24"/>
          <w:rtl/>
        </w:rPr>
        <w:t>'</w:t>
      </w:r>
      <w:r w:rsidRPr="000071F6">
        <w:rPr>
          <w:rFonts w:ascii="David" w:hAnsi="David" w:cs="David"/>
          <w:sz w:val="24"/>
          <w:szCs w:val="24"/>
          <w:rtl/>
        </w:rPr>
        <w:t xml:space="preserve"> דקאמר ליה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Pr="000071F6">
        <w:rPr>
          <w:rFonts w:ascii="David" w:hAnsi="David" w:cs="David"/>
          <w:sz w:val="24"/>
          <w:szCs w:val="24"/>
          <w:rtl/>
        </w:rPr>
        <w:t xml:space="preserve"> לאו משום רב קאמר אלא משום חד דרבנן דהוה ליה [רבו]".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C06583">
        <w:rPr>
          <w:rFonts w:asciiTheme="majorBidi" w:hAnsiTheme="majorBidi" w:cstheme="majorBidi" w:hint="cs"/>
          <w:sz w:val="24"/>
          <w:szCs w:val="24"/>
          <w:rtl/>
        </w:rPr>
        <w:t>או שהכוונה היא ששמואל התכוון: אילו הייתי נותן לרב</w:t>
      </w:r>
      <w:r w:rsidR="00C06583">
        <w:rPr>
          <w:rStyle w:val="a5"/>
          <w:rFonts w:asciiTheme="majorBidi" w:hAnsiTheme="majorBidi" w:cstheme="majorBidi"/>
          <w:sz w:val="24"/>
          <w:szCs w:val="24"/>
          <w:rtl/>
        </w:rPr>
        <w:footnoteReference w:id="5"/>
      </w:r>
      <w:r w:rsidR="00C06583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בנוסף לכך, בכל מקרה שמואל רצה להאכיל את רבי אלעזר דבר האסור לפי שיטתו. אולי זו הסיבה שרש"י מסביר: </w:t>
      </w:r>
      <w:r w:rsidR="006C1BE5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</w:p>
    <w:p w14:paraId="78BB5CF7" w14:textId="04D8BD6F" w:rsidR="004C0BF6" w:rsidRPr="008C01E7" w:rsidRDefault="006C1BE5" w:rsidP="00C06583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6C1BE5">
        <w:rPr>
          <w:rFonts w:ascii="David" w:hAnsi="David" w:cs="David"/>
          <w:sz w:val="24"/>
          <w:szCs w:val="24"/>
          <w:rtl/>
        </w:rPr>
        <w:t>"קאים קמיה - משמש לפניו בסעודה".</w:t>
      </w:r>
      <w:r w:rsidR="00C06583">
        <w:rPr>
          <w:rFonts w:ascii="David" w:hAnsi="David" w:cs="David" w:hint="cs"/>
          <w:sz w:val="24"/>
          <w:szCs w:val="24"/>
          <w:rtl/>
        </w:rPr>
        <w:t xml:space="preserve"> </w:t>
      </w:r>
      <w:r w:rsidR="00C06583">
        <w:rPr>
          <w:rFonts w:asciiTheme="majorBidi" w:hAnsiTheme="majorBidi" w:cstheme="majorBidi" w:hint="cs"/>
          <w:sz w:val="24"/>
          <w:szCs w:val="24"/>
          <w:rtl/>
        </w:rPr>
        <w:t>וראה בדיוק מה נעשה במטבח</w:t>
      </w:r>
      <w:r w:rsidR="00DE71CE">
        <w:rPr>
          <w:rStyle w:val="a5"/>
          <w:rFonts w:asciiTheme="majorBidi" w:hAnsiTheme="majorBidi" w:cstheme="majorBidi"/>
          <w:sz w:val="24"/>
          <w:szCs w:val="24"/>
          <w:rtl/>
        </w:rPr>
        <w:footnoteReference w:id="6"/>
      </w:r>
      <w:r w:rsidR="00C06583">
        <w:rPr>
          <w:rFonts w:asciiTheme="majorBidi" w:hAnsiTheme="majorBidi" w:cstheme="majorBidi" w:hint="cs"/>
          <w:sz w:val="24"/>
          <w:szCs w:val="24"/>
          <w:rtl/>
        </w:rPr>
        <w:t>, ו</w:t>
      </w:r>
      <w:r w:rsidR="00C06583" w:rsidRPr="00C06583">
        <w:rPr>
          <w:rFonts w:ascii="David" w:hAnsi="David" w:cs="David"/>
          <w:sz w:val="24"/>
          <w:szCs w:val="24"/>
          <w:rtl/>
        </w:rPr>
        <w:t>"כשהאיסור ניכר לו לאוסר דאי לא סבירא ליה לא ליכול</w:t>
      </w:r>
      <w:r w:rsidR="00C06583" w:rsidRPr="00C06583">
        <w:rPr>
          <w:rStyle w:val="a5"/>
          <w:rFonts w:ascii="David" w:hAnsi="David" w:cs="David"/>
          <w:sz w:val="24"/>
          <w:szCs w:val="24"/>
          <w:rtl/>
        </w:rPr>
        <w:footnoteReference w:id="7"/>
      </w:r>
      <w:r w:rsidR="00C06583" w:rsidRPr="00C06583">
        <w:rPr>
          <w:rFonts w:ascii="David" w:hAnsi="David" w:cs="David"/>
          <w:sz w:val="24"/>
          <w:szCs w:val="24"/>
          <w:rtl/>
        </w:rPr>
        <w:t>".</w:t>
      </w:r>
      <w:r w:rsidR="008C01E7">
        <w:rPr>
          <w:rFonts w:ascii="David" w:hAnsi="David" w:cs="David" w:hint="cs"/>
          <w:sz w:val="24"/>
          <w:szCs w:val="24"/>
          <w:rtl/>
        </w:rPr>
        <w:t xml:space="preserve"> </w:t>
      </w:r>
      <w:r w:rsidR="008C01E7">
        <w:rPr>
          <w:rFonts w:asciiTheme="majorBidi" w:hAnsiTheme="majorBidi" w:cstheme="majorBidi" w:hint="cs"/>
          <w:sz w:val="24"/>
          <w:szCs w:val="24"/>
          <w:rtl/>
        </w:rPr>
        <w:t xml:space="preserve">ראיה דומה ניתן להביא מסוגיה בסוכה: </w:t>
      </w:r>
    </w:p>
    <w:p w14:paraId="0FE9D029" w14:textId="2CC78271" w:rsidR="008C01E7" w:rsidRPr="008C01E7" w:rsidRDefault="008C01E7" w:rsidP="00CA5A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4C0BF6" w:rsidRPr="004C0BF6">
        <w:rPr>
          <w:rFonts w:ascii="David" w:hAnsi="David" w:cs="David"/>
          <w:sz w:val="24"/>
          <w:szCs w:val="24"/>
          <w:rtl/>
        </w:rPr>
        <w:t>אתמר, נויי סוכה המופלגין ממנה ארבעה. רב נחמן אמר: כשרה, רב חסדא ורבה בר רב הונא אמרי: פסולה. רב חסדא ורבה בר רב הונא איקלעו לבי ריש גלותא, אגנינהו רב נחמן בסוכה שנוייה מופלגין ממנה ארבעה טפחים</w:t>
      </w:r>
      <w:r w:rsidR="004A23B1">
        <w:rPr>
          <w:rStyle w:val="a5"/>
          <w:rFonts w:ascii="David" w:hAnsi="David" w:cs="David"/>
          <w:sz w:val="24"/>
          <w:szCs w:val="24"/>
          <w:rtl/>
        </w:rPr>
        <w:footnoteReference w:id="8"/>
      </w:r>
      <w:r w:rsidR="004C0BF6" w:rsidRPr="004C0BF6">
        <w:rPr>
          <w:rFonts w:ascii="David" w:hAnsi="David" w:cs="David"/>
          <w:sz w:val="24"/>
          <w:szCs w:val="24"/>
          <w:rtl/>
        </w:rPr>
        <w:t>, אשתיקו ולא אמרו ליה ולא מידי. אמר להו: הדור בהו רבנן משמעתייהו? - אמרו ליה: אנן שלוחי מצוה אנן ופטורין מן הסוכה</w:t>
      </w:r>
      <w:r>
        <w:rPr>
          <w:rStyle w:val="a5"/>
          <w:rFonts w:ascii="David" w:hAnsi="David" w:cs="David"/>
          <w:sz w:val="24"/>
          <w:szCs w:val="24"/>
          <w:rtl/>
        </w:rPr>
        <w:footnoteReference w:id="9"/>
      </w:r>
      <w:r>
        <w:rPr>
          <w:rFonts w:ascii="David" w:hAnsi="David" w:cs="David" w:hint="cs"/>
          <w:sz w:val="24"/>
          <w:szCs w:val="24"/>
          <w:rtl/>
        </w:rPr>
        <w:t>"</w:t>
      </w:r>
      <w:r w:rsidR="004C0BF6" w:rsidRPr="004C0BF6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A9BF7C9" w14:textId="01BEC6F8" w:rsidR="004C0BF6" w:rsidRDefault="00CA5A1E" w:rsidP="00CA5A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8C01E7" w:rsidRPr="008C01E7">
        <w:rPr>
          <w:rFonts w:ascii="David" w:hAnsi="David" w:cs="David"/>
          <w:sz w:val="24"/>
          <w:szCs w:val="24"/>
          <w:rtl/>
        </w:rPr>
        <w:t>יש אומרים דמהא שמעינן שהמאכיל לחבירו מה שהוא מותר לו לפי דעתו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="008C01E7" w:rsidRPr="008C01E7">
        <w:rPr>
          <w:rFonts w:ascii="David" w:hAnsi="David" w:cs="David"/>
          <w:sz w:val="24"/>
          <w:szCs w:val="24"/>
          <w:rtl/>
        </w:rPr>
        <w:t xml:space="preserve"> אין בזה משום לפני עור לא תתן מכשול, ואף על פי שיודע בחברו שהוא אסור לו לפי דעתו וחבירו בעל הוראה, שהמאכיל היה גם כן ראוי להוראה </w:t>
      </w:r>
      <w:r w:rsidR="008C01E7" w:rsidRPr="00CA5A1E">
        <w:rPr>
          <w:rFonts w:ascii="David" w:hAnsi="David" w:cs="David"/>
          <w:b/>
          <w:bCs/>
          <w:sz w:val="24"/>
          <w:szCs w:val="24"/>
          <w:rtl/>
        </w:rPr>
        <w:t>וסומך על דעתו</w:t>
      </w:r>
      <w:r w:rsidR="008C01E7" w:rsidRPr="008C01E7">
        <w:rPr>
          <w:rFonts w:ascii="David" w:hAnsi="David" w:cs="David"/>
          <w:sz w:val="24"/>
          <w:szCs w:val="24"/>
          <w:rtl/>
        </w:rPr>
        <w:t xml:space="preserve"> להאכיל לעצמו ולאחרים לפי דעתו</w:t>
      </w:r>
      <w:r w:rsidR="003636C6">
        <w:rPr>
          <w:rStyle w:val="a5"/>
          <w:rFonts w:ascii="David" w:hAnsi="David" w:cs="David"/>
          <w:sz w:val="24"/>
          <w:szCs w:val="24"/>
          <w:rtl/>
        </w:rPr>
        <w:footnoteReference w:id="10"/>
      </w:r>
      <w:r w:rsidR="008C01E7" w:rsidRPr="008C01E7">
        <w:rPr>
          <w:rFonts w:ascii="David" w:hAnsi="David" w:cs="David"/>
          <w:sz w:val="24"/>
          <w:szCs w:val="24"/>
          <w:rtl/>
        </w:rPr>
        <w:t xml:space="preserve">, ונ"ל דהכא דוקא </w:t>
      </w:r>
      <w:r w:rsidR="008C01E7" w:rsidRPr="00CA5A1E">
        <w:rPr>
          <w:rFonts w:ascii="David" w:hAnsi="David" w:cs="David"/>
          <w:b/>
          <w:bCs/>
          <w:sz w:val="24"/>
          <w:szCs w:val="24"/>
          <w:rtl/>
        </w:rPr>
        <w:t>מפני שהאיסור ניכר לחברו</w:t>
      </w:r>
      <w:r w:rsidR="00B87696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8C01E7" w:rsidRPr="008C01E7">
        <w:rPr>
          <w:rFonts w:ascii="David" w:hAnsi="David" w:cs="David"/>
          <w:sz w:val="24"/>
          <w:szCs w:val="24"/>
          <w:rtl/>
        </w:rPr>
        <w:t xml:space="preserve"> ואי לא סבירא ליה לא ליכול הא בשאינו ניכר לחבירו לא</w:t>
      </w:r>
      <w:r w:rsidR="008C01E7">
        <w:rPr>
          <w:rStyle w:val="a5"/>
          <w:rFonts w:ascii="David" w:hAnsi="David" w:cs="David"/>
          <w:sz w:val="24"/>
          <w:szCs w:val="24"/>
          <w:rtl/>
        </w:rPr>
        <w:footnoteReference w:id="11"/>
      </w:r>
      <w:r>
        <w:rPr>
          <w:rFonts w:ascii="David" w:hAnsi="David" w:cs="David" w:hint="cs"/>
          <w:sz w:val="24"/>
          <w:szCs w:val="24"/>
          <w:rtl/>
        </w:rPr>
        <w:t>".</w:t>
      </w:r>
      <w:r w:rsidR="0091374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CA5A1E">
        <w:rPr>
          <w:rFonts w:asciiTheme="majorBidi" w:hAnsiTheme="majorBidi" w:cstheme="majorBidi"/>
          <w:sz w:val="24"/>
          <w:szCs w:val="24"/>
          <w:rtl/>
        </w:rPr>
        <w:t>בעל ערוך לנר  חולק להלכה ואוסר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CA5A1E">
        <w:rPr>
          <w:rFonts w:ascii="David" w:hAnsi="David" w:cs="David"/>
          <w:sz w:val="24"/>
          <w:szCs w:val="24"/>
          <w:rtl/>
        </w:rPr>
        <w:t>אף על פי דאפשר להכיר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A5A1E">
        <w:rPr>
          <w:rFonts w:ascii="David" w:hAnsi="David" w:cs="David"/>
          <w:sz w:val="24"/>
          <w:szCs w:val="24"/>
          <w:rtl/>
        </w:rPr>
        <w:t xml:space="preserve"> שיש לחוש שמא לא יכיר</w:t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2E164F96" w14:textId="6A5B3122" w:rsidR="007749AC" w:rsidRPr="007749AC" w:rsidRDefault="00CA5A1E" w:rsidP="007749AC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A5A1E">
        <w:rPr>
          <w:rFonts w:asciiTheme="majorBidi" w:hAnsiTheme="majorBidi" w:cstheme="majorBidi"/>
          <w:sz w:val="24"/>
          <w:szCs w:val="24"/>
          <w:rtl/>
        </w:rPr>
        <w:t>באור זרוע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12"/>
      </w:r>
      <w:r w:rsidRPr="00CA5A1E">
        <w:rPr>
          <w:rFonts w:asciiTheme="majorBidi" w:hAnsiTheme="majorBidi" w:cstheme="majorBidi"/>
          <w:sz w:val="24"/>
          <w:szCs w:val="24"/>
          <w:rtl/>
        </w:rPr>
        <w:t xml:space="preserve"> מסכים עם הריטב"א</w:t>
      </w:r>
      <w:r w:rsidR="007749AC">
        <w:rPr>
          <w:rFonts w:asciiTheme="majorBidi" w:hAnsiTheme="majorBidi" w:cstheme="majorBidi" w:hint="cs"/>
          <w:sz w:val="24"/>
          <w:szCs w:val="24"/>
          <w:rtl/>
        </w:rPr>
        <w:t xml:space="preserve">, ומוכיח זאת מסוגייתנו. שאל בבניין ציון: </w:t>
      </w:r>
    </w:p>
    <w:p w14:paraId="1D51C601" w14:textId="51E90A07" w:rsidR="00B626A6" w:rsidRDefault="007749AC" w:rsidP="00DE5E0F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749AC">
        <w:rPr>
          <w:rFonts w:ascii="David" w:hAnsi="David" w:cs="David"/>
          <w:sz w:val="24"/>
          <w:szCs w:val="24"/>
          <w:rtl/>
        </w:rPr>
        <w:lastRenderedPageBreak/>
        <w:t>"דילמא ב"ה בקשו מב"ש שיודיעו להם</w:t>
      </w:r>
      <w:r w:rsidR="00DE5E0F">
        <w:rPr>
          <w:rFonts w:ascii="David" w:hAnsi="David" w:cs="David" w:hint="cs"/>
          <w:sz w:val="24"/>
          <w:szCs w:val="24"/>
          <w:rtl/>
        </w:rPr>
        <w:t>,</w:t>
      </w:r>
      <w:r w:rsidRPr="007749AC">
        <w:rPr>
          <w:rFonts w:ascii="David" w:hAnsi="David" w:cs="David"/>
          <w:sz w:val="24"/>
          <w:szCs w:val="24"/>
          <w:rtl/>
        </w:rPr>
        <w:t xml:space="preserve"> ואז ודאי היו יכולים לסמוך עליהם בלא חשש</w:t>
      </w:r>
      <w:r w:rsidR="00B87696">
        <w:rPr>
          <w:rFonts w:ascii="David" w:hAnsi="David" w:cs="David" w:hint="cs"/>
          <w:sz w:val="24"/>
          <w:szCs w:val="24"/>
          <w:rtl/>
        </w:rPr>
        <w:t>.</w:t>
      </w:r>
      <w:r w:rsidRPr="007749AC">
        <w:rPr>
          <w:rFonts w:ascii="David" w:hAnsi="David" w:cs="David"/>
          <w:sz w:val="24"/>
          <w:szCs w:val="24"/>
          <w:rtl/>
        </w:rPr>
        <w:t xml:space="preserve"> דילמא ספי להו איסורא דשארית ישראל לא ידבר כזב</w:t>
      </w:r>
      <w:r w:rsidRPr="007749AC">
        <w:rPr>
          <w:rStyle w:val="a5"/>
          <w:rFonts w:ascii="David" w:hAnsi="David" w:cs="David"/>
          <w:sz w:val="24"/>
          <w:szCs w:val="24"/>
          <w:rtl/>
        </w:rPr>
        <w:footnoteReference w:id="13"/>
      </w:r>
      <w:r w:rsidRPr="007749AC">
        <w:rPr>
          <w:rFonts w:ascii="David" w:hAnsi="David" w:cs="David"/>
          <w:sz w:val="24"/>
          <w:szCs w:val="24"/>
          <w:rtl/>
        </w:rPr>
        <w:t>".</w:t>
      </w:r>
      <w:r w:rsidR="00DE5E0F">
        <w:rPr>
          <w:rFonts w:ascii="David" w:hAnsi="David" w:cs="David" w:hint="cs"/>
          <w:sz w:val="24"/>
          <w:szCs w:val="24"/>
          <w:rtl/>
        </w:rPr>
        <w:t xml:space="preserve"> </w:t>
      </w:r>
      <w:r w:rsidR="00DE5E0F" w:rsidRPr="00DE5E0F">
        <w:rPr>
          <w:rFonts w:asciiTheme="majorBidi" w:hAnsiTheme="majorBidi" w:cstheme="majorBidi"/>
          <w:sz w:val="24"/>
          <w:szCs w:val="24"/>
          <w:rtl/>
        </w:rPr>
        <w:t xml:space="preserve">אמנם </w:t>
      </w:r>
      <w:r w:rsidR="00DE5E0F">
        <w:rPr>
          <w:rFonts w:ascii="David" w:hAnsi="David" w:cs="David" w:hint="cs"/>
          <w:sz w:val="24"/>
          <w:szCs w:val="24"/>
          <w:rtl/>
        </w:rPr>
        <w:t>"</w:t>
      </w:r>
      <w:r w:rsidR="00DE5E0F" w:rsidRPr="00DE5E0F">
        <w:rPr>
          <w:rFonts w:ascii="David" w:hAnsi="David" w:cs="David"/>
          <w:sz w:val="24"/>
          <w:szCs w:val="24"/>
          <w:rtl/>
        </w:rPr>
        <w:t>אי הכי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="00DE5E0F" w:rsidRPr="00DE5E0F">
        <w:rPr>
          <w:rFonts w:ascii="David" w:hAnsi="David" w:cs="David"/>
          <w:sz w:val="24"/>
          <w:szCs w:val="24"/>
          <w:rtl/>
        </w:rPr>
        <w:t xml:space="preserve"> מאי הרבותא דלא נמנעו מלישא נשים מהם</w:t>
      </w:r>
      <w:r w:rsidR="00DE5E0F">
        <w:rPr>
          <w:rStyle w:val="a5"/>
          <w:rFonts w:ascii="David" w:hAnsi="David" w:cs="David"/>
          <w:sz w:val="24"/>
          <w:szCs w:val="24"/>
          <w:rtl/>
        </w:rPr>
        <w:footnoteReference w:id="14"/>
      </w:r>
      <w:r w:rsidR="00DE5E0F">
        <w:rPr>
          <w:rFonts w:ascii="David" w:hAnsi="David" w:cs="David" w:hint="cs"/>
          <w:sz w:val="24"/>
          <w:szCs w:val="24"/>
          <w:rtl/>
        </w:rPr>
        <w:t>?".</w:t>
      </w:r>
      <w:r w:rsidR="00913743">
        <w:rPr>
          <w:rFonts w:asciiTheme="majorBidi" w:hAnsiTheme="majorBidi" w:cstheme="majorBidi" w:hint="cs"/>
          <w:sz w:val="24"/>
          <w:szCs w:val="24"/>
          <w:rtl/>
        </w:rPr>
        <w:t xml:space="preserve"> לדעת הריטב"א משמע שכשהאיסור נסתר, יש כאן לפני עיוור לא תיתן מכשול</w:t>
      </w:r>
      <w:r w:rsidR="00FF485B">
        <w:rPr>
          <w:rStyle w:val="a5"/>
          <w:rFonts w:asciiTheme="majorBidi" w:hAnsiTheme="majorBidi" w:cstheme="majorBidi"/>
          <w:sz w:val="24"/>
          <w:szCs w:val="24"/>
          <w:rtl/>
        </w:rPr>
        <w:footnoteReference w:id="15"/>
      </w:r>
      <w:r w:rsidR="00913743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15FE803" w14:textId="5B0F7EAE" w:rsidR="00CB0E50" w:rsidRPr="00CB0E50" w:rsidRDefault="00913743" w:rsidP="00CB0E50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הראב"ד בוודאי חולק על כך. </w:t>
      </w:r>
      <w:r w:rsidR="00CB0E50">
        <w:rPr>
          <w:rFonts w:asciiTheme="majorBidi" w:hAnsiTheme="majorBidi" w:cstheme="majorBidi" w:hint="cs"/>
          <w:sz w:val="24"/>
          <w:szCs w:val="24"/>
          <w:rtl/>
        </w:rPr>
        <w:t xml:space="preserve">גם בפרי חדש </w:t>
      </w:r>
      <w:r w:rsidR="00CB0E50">
        <w:rPr>
          <w:rFonts w:asciiTheme="majorBidi" w:hAnsiTheme="majorBidi" w:cs="Times New Roman" w:hint="cs"/>
          <w:sz w:val="24"/>
          <w:szCs w:val="24"/>
          <w:rtl/>
        </w:rPr>
        <w:t xml:space="preserve">תהה: </w:t>
      </w:r>
    </w:p>
    <w:p w14:paraId="312BB032" w14:textId="74328010" w:rsidR="00913743" w:rsidRPr="00CB0E50" w:rsidRDefault="00CB0E50" w:rsidP="00CB0E50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CB0E50">
        <w:rPr>
          <w:rFonts w:ascii="David" w:hAnsi="David" w:cs="David"/>
          <w:sz w:val="24"/>
          <w:szCs w:val="24"/>
          <w:rtl/>
        </w:rPr>
        <w:t>אם אית' דאיכ' איסור לפני עור לא תתן מכשול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Pr="00CB0E50">
        <w:rPr>
          <w:rFonts w:ascii="David" w:hAnsi="David" w:cs="David"/>
          <w:sz w:val="24"/>
          <w:szCs w:val="24"/>
          <w:rtl/>
        </w:rPr>
        <w:t xml:space="preserve"> הא אף בסתמ' הוו מחויבים לאפרושינהו מדינ' ולאו משום אהבה וריעות</w:t>
      </w:r>
      <w:r>
        <w:rPr>
          <w:rStyle w:val="a5"/>
          <w:rFonts w:ascii="David" w:hAnsi="David" w:cs="David"/>
          <w:sz w:val="24"/>
          <w:szCs w:val="24"/>
          <w:rtl/>
        </w:rPr>
        <w:footnoteReference w:id="16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3886A251" w14:textId="3AC81208" w:rsidR="00215881" w:rsidRPr="00215881" w:rsidRDefault="00215881" w:rsidP="00215881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המאירי בסוגייתנו</w:t>
      </w:r>
      <w:r>
        <w:rPr>
          <w:rStyle w:val="a5"/>
          <w:rFonts w:asciiTheme="majorBidi" w:hAnsiTheme="majorBidi" w:cstheme="majorBidi"/>
          <w:sz w:val="24"/>
          <w:szCs w:val="24"/>
          <w:rtl/>
        </w:rPr>
        <w:footnoteReference w:id="17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מחלק: </w:t>
      </w:r>
      <w:r w:rsidR="00B8769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215881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14:paraId="75FA4E91" w14:textId="28688EE1" w:rsidR="00B626A6" w:rsidRPr="00B87696" w:rsidRDefault="00215881" w:rsidP="00215881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87696">
        <w:rPr>
          <w:rFonts w:ascii="David" w:hAnsi="David" w:cs="David"/>
          <w:sz w:val="24"/>
          <w:szCs w:val="24"/>
          <w:rtl/>
        </w:rPr>
        <w:t>"כל שאינו מודיעו</w:t>
      </w:r>
      <w:r w:rsidR="00B87696" w:rsidRPr="00B87696">
        <w:rPr>
          <w:rFonts w:ascii="David" w:hAnsi="David" w:cs="David"/>
          <w:sz w:val="24"/>
          <w:szCs w:val="24"/>
          <w:rtl/>
        </w:rPr>
        <w:t>,</w:t>
      </w:r>
      <w:r w:rsidRPr="00B87696">
        <w:rPr>
          <w:rFonts w:ascii="David" w:hAnsi="David" w:cs="David"/>
          <w:sz w:val="24"/>
          <w:szCs w:val="24"/>
          <w:rtl/>
        </w:rPr>
        <w:t xml:space="preserve"> מותר לאוסר לסמוך עליו וכל שכן אם יודיענו שהוא היתר ודבר זה במוחזקים בכשרות ובחסידות הא בשאר בני אדם אינו ראוי לסמוך מן הסתם..".</w:t>
      </w:r>
    </w:p>
    <w:p w14:paraId="0C2A39B8" w14:textId="57F3FE8F" w:rsidR="00B626A6" w:rsidRPr="00B87696" w:rsidRDefault="00215881" w:rsidP="00B626A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B87696">
        <w:rPr>
          <w:rFonts w:asciiTheme="majorBidi" w:hAnsiTheme="majorBidi" w:cstheme="majorBidi"/>
          <w:sz w:val="24"/>
          <w:szCs w:val="24"/>
          <w:rtl/>
        </w:rPr>
        <w:t>ה</w:t>
      </w:r>
      <w:r w:rsidR="00FF485B" w:rsidRPr="00B87696">
        <w:rPr>
          <w:rFonts w:asciiTheme="majorBidi" w:hAnsiTheme="majorBidi" w:cstheme="majorBidi"/>
          <w:sz w:val="24"/>
          <w:szCs w:val="24"/>
          <w:rtl/>
        </w:rPr>
        <w:t>רלב</w:t>
      </w:r>
      <w:r w:rsidRPr="00B87696">
        <w:rPr>
          <w:rFonts w:asciiTheme="majorBidi" w:hAnsiTheme="majorBidi" w:cstheme="majorBidi" w:hint="cs"/>
          <w:sz w:val="24"/>
          <w:szCs w:val="24"/>
          <w:rtl/>
        </w:rPr>
        <w:t>"</w:t>
      </w:r>
      <w:r w:rsidR="00FF485B" w:rsidRPr="00B87696">
        <w:rPr>
          <w:rFonts w:asciiTheme="majorBidi" w:hAnsiTheme="majorBidi" w:cstheme="majorBidi"/>
          <w:sz w:val="24"/>
          <w:szCs w:val="24"/>
          <w:rtl/>
        </w:rPr>
        <w:t>ח</w:t>
      </w:r>
      <w:r w:rsidRPr="00B87696">
        <w:rPr>
          <w:rStyle w:val="a5"/>
          <w:rFonts w:asciiTheme="majorBidi" w:hAnsiTheme="majorBidi" w:cstheme="majorBidi"/>
          <w:sz w:val="24"/>
          <w:szCs w:val="24"/>
          <w:rtl/>
        </w:rPr>
        <w:footnoteReference w:id="18"/>
      </w:r>
      <w:r w:rsidR="00FF485B" w:rsidRPr="00B87696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Pr="00B87696">
        <w:rPr>
          <w:rFonts w:asciiTheme="majorBidi" w:hAnsiTheme="majorBidi" w:cstheme="majorBidi"/>
          <w:sz w:val="24"/>
          <w:szCs w:val="24"/>
          <w:rtl/>
        </w:rPr>
        <w:t>טוען שנחלקו בזה הרמב"ם והראב"ד</w:t>
      </w:r>
      <w:r w:rsidRPr="00B87696">
        <w:rPr>
          <w:rFonts w:asciiTheme="majorBidi" w:hAnsiTheme="majorBidi" w:cstheme="majorBidi" w:hint="cs"/>
          <w:sz w:val="24"/>
          <w:szCs w:val="24"/>
          <w:rtl/>
        </w:rPr>
        <w:t>, ושניתן להקל כראב"ד</w:t>
      </w:r>
      <w:r w:rsidRPr="00B87696"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14:paraId="7FCEA43B" w14:textId="70A2F5CA" w:rsidR="00215881" w:rsidRPr="00215881" w:rsidRDefault="002B1061" w:rsidP="00215881">
      <w:pPr>
        <w:spacing w:after="0" w:line="360" w:lineRule="auto"/>
        <w:rPr>
          <w:rFonts w:ascii="David" w:hAnsi="David" w:cs="Guttman Yad-Brush"/>
          <w:sz w:val="18"/>
          <w:szCs w:val="18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215881" w:rsidRPr="00B626A6">
        <w:rPr>
          <w:rFonts w:ascii="David" w:hAnsi="David" w:cs="David"/>
          <w:sz w:val="24"/>
          <w:szCs w:val="24"/>
          <w:rtl/>
        </w:rPr>
        <w:t>בזמן הזה אין לוקחין יין בכל מקום אלא מאדם שהוחזק בכשרות</w:t>
      </w:r>
      <w:r w:rsidR="00B87696">
        <w:rPr>
          <w:rFonts w:ascii="David" w:hAnsi="David" w:cs="David" w:hint="cs"/>
          <w:sz w:val="24"/>
          <w:szCs w:val="24"/>
          <w:rtl/>
        </w:rPr>
        <w:t>.</w:t>
      </w:r>
      <w:r w:rsidR="00215881" w:rsidRPr="00B626A6">
        <w:rPr>
          <w:rFonts w:ascii="David" w:hAnsi="David" w:cs="David"/>
          <w:sz w:val="24"/>
          <w:szCs w:val="24"/>
          <w:rtl/>
        </w:rPr>
        <w:t xml:space="preserve"> וכן הבשר והגבינה וחתיכת דג שאין בה סימן כמו שביארנו. </w:t>
      </w:r>
      <w:r w:rsidR="00215881" w:rsidRPr="00B626A6">
        <w:rPr>
          <w:rFonts w:ascii="David" w:hAnsi="David" w:cs="Guttman Yad-Brush"/>
          <w:sz w:val="18"/>
          <w:szCs w:val="18"/>
          <w:rtl/>
        </w:rPr>
        <w:t>/השגת הראב"ד/ וכן הבשר והגבינה וכו'. א"א זו אינה משנה</w:t>
      </w:r>
      <w:r w:rsidR="00B87696">
        <w:rPr>
          <w:rFonts w:ascii="David" w:hAnsi="David" w:cs="Guttman Yad-Brush" w:hint="cs"/>
          <w:sz w:val="18"/>
          <w:szCs w:val="18"/>
          <w:rtl/>
        </w:rPr>
        <w:t>.</w:t>
      </w:r>
      <w:r w:rsidR="00215881" w:rsidRPr="00B626A6">
        <w:rPr>
          <w:rFonts w:ascii="David" w:hAnsi="David" w:cs="Guttman Yad-Brush"/>
          <w:sz w:val="18"/>
          <w:szCs w:val="18"/>
          <w:rtl/>
        </w:rPr>
        <w:t xml:space="preserve"> שאין עמי הארץ חשודים להחליף ולא למכור דבר האסור</w:t>
      </w:r>
      <w:r w:rsidR="00B87696">
        <w:rPr>
          <w:rFonts w:ascii="David" w:hAnsi="David" w:cs="Guttman Yad-Brush" w:hint="cs"/>
          <w:sz w:val="18"/>
          <w:szCs w:val="18"/>
          <w:rtl/>
        </w:rPr>
        <w:t>,</w:t>
      </w:r>
      <w:r w:rsidR="00215881" w:rsidRPr="00B626A6">
        <w:rPr>
          <w:rFonts w:ascii="David" w:hAnsi="David" w:cs="Guttman Yad-Brush"/>
          <w:sz w:val="18"/>
          <w:szCs w:val="18"/>
          <w:rtl/>
        </w:rPr>
        <w:t xml:space="preserve"> אא"כ נחשד</w:t>
      </w:r>
      <w:r>
        <w:rPr>
          <w:rStyle w:val="a5"/>
          <w:rFonts w:ascii="David" w:hAnsi="David" w:cs="Guttman Yad-Brush"/>
          <w:sz w:val="18"/>
          <w:szCs w:val="18"/>
          <w:rtl/>
        </w:rPr>
        <w:footnoteReference w:id="19"/>
      </w:r>
      <w:r w:rsidR="00215881" w:rsidRPr="00B626A6">
        <w:rPr>
          <w:rFonts w:ascii="David" w:hAnsi="David" w:cs="Guttman Yad-Brush"/>
          <w:sz w:val="18"/>
          <w:szCs w:val="18"/>
          <w:rtl/>
        </w:rPr>
        <w:t>.</w:t>
      </w:r>
    </w:p>
    <w:p w14:paraId="6B6FC27E" w14:textId="36C392F8" w:rsidR="00B626A6" w:rsidRPr="003477B3" w:rsidRDefault="00B372BD" w:rsidP="003477B3">
      <w:pPr>
        <w:spacing w:after="0" w:line="360" w:lineRule="auto"/>
        <w:rPr>
          <w:rFonts w:ascii="David" w:hAnsi="David" w:cs="Guttman Yad-Brush"/>
          <w:sz w:val="18"/>
          <w:szCs w:val="18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כך נראה שפוסק הרמ"א: </w:t>
      </w:r>
      <w:r w:rsidR="00B87696">
        <w:rPr>
          <w:rFonts w:ascii="David" w:hAnsi="David" w:cs="Guttman Yad-Brush" w:hint="cs"/>
          <w:sz w:val="18"/>
          <w:szCs w:val="18"/>
          <w:rtl/>
        </w:rPr>
        <w:t>"</w:t>
      </w:r>
      <w:r w:rsidR="00B626A6" w:rsidRPr="00B626A6">
        <w:rPr>
          <w:rFonts w:ascii="David" w:hAnsi="David" w:cs="Guttman Yad-Brush"/>
          <w:sz w:val="18"/>
          <w:szCs w:val="18"/>
          <w:rtl/>
        </w:rPr>
        <w:t xml:space="preserve">מי שנוהג באיזה דבר איסור מכח שסובר שדינא הוא הכי, או מכח חומרא שהחמיר על עצמו, מותר לאכול עם אחרים שנוהגין בו היתר, דודאי  לא יאכילוהו דבר שהוא נוהג בו איסור </w:t>
      </w:r>
      <w:r w:rsidR="00B626A6" w:rsidRPr="00B87696">
        <w:rPr>
          <w:rFonts w:ascii="David" w:hAnsi="David" w:cs="Guttman Yad-Brush"/>
          <w:sz w:val="16"/>
          <w:szCs w:val="16"/>
          <w:rtl/>
        </w:rPr>
        <w:t>(הגהות מרדכי פ"ק דיבמות ובנימין זאב שי"ב ור' ירוחם סוף נתיב ג' בשם הרמ"ה</w:t>
      </w:r>
      <w:r w:rsidRPr="00B87696">
        <w:rPr>
          <w:rStyle w:val="a5"/>
          <w:rFonts w:ascii="David" w:hAnsi="David" w:cs="Guttman Yad-Brush"/>
          <w:sz w:val="16"/>
          <w:szCs w:val="16"/>
          <w:rtl/>
        </w:rPr>
        <w:footnoteReference w:id="20"/>
      </w:r>
      <w:r w:rsidR="00B626A6" w:rsidRPr="00B87696">
        <w:rPr>
          <w:rFonts w:ascii="David" w:hAnsi="David" w:cs="Guttman Yad-Brush"/>
          <w:sz w:val="16"/>
          <w:szCs w:val="16"/>
          <w:rtl/>
        </w:rPr>
        <w:t>).</w:t>
      </w:r>
      <w:r w:rsidR="003477B3">
        <w:rPr>
          <w:rFonts w:ascii="David" w:hAnsi="David" w:cs="Guttman Yad-Brush" w:hint="cs"/>
          <w:sz w:val="18"/>
          <w:szCs w:val="18"/>
          <w:rtl/>
        </w:rPr>
        <w:t xml:space="preserve">  </w:t>
      </w:r>
      <w:r w:rsidR="003477B3" w:rsidRPr="003477B3">
        <w:rPr>
          <w:rFonts w:asciiTheme="majorBidi" w:hAnsiTheme="majorBidi" w:cstheme="majorBidi"/>
          <w:sz w:val="24"/>
          <w:szCs w:val="24"/>
          <w:rtl/>
        </w:rPr>
        <w:t>מבאר הש"ך</w:t>
      </w:r>
      <w:r w:rsidR="003477B3">
        <w:rPr>
          <w:rStyle w:val="a5"/>
          <w:rFonts w:asciiTheme="majorBidi" w:hAnsiTheme="majorBidi" w:cstheme="majorBidi"/>
          <w:sz w:val="24"/>
          <w:szCs w:val="24"/>
          <w:rtl/>
        </w:rPr>
        <w:footnoteReference w:id="21"/>
      </w:r>
      <w:r w:rsidR="003477B3" w:rsidRPr="003477B3">
        <w:rPr>
          <w:rFonts w:asciiTheme="majorBidi" w:hAnsiTheme="majorBidi" w:cstheme="majorBidi"/>
          <w:sz w:val="24"/>
          <w:szCs w:val="24"/>
          <w:rtl/>
        </w:rPr>
        <w:t>:</w:t>
      </w:r>
      <w:r w:rsidR="003477B3">
        <w:rPr>
          <w:rFonts w:ascii="David" w:hAnsi="David" w:cs="Guttman Yad-Brush" w:hint="cs"/>
          <w:sz w:val="18"/>
          <w:szCs w:val="18"/>
          <w:rtl/>
        </w:rPr>
        <w:t xml:space="preserve"> </w:t>
      </w:r>
      <w:r w:rsidR="003477B3">
        <w:rPr>
          <w:rFonts w:ascii="David" w:hAnsi="David" w:cs="David" w:hint="cs"/>
          <w:sz w:val="24"/>
          <w:szCs w:val="24"/>
          <w:rtl/>
        </w:rPr>
        <w:t>"</w:t>
      </w:r>
      <w:r w:rsidR="00FF485B" w:rsidRPr="00B626A6">
        <w:rPr>
          <w:rFonts w:ascii="David" w:hAnsi="David" w:cs="David"/>
          <w:sz w:val="24"/>
          <w:szCs w:val="24"/>
          <w:rtl/>
        </w:rPr>
        <w:t>מיהו</w:t>
      </w:r>
      <w:r w:rsidR="00B87696">
        <w:rPr>
          <w:rFonts w:ascii="David" w:hAnsi="David" w:cs="David" w:hint="cs"/>
          <w:sz w:val="24"/>
          <w:szCs w:val="24"/>
          <w:rtl/>
        </w:rPr>
        <w:t>,</w:t>
      </w:r>
      <w:r w:rsidR="00FF485B" w:rsidRPr="00B626A6">
        <w:rPr>
          <w:rFonts w:ascii="David" w:hAnsi="David" w:cs="David"/>
          <w:sz w:val="24"/>
          <w:szCs w:val="24"/>
          <w:rtl/>
        </w:rPr>
        <w:t xml:space="preserve"> היינו דוקא כשאחרים יודעים שהוא נוהג איסור </w:t>
      </w:r>
      <w:r w:rsidR="00FF485B" w:rsidRPr="003477B3">
        <w:rPr>
          <w:rFonts w:ascii="David" w:hAnsi="David" w:cs="David"/>
          <w:sz w:val="24"/>
          <w:szCs w:val="24"/>
          <w:rtl/>
        </w:rPr>
        <w:t>בדבר</w:t>
      </w:r>
      <w:r w:rsidR="003477B3" w:rsidRPr="003477B3">
        <w:rPr>
          <w:rFonts w:ascii="David" w:hAnsi="David" w:cs="David" w:hint="cs"/>
          <w:sz w:val="24"/>
          <w:szCs w:val="24"/>
          <w:rtl/>
        </w:rPr>
        <w:t>".</w:t>
      </w:r>
      <w:r w:rsidR="003477B3" w:rsidRPr="003477B3">
        <w:rPr>
          <w:rFonts w:ascii="David" w:hAnsi="David" w:cs="Guttman Yad-Brush" w:hint="cs"/>
          <w:sz w:val="18"/>
          <w:szCs w:val="18"/>
          <w:rtl/>
        </w:rPr>
        <w:t xml:space="preserve"> </w:t>
      </w:r>
      <w:r w:rsidR="003477B3" w:rsidRPr="003477B3">
        <w:rPr>
          <w:rFonts w:asciiTheme="majorBidi" w:hAnsiTheme="majorBidi" w:cstheme="majorBidi"/>
          <w:sz w:val="24"/>
          <w:szCs w:val="24"/>
          <w:rtl/>
        </w:rPr>
        <w:t>ממשיך הש"ך:</w:t>
      </w:r>
      <w:r w:rsidR="003477B3" w:rsidRPr="003477B3">
        <w:rPr>
          <w:rFonts w:ascii="David" w:hAnsi="David" w:cs="Guttman Yad-Brush" w:hint="cs"/>
          <w:sz w:val="18"/>
          <w:szCs w:val="18"/>
          <w:rtl/>
        </w:rPr>
        <w:t xml:space="preserve"> "</w:t>
      </w:r>
      <w:r w:rsidR="00B626A6" w:rsidRPr="003477B3">
        <w:rPr>
          <w:rFonts w:ascii="David" w:hAnsi="David" w:cs="David"/>
          <w:sz w:val="24"/>
          <w:szCs w:val="24"/>
          <w:rtl/>
        </w:rPr>
        <w:t>בתשו</w:t>
      </w:r>
      <w:r w:rsidR="003477B3" w:rsidRPr="003477B3">
        <w:rPr>
          <w:rFonts w:ascii="David" w:hAnsi="David" w:cs="David" w:hint="cs"/>
          <w:sz w:val="24"/>
          <w:szCs w:val="24"/>
          <w:rtl/>
        </w:rPr>
        <w:t>בת</w:t>
      </w:r>
      <w:r w:rsidR="00B626A6" w:rsidRPr="003477B3">
        <w:rPr>
          <w:rFonts w:ascii="David" w:hAnsi="David" w:cs="David"/>
          <w:sz w:val="24"/>
          <w:szCs w:val="24"/>
          <w:rtl/>
        </w:rPr>
        <w:t xml:space="preserve"> מוהר"ר לוי ן' חביב </w:t>
      </w:r>
      <w:r w:rsidR="00B626A6" w:rsidRPr="00214877">
        <w:rPr>
          <w:rFonts w:ascii="David" w:hAnsi="David" w:cs="David"/>
          <w:sz w:val="18"/>
          <w:szCs w:val="18"/>
          <w:rtl/>
        </w:rPr>
        <w:t xml:space="preserve">סי' קכ"א </w:t>
      </w:r>
      <w:r w:rsidR="00B626A6" w:rsidRPr="003477B3">
        <w:rPr>
          <w:rFonts w:ascii="David" w:hAnsi="David" w:cs="David"/>
          <w:sz w:val="24"/>
          <w:szCs w:val="24"/>
          <w:rtl/>
        </w:rPr>
        <w:t>האריך מאד בדינים אלו</w:t>
      </w:r>
      <w:r w:rsidR="00214877">
        <w:rPr>
          <w:rFonts w:ascii="David" w:hAnsi="David" w:cs="David" w:hint="cs"/>
          <w:sz w:val="24"/>
          <w:szCs w:val="24"/>
          <w:rtl/>
        </w:rPr>
        <w:t>.</w:t>
      </w:r>
      <w:r w:rsidR="00B626A6" w:rsidRPr="003477B3">
        <w:rPr>
          <w:rFonts w:ascii="David" w:hAnsi="David" w:cs="David"/>
          <w:sz w:val="24"/>
          <w:szCs w:val="24"/>
          <w:rtl/>
        </w:rPr>
        <w:t xml:space="preserve"> וראיתי </w:t>
      </w:r>
      <w:r w:rsidR="00B626A6" w:rsidRPr="00B626A6">
        <w:rPr>
          <w:rFonts w:ascii="David" w:hAnsi="David" w:cs="David"/>
          <w:sz w:val="24"/>
          <w:szCs w:val="24"/>
          <w:rtl/>
        </w:rPr>
        <w:t>לברר בקצור תוכן הדברים וחלוקי הדינים היוצאים מתשובתו והוא</w:t>
      </w:r>
      <w:r w:rsidR="003477B3">
        <w:rPr>
          <w:rFonts w:ascii="David" w:hAnsi="David" w:cs="Guttman Yad-Brush" w:hint="cs"/>
          <w:sz w:val="18"/>
          <w:szCs w:val="18"/>
          <w:rtl/>
        </w:rPr>
        <w:t>:</w:t>
      </w:r>
    </w:p>
    <w:p w14:paraId="6C49D5E1" w14:textId="282359B1" w:rsidR="00B372BD" w:rsidRDefault="00B626A6" w:rsidP="00B372BD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B372BD">
        <w:rPr>
          <w:rFonts w:ascii="David" w:hAnsi="David" w:cs="David"/>
          <w:sz w:val="24"/>
          <w:szCs w:val="24"/>
          <w:rtl/>
        </w:rPr>
        <w:t>מי שנוהג איסור באיזו דבר מחמת שסובר שהדין כן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ואוכל בבית מי שמתירו </w:t>
      </w:r>
      <w:r w:rsidR="003477B3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>אז אם האיסור ניכר להאוסר מותר להמאכיל להאכילו</w:t>
      </w:r>
      <w:r w:rsidR="00B372BD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דאי לא ס"ל</w:t>
      </w:r>
      <w:r w:rsidR="00B372BD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לא ליכול</w:t>
      </w:r>
      <w:r w:rsidR="00B372BD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</w:t>
      </w:r>
    </w:p>
    <w:p w14:paraId="4AA528E5" w14:textId="084B8B9C" w:rsidR="00B626A6" w:rsidRPr="00B372BD" w:rsidRDefault="00B626A6" w:rsidP="00B372BD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372BD">
        <w:rPr>
          <w:rFonts w:ascii="David" w:hAnsi="David" w:cs="David"/>
          <w:sz w:val="24"/>
          <w:szCs w:val="24"/>
          <w:rtl/>
        </w:rPr>
        <w:t>אבל כשאינו ניכר האיסור</w:t>
      </w:r>
      <w:r w:rsidR="00B372BD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אסור</w:t>
      </w:r>
      <w:r w:rsidR="00B372BD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</w:t>
      </w:r>
      <w:r w:rsidR="00B372BD">
        <w:rPr>
          <w:rFonts w:ascii="David" w:hAnsi="David" w:cs="David" w:hint="cs"/>
          <w:sz w:val="24"/>
          <w:szCs w:val="24"/>
          <w:rtl/>
        </w:rPr>
        <w:t>3.</w:t>
      </w:r>
      <w:r w:rsidRPr="00B372BD">
        <w:rPr>
          <w:rFonts w:ascii="David" w:hAnsi="David" w:cs="David"/>
          <w:sz w:val="24"/>
          <w:szCs w:val="24"/>
          <w:rtl/>
        </w:rPr>
        <w:t>ואסור לבשל לו בכליו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אפילו אינן בני יומן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ואצ"ל שאסור להאוסר לומר להמתיר לבשל לו בכליו שאינן בני יומן</w:t>
      </w:r>
      <w:r w:rsidR="003477B3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אבל כשהמתיר מבשל לכתחלה לו ולצורך אחרים ג"כ</w:t>
      </w:r>
      <w:r w:rsidR="00B372BD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מותר</w:t>
      </w:r>
      <w:r w:rsidR="00B372BD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דהוי כדיעבד</w:t>
      </w:r>
      <w:r w:rsidR="003477B3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</w:t>
      </w:r>
    </w:p>
    <w:p w14:paraId="2765B387" w14:textId="77777777" w:rsidR="00214877" w:rsidRDefault="00B372BD" w:rsidP="00B372BD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</w:t>
      </w:r>
      <w:r w:rsidR="00B626A6" w:rsidRPr="00B372BD">
        <w:rPr>
          <w:rFonts w:ascii="David" w:hAnsi="David" w:cs="David"/>
          <w:sz w:val="24"/>
          <w:szCs w:val="24"/>
          <w:rtl/>
        </w:rPr>
        <w:t>והאוסר דבר מחמת מנהג אבותיו ובני מדינתו שנוהגין כן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אסור להמתיר להאכילו </w:t>
      </w:r>
      <w:r w:rsidR="00B626A6" w:rsidRPr="00B372BD">
        <w:rPr>
          <w:rFonts w:ascii="David" w:hAnsi="David" w:cs="David"/>
          <w:b/>
          <w:bCs/>
          <w:sz w:val="24"/>
          <w:szCs w:val="24"/>
          <w:rtl/>
        </w:rPr>
        <w:t>אפילו האיסור ניכר</w:t>
      </w:r>
      <w:r w:rsidR="003477B3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אף על גב שהיה אוסר עצמו יכול לקחתו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כמו היתירא של מושיט כוס יין לנזיר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דקי"ל דאע"ג דהנזיר יכול לקחתו</w:t>
      </w:r>
      <w:r w:rsidR="003477B3">
        <w:rPr>
          <w:rFonts w:ascii="David" w:hAnsi="David" w:cs="David" w:hint="cs"/>
          <w:sz w:val="24"/>
          <w:szCs w:val="24"/>
          <w:rtl/>
        </w:rPr>
        <w:t>-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אסור מדרבנן</w:t>
      </w:r>
      <w:r w:rsidR="003477B3">
        <w:rPr>
          <w:rFonts w:ascii="David" w:hAnsi="David" w:cs="David" w:hint="cs"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</w:t>
      </w:r>
      <w:r w:rsidR="00B626A6" w:rsidRPr="003477B3">
        <w:rPr>
          <w:rFonts w:ascii="David" w:hAnsi="David" w:cs="David"/>
          <w:sz w:val="18"/>
          <w:szCs w:val="18"/>
          <w:rtl/>
        </w:rPr>
        <w:t>(וע"ל סי' קנ"א סק"ו)</w:t>
      </w:r>
    </w:p>
    <w:p w14:paraId="6B39C7BE" w14:textId="03A4F779" w:rsidR="00B372BD" w:rsidRDefault="00B626A6" w:rsidP="00B372BD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 w:rsidRPr="00B372BD">
        <w:rPr>
          <w:rFonts w:ascii="David" w:hAnsi="David" w:cs="David"/>
          <w:sz w:val="24"/>
          <w:szCs w:val="24"/>
          <w:rtl/>
        </w:rPr>
        <w:lastRenderedPageBreak/>
        <w:t xml:space="preserve"> </w:t>
      </w:r>
      <w:r w:rsidR="00B372BD">
        <w:rPr>
          <w:rFonts w:ascii="David" w:hAnsi="David" w:cs="David" w:hint="cs"/>
          <w:sz w:val="24"/>
          <w:szCs w:val="24"/>
          <w:rtl/>
        </w:rPr>
        <w:t xml:space="preserve">5. </w:t>
      </w:r>
      <w:r w:rsidRPr="00B372BD">
        <w:rPr>
          <w:rFonts w:ascii="David" w:hAnsi="David" w:cs="David"/>
          <w:sz w:val="24"/>
          <w:szCs w:val="24"/>
          <w:rtl/>
        </w:rPr>
        <w:t>ויכול האוסר לבשל לכתחלה בכליו של המתיר שאינן ב"י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או בסתם כלים דקי"ל נמי שהן אינן ב"י</w:t>
      </w:r>
      <w:r w:rsidR="003477B3">
        <w:rPr>
          <w:rFonts w:ascii="David" w:hAnsi="David" w:cs="David" w:hint="cs"/>
          <w:sz w:val="24"/>
          <w:szCs w:val="24"/>
          <w:rtl/>
        </w:rPr>
        <w:t>,</w:t>
      </w:r>
      <w:r w:rsidR="00214877">
        <w:rPr>
          <w:rFonts w:ascii="David" w:hAnsi="David" w:cs="David" w:hint="cs"/>
          <w:sz w:val="24"/>
          <w:szCs w:val="24"/>
          <w:rtl/>
        </w:rPr>
        <w:t xml:space="preserve"> </w:t>
      </w:r>
      <w:r w:rsidRPr="00B372BD">
        <w:rPr>
          <w:rFonts w:ascii="David" w:hAnsi="David" w:cs="David"/>
          <w:sz w:val="24"/>
          <w:szCs w:val="24"/>
          <w:rtl/>
        </w:rPr>
        <w:t>דלא קבלו עליהם המנהג להחמיר כ"כ</w:t>
      </w:r>
      <w:r w:rsidR="003477B3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ואם בעל הכלי הוא לפנינו</w:t>
      </w:r>
      <w:r w:rsidR="00F3293F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צריך לשאלו אם הוא ב"י או לא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ואם בעל הכלי הוא חשוד</w:t>
      </w:r>
      <w:r w:rsidR="00F3293F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א"צ לשאלו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אבל אם הוא אמר מעצמו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Pr="00B372BD">
        <w:rPr>
          <w:rFonts w:ascii="David" w:hAnsi="David" w:cs="David"/>
          <w:sz w:val="24"/>
          <w:szCs w:val="24"/>
          <w:rtl/>
        </w:rPr>
        <w:t xml:space="preserve"> או ששאלו ואמר לו</w:t>
      </w:r>
      <w:r w:rsidR="00F3293F">
        <w:rPr>
          <w:rFonts w:ascii="David" w:hAnsi="David" w:cs="David" w:hint="cs"/>
          <w:sz w:val="24"/>
          <w:szCs w:val="24"/>
          <w:rtl/>
        </w:rPr>
        <w:t>-</w:t>
      </w:r>
      <w:r w:rsidRPr="00B372BD">
        <w:rPr>
          <w:rFonts w:ascii="David" w:hAnsi="David" w:cs="David"/>
          <w:sz w:val="24"/>
          <w:szCs w:val="24"/>
          <w:rtl/>
        </w:rPr>
        <w:t xml:space="preserve"> סמכינן עליה אם הוא ב"י או לא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Pr="00B372BD">
        <w:rPr>
          <w:rFonts w:ascii="David" w:hAnsi="David" w:cs="David"/>
          <w:sz w:val="24"/>
          <w:szCs w:val="24"/>
          <w:rtl/>
        </w:rPr>
        <w:t xml:space="preserve"> </w:t>
      </w:r>
      <w:r w:rsidRPr="00F3293F">
        <w:rPr>
          <w:rFonts w:ascii="David" w:hAnsi="David" w:cs="David"/>
          <w:sz w:val="18"/>
          <w:szCs w:val="18"/>
          <w:rtl/>
        </w:rPr>
        <w:t>(וע"ל סי' קנ"ב ס"ק ג')</w:t>
      </w:r>
      <w:r w:rsidR="00B372BD" w:rsidRPr="00F3293F">
        <w:rPr>
          <w:rFonts w:ascii="David" w:hAnsi="David" w:cs="David" w:hint="cs"/>
          <w:sz w:val="18"/>
          <w:szCs w:val="18"/>
          <w:rtl/>
        </w:rPr>
        <w:t>.</w:t>
      </w:r>
      <w:r w:rsidR="00B372B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52C6A07" w14:textId="77777777" w:rsidR="00214877" w:rsidRDefault="003477B3" w:rsidP="00214877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6. 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וכל זה לענין </w:t>
      </w:r>
      <w:r w:rsidR="00B626A6" w:rsidRPr="00F3293F">
        <w:rPr>
          <w:rFonts w:ascii="David" w:hAnsi="David" w:cs="David"/>
          <w:b/>
          <w:bCs/>
          <w:sz w:val="24"/>
          <w:szCs w:val="24"/>
          <w:rtl/>
        </w:rPr>
        <w:t>הכלי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אבל אסור לאכול האוסר מבשולי המתיר אם הוא חשוד</w:t>
      </w:r>
      <w:r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ע"פ דבריו שאומר שאין בו דבר איסור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אם התבשיל הוא מדבר שדרך לתת בתוכו אותו השומן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21487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4DF6A8C" w14:textId="77777777" w:rsidR="00214877" w:rsidRDefault="003477B3" w:rsidP="00214877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אבל אם אינו ודאי חשוד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רק סתם בן אדם עם הארץ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יכול האוסר להתאכסן אצלו אפילו אינו חכם ובקי בדינים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אם הוא יודע שהאוכל אוסר אותו מאכל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בין שאוסרו מחמת המנהג בין מחמת שסובר שהדין כן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2927651" w14:textId="3BB1C7DB" w:rsidR="003477B3" w:rsidRDefault="003477B3" w:rsidP="00214877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8.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וכל זה בסתם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אבל אם יש מנהג </w:t>
      </w:r>
      <w:r w:rsidR="00F3293F">
        <w:rPr>
          <w:rFonts w:ascii="David" w:hAnsi="David" w:cs="David" w:hint="cs"/>
          <w:sz w:val="24"/>
          <w:szCs w:val="24"/>
          <w:rtl/>
        </w:rPr>
        <w:t>-</w:t>
      </w:r>
      <w:r w:rsidR="00B626A6" w:rsidRPr="00B372BD">
        <w:rPr>
          <w:rFonts w:ascii="David" w:hAnsi="David" w:cs="David"/>
          <w:sz w:val="24"/>
          <w:szCs w:val="24"/>
          <w:rtl/>
        </w:rPr>
        <w:t>יעשו כמנהגם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כגון במדינות ריינו"ס יש קצת מקומות שנוהגים איסור בחלב שעל הקיבה</w:t>
      </w:r>
      <w:r w:rsidR="00214877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וכשבאין למקום הנוהגים היתר אוכלים מבשוליהן מהמרק או מהבשר שנתבשל עם האיסור וכ"ש שמשתמשים בכליהן שהן ב"י</w:t>
      </w:r>
      <w:r w:rsidR="00214877">
        <w:rPr>
          <w:rFonts w:ascii="David" w:hAnsi="David" w:cs="David" w:hint="cs"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ודוקא שיהא המנהג באוכל כגון שאותן </w:t>
      </w:r>
      <w:r w:rsidR="00B626A6" w:rsidRPr="00F3293F">
        <w:rPr>
          <w:rFonts w:ascii="David" w:hAnsi="David" w:cs="David"/>
          <w:b/>
          <w:bCs/>
          <w:sz w:val="24"/>
          <w:szCs w:val="24"/>
          <w:rtl/>
        </w:rPr>
        <w:t>המקומות הנוהגים איסור הם באותה מדינה שנוהגין היתר ומנהגם לאכול מבשוליהן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="00B626A6" w:rsidRPr="00F3293F">
        <w:rPr>
          <w:rFonts w:ascii="David" w:hAnsi="David" w:cs="David"/>
          <w:sz w:val="24"/>
          <w:szCs w:val="24"/>
          <w:rtl/>
        </w:rPr>
        <w:t xml:space="preserve"> </w:t>
      </w:r>
      <w:r w:rsidR="00B626A6" w:rsidRPr="00B372BD">
        <w:rPr>
          <w:rFonts w:ascii="David" w:hAnsi="David" w:cs="David"/>
          <w:sz w:val="24"/>
          <w:szCs w:val="24"/>
          <w:rtl/>
        </w:rPr>
        <w:t>אבל אם המנהג במאכיל לבד</w:t>
      </w:r>
      <w:r w:rsidR="00F3293F">
        <w:rPr>
          <w:rFonts w:ascii="David" w:hAnsi="David" w:cs="David" w:hint="cs"/>
          <w:sz w:val="24"/>
          <w:szCs w:val="24"/>
          <w:rtl/>
        </w:rPr>
        <w:t xml:space="preserve">, 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אינו מנהג</w:t>
      </w:r>
      <w:r w:rsidR="00F3293F">
        <w:rPr>
          <w:rFonts w:ascii="David" w:hAnsi="David" w:cs="David" w:hint="cs"/>
          <w:sz w:val="24"/>
          <w:szCs w:val="24"/>
          <w:rtl/>
        </w:rPr>
        <w:t>.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ולכן מי שהוא ממדינת פולין וכיוצא בו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שאין להם אותו מנהג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כשבא להמקומות הנוהגים היתר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אף ע"פ שנוהגים להאכיל להמקומות הסמוכות להן הנוהגים איסור</w:t>
      </w:r>
      <w:r w:rsidR="00F3293F">
        <w:rPr>
          <w:rFonts w:ascii="David" w:hAnsi="David" w:cs="David" w:hint="cs"/>
          <w:sz w:val="24"/>
          <w:szCs w:val="24"/>
          <w:rtl/>
        </w:rPr>
        <w:t>-</w:t>
      </w:r>
      <w:r w:rsidR="00B626A6" w:rsidRPr="00B372BD">
        <w:rPr>
          <w:rFonts w:ascii="David" w:hAnsi="David" w:cs="David"/>
          <w:sz w:val="24"/>
          <w:szCs w:val="24"/>
          <w:rtl/>
        </w:rPr>
        <w:t xml:space="preserve"> אסור לו לאכול מבישוליהן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A39515B" w14:textId="77777777" w:rsidR="00214877" w:rsidRDefault="00B626A6" w:rsidP="00B372BD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 w:rsidRPr="00B372BD">
        <w:rPr>
          <w:rFonts w:ascii="David" w:hAnsi="David" w:cs="David"/>
          <w:sz w:val="24"/>
          <w:szCs w:val="24"/>
          <w:rtl/>
        </w:rPr>
        <w:t xml:space="preserve"> זה העולה מתשו' מהר"ל ן' חביב</w:t>
      </w:r>
      <w:r w:rsidR="003477B3">
        <w:rPr>
          <w:rFonts w:ascii="David" w:hAnsi="David" w:cs="David" w:hint="cs"/>
          <w:sz w:val="24"/>
          <w:szCs w:val="24"/>
          <w:rtl/>
        </w:rPr>
        <w:t>..</w:t>
      </w:r>
    </w:p>
    <w:p w14:paraId="5A7244CB" w14:textId="2E4CFAAC" w:rsidR="00B626A6" w:rsidRPr="00B372BD" w:rsidRDefault="00B626A6" w:rsidP="00B372BD">
      <w:pPr>
        <w:spacing w:after="0" w:line="360" w:lineRule="auto"/>
        <w:ind w:left="150"/>
        <w:rPr>
          <w:rFonts w:ascii="David" w:hAnsi="David" w:cs="David"/>
          <w:sz w:val="24"/>
          <w:szCs w:val="24"/>
          <w:rtl/>
        </w:rPr>
      </w:pPr>
      <w:r w:rsidRPr="00B372BD">
        <w:rPr>
          <w:rFonts w:ascii="David" w:hAnsi="David" w:cs="David"/>
          <w:sz w:val="24"/>
          <w:szCs w:val="24"/>
          <w:rtl/>
        </w:rPr>
        <w:t xml:space="preserve"> </w:t>
      </w:r>
      <w:r w:rsidR="003477B3">
        <w:rPr>
          <w:rFonts w:ascii="David" w:hAnsi="David" w:cs="David" w:hint="cs"/>
          <w:sz w:val="24"/>
          <w:szCs w:val="24"/>
          <w:rtl/>
        </w:rPr>
        <w:t xml:space="preserve">9. </w:t>
      </w:r>
      <w:r w:rsidRPr="00B372BD">
        <w:rPr>
          <w:rFonts w:ascii="David" w:hAnsi="David" w:cs="David"/>
          <w:sz w:val="24"/>
          <w:szCs w:val="24"/>
          <w:rtl/>
        </w:rPr>
        <w:t xml:space="preserve">מיהו הא דאסור לאכול דבר האסור מחמת מנהג אבותיו ובני מדינתו דוקא כשאין נראה לו היתר בדבר אבל </w:t>
      </w:r>
      <w:r w:rsidRPr="003477B3">
        <w:rPr>
          <w:rFonts w:ascii="David" w:hAnsi="David" w:cs="David"/>
          <w:b/>
          <w:bCs/>
          <w:sz w:val="24"/>
          <w:szCs w:val="24"/>
          <w:rtl/>
        </w:rPr>
        <w:t>כשנראה לו היתר בדבר</w:t>
      </w:r>
      <w:r w:rsidRPr="00B372BD">
        <w:rPr>
          <w:rFonts w:ascii="David" w:hAnsi="David" w:cs="David"/>
          <w:sz w:val="24"/>
          <w:szCs w:val="24"/>
          <w:rtl/>
        </w:rPr>
        <w:t xml:space="preserve"> ובא ממקום שנהגו איסור למקום שנהגו היתר </w:t>
      </w:r>
      <w:r w:rsidRPr="003477B3">
        <w:rPr>
          <w:rFonts w:ascii="David" w:hAnsi="David" w:cs="David"/>
          <w:b/>
          <w:bCs/>
          <w:sz w:val="24"/>
          <w:szCs w:val="24"/>
          <w:rtl/>
        </w:rPr>
        <w:t>יכול לאכול</w:t>
      </w:r>
      <w:r w:rsidR="003477B3">
        <w:rPr>
          <w:rFonts w:ascii="David" w:hAnsi="David" w:cs="David" w:hint="cs"/>
          <w:sz w:val="24"/>
          <w:szCs w:val="24"/>
          <w:rtl/>
        </w:rPr>
        <w:t xml:space="preserve">... </w:t>
      </w:r>
      <w:r w:rsidRPr="00B372BD">
        <w:rPr>
          <w:rFonts w:ascii="David" w:hAnsi="David" w:cs="David"/>
          <w:sz w:val="24"/>
          <w:szCs w:val="24"/>
          <w:rtl/>
        </w:rPr>
        <w:t>אפילו דעתו לחזור למקום שנוהגים איסור כיון שנ"ל שהוא מותר</w:t>
      </w:r>
      <w:r w:rsidR="003477B3">
        <w:rPr>
          <w:rFonts w:ascii="David" w:hAnsi="David" w:cs="David" w:hint="cs"/>
          <w:sz w:val="24"/>
          <w:szCs w:val="24"/>
          <w:rtl/>
        </w:rPr>
        <w:t>".</w:t>
      </w:r>
    </w:p>
    <w:p w14:paraId="71231B5F" w14:textId="4F657712" w:rsidR="00912C63" w:rsidRPr="00F3293F" w:rsidRDefault="00F3293F" w:rsidP="00B626A6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נסיים בפסק של הפתחי תשובה:</w:t>
      </w:r>
    </w:p>
    <w:p w14:paraId="5F669760" w14:textId="47A24B57" w:rsidR="00912C63" w:rsidRDefault="00214877" w:rsidP="00912C63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לא יאכילוהו ע' </w:t>
      </w:r>
      <w:r w:rsidR="00912C63" w:rsidRPr="00F3293F">
        <w:rPr>
          <w:rFonts w:ascii="David" w:hAnsi="David" w:cs="David"/>
          <w:sz w:val="18"/>
          <w:szCs w:val="18"/>
          <w:rtl/>
        </w:rPr>
        <w:t>(בשו"ת חיים שאל ח"ב)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 שכתב בשם ס' דרך המלך</w:t>
      </w:r>
      <w:r w:rsidR="00F3293F">
        <w:rPr>
          <w:rFonts w:ascii="David" w:hAnsi="David" w:cs="David" w:hint="cs"/>
          <w:sz w:val="24"/>
          <w:szCs w:val="24"/>
          <w:rtl/>
        </w:rPr>
        <w:t>,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 שמי שבידו חמץ שעבר עליו הפסח ואתו אחריני למיכל מיניה אשר לא ידעו מזה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 כיון דלדידהו לא שייך קנסא</w:t>
      </w:r>
      <w:r>
        <w:rPr>
          <w:rFonts w:ascii="David" w:hAnsi="David" w:cs="David" w:hint="cs"/>
          <w:sz w:val="24"/>
          <w:szCs w:val="24"/>
          <w:rtl/>
        </w:rPr>
        <w:t>,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 א"צ להגיד להם שלא יאכלו</w:t>
      </w:r>
      <w:r>
        <w:rPr>
          <w:rFonts w:ascii="David" w:hAnsi="David" w:cs="David" w:hint="cs"/>
          <w:sz w:val="24"/>
          <w:szCs w:val="24"/>
          <w:rtl/>
        </w:rPr>
        <w:t>.</w:t>
      </w:r>
      <w:r w:rsidR="00912C63" w:rsidRPr="00912C63">
        <w:rPr>
          <w:rFonts w:ascii="David" w:hAnsi="David" w:cs="David"/>
          <w:sz w:val="24"/>
          <w:szCs w:val="24"/>
          <w:rtl/>
        </w:rPr>
        <w:t xml:space="preserve"> וחכם אחד חולק ע"ז והסכים עמו בעל המחבר שחייב להודיעם</w:t>
      </w:r>
      <w:r w:rsidR="00F3293F">
        <w:rPr>
          <w:rStyle w:val="a5"/>
          <w:rFonts w:ascii="David" w:hAnsi="David" w:cs="David"/>
          <w:sz w:val="24"/>
          <w:szCs w:val="24"/>
          <w:rtl/>
        </w:rPr>
        <w:footnoteReference w:id="22"/>
      </w:r>
      <w:r w:rsidR="00F3293F">
        <w:rPr>
          <w:rFonts w:ascii="David" w:hAnsi="David" w:cs="David" w:hint="cs"/>
          <w:sz w:val="24"/>
          <w:szCs w:val="24"/>
          <w:rtl/>
        </w:rPr>
        <w:t>".</w:t>
      </w:r>
    </w:p>
    <w:p w14:paraId="426344F0" w14:textId="77777777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</w:p>
    <w:p w14:paraId="4DE9B945" w14:textId="498304FD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שיעור זה נכתב לראשונה עבור מגידי השיעור של מעלה</w:t>
      </w:r>
    </w:p>
    <w:p w14:paraId="1A7568D5" w14:textId="77777777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  <w:bookmarkStart w:id="0" w:name="_Hlk91012226"/>
      <w:r>
        <w:drawing>
          <wp:inline distT="0" distB="0" distL="0" distR="0" wp14:anchorId="69ADA87E" wp14:editId="4625DE49">
            <wp:extent cx="887095" cy="798195"/>
            <wp:effectExtent l="0" t="0" r="0" b="0"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bookmarkStart w:id="1" w:name="_Hlk92795346"/>
    </w:p>
    <w:p w14:paraId="254361E9" w14:textId="77777777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</w:p>
    <w:p w14:paraId="250FF9C5" w14:textId="77777777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לתגובות: </w:t>
      </w:r>
      <w:hyperlink r:id="rId9" w:history="1">
        <w:r w:rsidRPr="00565ED9">
          <w:rPr>
            <w:rStyle w:val="Hyperlink"/>
            <w:rFonts w:asciiTheme="majorBidi" w:hAnsiTheme="majorBidi" w:cstheme="majorBidi"/>
            <w:sz w:val="24"/>
            <w:szCs w:val="24"/>
          </w:rPr>
          <w:t>shnufi@gmail.com</w:t>
        </w:r>
      </w:hyperlink>
      <w:bookmarkEnd w:id="0"/>
    </w:p>
    <w:p w14:paraId="70EDB109" w14:textId="77777777" w:rsidR="00701A92" w:rsidRDefault="00701A92" w:rsidP="00701A9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יעקב פלג</w:t>
      </w:r>
      <w:bookmarkEnd w:id="1"/>
    </w:p>
    <w:p w14:paraId="3831146F" w14:textId="77777777" w:rsidR="00701A92" w:rsidRPr="00B626A6" w:rsidRDefault="00701A92" w:rsidP="00912C63">
      <w:pPr>
        <w:spacing w:after="0" w:line="360" w:lineRule="auto"/>
        <w:rPr>
          <w:rFonts w:ascii="David" w:hAnsi="David" w:cs="David"/>
          <w:sz w:val="24"/>
          <w:szCs w:val="24"/>
        </w:rPr>
      </w:pPr>
    </w:p>
    <w:sectPr w:rsidR="00701A92" w:rsidRPr="00B626A6" w:rsidSect="00293330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EFBC" w14:textId="77777777" w:rsidR="003B5D1F" w:rsidRDefault="003B5D1F" w:rsidP="0056225B">
      <w:pPr>
        <w:spacing w:after="0" w:line="240" w:lineRule="auto"/>
      </w:pPr>
      <w:r>
        <w:separator/>
      </w:r>
    </w:p>
  </w:endnote>
  <w:endnote w:type="continuationSeparator" w:id="0">
    <w:p w14:paraId="3DB08C5B" w14:textId="77777777" w:rsidR="003B5D1F" w:rsidRDefault="003B5D1F" w:rsidP="0056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B9FE" w14:textId="77777777" w:rsidR="003B5D1F" w:rsidRDefault="003B5D1F" w:rsidP="0056225B">
      <w:pPr>
        <w:spacing w:after="0" w:line="240" w:lineRule="auto"/>
      </w:pPr>
      <w:r>
        <w:separator/>
      </w:r>
    </w:p>
  </w:footnote>
  <w:footnote w:type="continuationSeparator" w:id="0">
    <w:p w14:paraId="191BE141" w14:textId="77777777" w:rsidR="003B5D1F" w:rsidRDefault="003B5D1F" w:rsidP="0056225B">
      <w:pPr>
        <w:spacing w:after="0" w:line="240" w:lineRule="auto"/>
      </w:pPr>
      <w:r>
        <w:continuationSeparator/>
      </w:r>
    </w:p>
  </w:footnote>
  <w:footnote w:id="1">
    <w:p w14:paraId="1EC94CD9" w14:textId="19650FEB" w:rsidR="0056225B" w:rsidRPr="002B1061" w:rsidRDefault="0056225B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="David" w:hAnsi="David" w:cs="David" w:hint="cs"/>
          <w:rtl/>
        </w:rPr>
        <w:t>"</w:t>
      </w:r>
      <w:r w:rsidRPr="002B1061">
        <w:rPr>
          <w:rFonts w:ascii="David" w:hAnsi="David" w:cs="David"/>
          <w:rtl/>
        </w:rPr>
        <w:t>רב ורבי יוחנן - הלכה כרבי יוחנן</w:t>
      </w:r>
      <w:r w:rsidRPr="002B1061">
        <w:rPr>
          <w:rFonts w:ascii="David" w:hAnsi="David" w:cs="David" w:hint="cs"/>
          <w:rtl/>
        </w:rPr>
        <w:t>"</w:t>
      </w:r>
      <w:r w:rsidRPr="002B1061">
        <w:rPr>
          <w:rFonts w:ascii="David" w:hAnsi="David" w:cs="David"/>
          <w:rtl/>
        </w:rPr>
        <w:t xml:space="preserve"> </w:t>
      </w:r>
      <w:r w:rsidRPr="002B1061">
        <w:rPr>
          <w:rFonts w:asciiTheme="majorBidi" w:hAnsiTheme="majorBidi" w:cstheme="majorBidi"/>
          <w:rtl/>
        </w:rPr>
        <w:t>( ביצה דף ד עמוד א).</w:t>
      </w:r>
    </w:p>
  </w:footnote>
  <w:footnote w:id="2">
    <w:p w14:paraId="67B40418" w14:textId="1300936B" w:rsidR="00FF485B" w:rsidRPr="002B1061" w:rsidRDefault="00FF485B" w:rsidP="002B1061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2B1061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2B1061">
        <w:rPr>
          <w:rFonts w:asciiTheme="majorBidi" w:hAnsiTheme="majorBidi" w:cstheme="majorBidi"/>
          <w:sz w:val="20"/>
          <w:szCs w:val="20"/>
          <w:rtl/>
        </w:rPr>
        <w:t xml:space="preserve"> ספר אור זרוע חלק א - הלכות יבום וקידושין סימן תרג.</w:t>
      </w:r>
    </w:p>
  </w:footnote>
  <w:footnote w:id="3">
    <w:p w14:paraId="4EF1CFA7" w14:textId="7407B06B" w:rsidR="00E01264" w:rsidRPr="002B1061" w:rsidRDefault="00E01264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ריטב"א דף יד עמוד ב ד"ה ומאי קמ"ל.</w:t>
      </w:r>
    </w:p>
  </w:footnote>
  <w:footnote w:id="4">
    <w:p w14:paraId="4EC5F8E6" w14:textId="7CC252A3" w:rsidR="00612E7C" w:rsidRPr="002B1061" w:rsidRDefault="00612E7C" w:rsidP="002B1061">
      <w:pPr>
        <w:spacing w:after="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2B1061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2B1061">
        <w:rPr>
          <w:rFonts w:asciiTheme="majorBidi" w:hAnsiTheme="majorBidi" w:cstheme="majorBidi"/>
          <w:sz w:val="20"/>
          <w:szCs w:val="20"/>
          <w:rtl/>
        </w:rPr>
        <w:t xml:space="preserve">   מסכת חולין דף קיא עמוד ב.</w:t>
      </w:r>
    </w:p>
  </w:footnote>
  <w:footnote w:id="5">
    <w:p w14:paraId="325FE319" w14:textId="7AD7A75B" w:rsidR="00C06583" w:rsidRPr="002B1061" w:rsidRDefault="00C06583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</w:t>
      </w:r>
      <w:r w:rsidR="00DE71CE" w:rsidRPr="002B1061">
        <w:rPr>
          <w:rFonts w:asciiTheme="majorBidi" w:hAnsiTheme="majorBidi" w:cstheme="majorBidi"/>
          <w:rtl/>
        </w:rPr>
        <w:t xml:space="preserve"> 'באר שבע' על חולין  .</w:t>
      </w:r>
    </w:p>
  </w:footnote>
  <w:footnote w:id="6">
    <w:p w14:paraId="2948A0E3" w14:textId="357E97E5" w:rsidR="00DE71CE" w:rsidRPr="002B1061" w:rsidRDefault="00DE71CE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דבר אברהם (חלק ג' סימן כ"ג).</w:t>
      </w:r>
    </w:p>
  </w:footnote>
  <w:footnote w:id="7">
    <w:p w14:paraId="31DBA53E" w14:textId="7BC54B25" w:rsidR="00C06583" w:rsidRPr="002B1061" w:rsidRDefault="00C06583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'באר שבע' על חולין</w:t>
      </w:r>
      <w:r w:rsidR="002B1061">
        <w:rPr>
          <w:rFonts w:asciiTheme="majorBidi" w:hAnsiTheme="majorBidi" w:cstheme="majorBidi" w:hint="cs"/>
          <w:rtl/>
        </w:rPr>
        <w:t>.</w:t>
      </w:r>
      <w:r w:rsidRPr="002B1061">
        <w:rPr>
          <w:rFonts w:asciiTheme="majorBidi" w:hAnsiTheme="majorBidi" w:cstheme="majorBidi"/>
          <w:rtl/>
        </w:rPr>
        <w:t xml:space="preserve">  .</w:t>
      </w:r>
    </w:p>
  </w:footnote>
  <w:footnote w:id="8">
    <w:p w14:paraId="7B5E2E21" w14:textId="77777777" w:rsidR="004A23B1" w:rsidRPr="002B1061" w:rsidRDefault="004A23B1" w:rsidP="002B1061">
      <w:pPr>
        <w:pStyle w:val="a3"/>
        <w:rPr>
          <w:rFonts w:ascii="David" w:hAnsi="David" w:cs="David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 </w:t>
      </w:r>
      <w:r w:rsidRPr="002B1061">
        <w:rPr>
          <w:rFonts w:ascii="David" w:hAnsi="David" w:cs="David"/>
          <w:rtl/>
        </w:rPr>
        <w:t xml:space="preserve">"בשאי אפשר לקיים את שתיהן שאם היו מחזירין אחר סוכה כשרה היו טרודין הרבה ובטלין ממצוה, אבל אם   </w:t>
      </w:r>
    </w:p>
    <w:p w14:paraId="11DAEDA2" w14:textId="29378E7E" w:rsidR="004A23B1" w:rsidRPr="002B1061" w:rsidRDefault="004A23B1" w:rsidP="002B1061">
      <w:pPr>
        <w:pStyle w:val="a3"/>
        <w:rPr>
          <w:rFonts w:asciiTheme="majorBidi" w:hAnsiTheme="majorBidi" w:cstheme="majorBidi"/>
          <w:rtl/>
        </w:rPr>
      </w:pPr>
      <w:r w:rsidRPr="002B1061">
        <w:rPr>
          <w:rFonts w:ascii="David" w:hAnsi="David" w:cs="David"/>
          <w:rtl/>
        </w:rPr>
        <w:t xml:space="preserve">    אפשר להם לקיים שניהם אינם פטורים מדין העוסק במצוה פטור מן המצוה"</w:t>
      </w:r>
      <w:r w:rsidRPr="002B1061">
        <w:rPr>
          <w:rFonts w:asciiTheme="majorBidi" w:hAnsiTheme="majorBidi" w:cstheme="majorBidi"/>
          <w:rtl/>
        </w:rPr>
        <w:t xml:space="preserve"> (ריטב"א). ופלא בעיני שלא יכלו להצמיד מעט את נויי הסוכה לסכך.</w:t>
      </w:r>
    </w:p>
    <w:p w14:paraId="53624A1E" w14:textId="77777777" w:rsidR="002B1061" w:rsidRPr="002B1061" w:rsidRDefault="002B1061" w:rsidP="002B1061">
      <w:pPr>
        <w:pStyle w:val="a3"/>
        <w:rPr>
          <w:rFonts w:asciiTheme="majorBidi" w:hAnsiTheme="majorBidi" w:cstheme="majorBidi"/>
          <w:rtl/>
        </w:rPr>
      </w:pPr>
    </w:p>
  </w:footnote>
  <w:footnote w:id="9">
    <w:p w14:paraId="57D832E1" w14:textId="77439EBC" w:rsidR="008C01E7" w:rsidRPr="002B1061" w:rsidRDefault="008C01E7" w:rsidP="002B1061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2B1061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2B1061">
        <w:rPr>
          <w:rFonts w:asciiTheme="majorBidi" w:hAnsiTheme="majorBidi" w:cstheme="majorBidi"/>
          <w:sz w:val="20"/>
          <w:szCs w:val="20"/>
          <w:rtl/>
        </w:rPr>
        <w:t xml:space="preserve">   מסכת סוכה דף י עמוד ב.</w:t>
      </w:r>
    </w:p>
  </w:footnote>
  <w:footnote w:id="10">
    <w:p w14:paraId="5F3F1A52" w14:textId="3EFB52FE" w:rsidR="003636C6" w:rsidRPr="002B1061" w:rsidRDefault="003636C6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זו שיטת הראב"ד (דף ה סוף עמוד א מדפי הרי"ף).</w:t>
      </w:r>
    </w:p>
  </w:footnote>
  <w:footnote w:id="11">
    <w:p w14:paraId="5ABC3C95" w14:textId="62D2787D" w:rsidR="008C01E7" w:rsidRPr="002B1061" w:rsidRDefault="008C01E7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ריטב"א שם.</w:t>
      </w:r>
    </w:p>
  </w:footnote>
  <w:footnote w:id="12">
    <w:p w14:paraId="221D1E5E" w14:textId="4A88A58B" w:rsidR="00CA5A1E" w:rsidRPr="002B1061" w:rsidRDefault="00CA5A1E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הל' יבום וקדושין סי' תר"ג</w:t>
      </w:r>
      <w:r w:rsidR="007749AC" w:rsidRPr="002B1061">
        <w:rPr>
          <w:rFonts w:asciiTheme="majorBidi" w:hAnsiTheme="majorBidi" w:cstheme="majorBidi"/>
          <w:rtl/>
        </w:rPr>
        <w:t>.</w:t>
      </w:r>
    </w:p>
  </w:footnote>
  <w:footnote w:id="13">
    <w:p w14:paraId="2F34D1C4" w14:textId="71EA749D" w:rsidR="007749AC" w:rsidRPr="002B1061" w:rsidRDefault="007749AC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שו"ת בנין ציון סימן סב.</w:t>
      </w:r>
    </w:p>
  </w:footnote>
  <w:footnote w:id="14">
    <w:p w14:paraId="3BB38B30" w14:textId="4A92EC55" w:rsidR="00DE5E0F" w:rsidRPr="002B1061" w:rsidRDefault="00DE5E0F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דף על הדף סוכה דף י עמוד ב.</w:t>
      </w:r>
    </w:p>
  </w:footnote>
  <w:footnote w:id="15">
    <w:p w14:paraId="2E6FCC50" w14:textId="5F4AD63E" w:rsidR="00FF485B" w:rsidRPr="002B1061" w:rsidRDefault="00FF485B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לדעתו רק כשנותנים בידיים כפי שהתבאר.</w:t>
      </w:r>
    </w:p>
  </w:footnote>
  <w:footnote w:id="16">
    <w:p w14:paraId="5B87151B" w14:textId="052FA3D2" w:rsidR="00CB0E50" w:rsidRPr="002B1061" w:rsidRDefault="00CB0E50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פרי חדש אורח חיים סימן תצו סעיף כג.</w:t>
      </w:r>
    </w:p>
  </w:footnote>
  <w:footnote w:id="17">
    <w:p w14:paraId="2867651E" w14:textId="09082B09" w:rsidR="00215881" w:rsidRPr="002B1061" w:rsidRDefault="00215881" w:rsidP="002B1061">
      <w:pPr>
        <w:pStyle w:val="a3"/>
        <w:spacing w:line="360" w:lineRule="auto"/>
        <w:rPr>
          <w:rFonts w:asciiTheme="majorBidi" w:hAnsiTheme="majorBidi" w:cstheme="majorBidi"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דף יד סוף עמוד א.</w:t>
      </w:r>
    </w:p>
  </w:footnote>
  <w:footnote w:id="18">
    <w:p w14:paraId="6B271655" w14:textId="57E87F59" w:rsidR="00215881" w:rsidRPr="002B1061" w:rsidRDefault="00215881" w:rsidP="002B1061">
      <w:pPr>
        <w:pStyle w:val="a3"/>
        <w:spacing w:line="360" w:lineRule="auto"/>
        <w:rPr>
          <w:rFonts w:asciiTheme="majorBidi" w:hAnsiTheme="majorBidi" w:cstheme="majorBidi"/>
          <w:rtl/>
        </w:rPr>
      </w:pPr>
      <w:r w:rsidRPr="002B1061">
        <w:rPr>
          <w:rStyle w:val="a5"/>
          <w:rFonts w:asciiTheme="majorBidi" w:hAnsiTheme="majorBidi" w:cstheme="majorBidi"/>
        </w:rPr>
        <w:footnoteRef/>
      </w:r>
      <w:r w:rsidRPr="002B1061">
        <w:rPr>
          <w:rFonts w:asciiTheme="majorBidi" w:hAnsiTheme="majorBidi" w:cstheme="majorBidi"/>
          <w:rtl/>
        </w:rPr>
        <w:t xml:space="preserve"> קכ"א</w:t>
      </w:r>
      <w:r w:rsidR="002B1061">
        <w:rPr>
          <w:rFonts w:asciiTheme="majorBidi" w:hAnsiTheme="majorBidi" w:cstheme="majorBidi" w:hint="cs"/>
          <w:rtl/>
        </w:rPr>
        <w:t>.</w:t>
      </w:r>
    </w:p>
  </w:footnote>
  <w:footnote w:id="19">
    <w:p w14:paraId="5EDF4CFC" w14:textId="67453413" w:rsidR="002B1061" w:rsidRPr="002B1061" w:rsidRDefault="002B1061" w:rsidP="00B372BD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2B1061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2B1061">
        <w:rPr>
          <w:rFonts w:asciiTheme="majorBidi" w:hAnsiTheme="majorBidi" w:cstheme="majorBidi"/>
          <w:sz w:val="20"/>
          <w:szCs w:val="20"/>
          <w:rtl/>
        </w:rPr>
        <w:t xml:space="preserve"> רמב"ם הלכות מאכלות אסורות פרק יא הלכה כה.</w:t>
      </w:r>
    </w:p>
  </w:footnote>
  <w:footnote w:id="20">
    <w:p w14:paraId="7FBA0C56" w14:textId="62567E0F" w:rsidR="00B372BD" w:rsidRPr="003477B3" w:rsidRDefault="00B372BD" w:rsidP="003477B3">
      <w:pPr>
        <w:spacing w:after="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B372BD">
        <w:rPr>
          <w:rStyle w:val="a5"/>
          <w:sz w:val="20"/>
          <w:szCs w:val="20"/>
        </w:rPr>
        <w:footnoteRef/>
      </w:r>
      <w:r w:rsidRPr="00B372BD">
        <w:rPr>
          <w:sz w:val="20"/>
          <w:szCs w:val="20"/>
          <w:rtl/>
        </w:rPr>
        <w:t xml:space="preserve"> </w:t>
      </w:r>
      <w:r w:rsidRPr="00B372BD">
        <w:rPr>
          <w:rFonts w:asciiTheme="majorBidi" w:hAnsiTheme="majorBidi" w:cstheme="majorBidi"/>
          <w:sz w:val="20"/>
          <w:szCs w:val="20"/>
          <w:rtl/>
        </w:rPr>
        <w:t>שולחן ערוך יורה דעה  סימן קיט סעיף ז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21">
    <w:p w14:paraId="406156C0" w14:textId="2B2F002F" w:rsidR="003477B3" w:rsidRPr="003477B3" w:rsidRDefault="003477B3" w:rsidP="003477B3">
      <w:pPr>
        <w:spacing w:after="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3477B3">
        <w:rPr>
          <w:rStyle w:val="a5"/>
          <w:rFonts w:asciiTheme="majorBidi" w:hAnsiTheme="majorBidi" w:cstheme="majorBidi"/>
          <w:sz w:val="20"/>
          <w:szCs w:val="20"/>
        </w:rPr>
        <w:footnoteRef/>
      </w:r>
      <w:r w:rsidRPr="003477B3">
        <w:rPr>
          <w:rFonts w:asciiTheme="majorBidi" w:hAnsiTheme="majorBidi" w:cstheme="majorBidi"/>
          <w:sz w:val="20"/>
          <w:szCs w:val="20"/>
          <w:rtl/>
        </w:rPr>
        <w:t xml:space="preserve"> ש"ך יורה דעה סימן קיט ס"ק כ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3C02B557" w14:textId="7149DFD6" w:rsidR="003477B3" w:rsidRDefault="003477B3">
      <w:pPr>
        <w:pStyle w:val="a3"/>
      </w:pPr>
    </w:p>
  </w:footnote>
  <w:footnote w:id="22">
    <w:p w14:paraId="2B2C64AF" w14:textId="0CDD7E89" w:rsidR="00F3293F" w:rsidRPr="00F3293F" w:rsidRDefault="00F3293F" w:rsidP="00F3293F">
      <w:pPr>
        <w:spacing w:after="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F3293F">
        <w:rPr>
          <w:rStyle w:val="a5"/>
          <w:sz w:val="20"/>
          <w:szCs w:val="20"/>
        </w:rPr>
        <w:footnoteRef/>
      </w:r>
      <w:r w:rsidRPr="00F3293F">
        <w:rPr>
          <w:sz w:val="20"/>
          <w:szCs w:val="20"/>
          <w:rtl/>
        </w:rPr>
        <w:t xml:space="preserve"> </w:t>
      </w:r>
      <w:r w:rsidRPr="00F3293F">
        <w:rPr>
          <w:rFonts w:asciiTheme="majorBidi" w:hAnsiTheme="majorBidi" w:cstheme="majorBidi"/>
          <w:sz w:val="20"/>
          <w:szCs w:val="20"/>
          <w:rtl/>
        </w:rPr>
        <w:t>פתחי תשובה יורה דעה סימן קיט ס"ק א</w:t>
      </w:r>
      <w:r w:rsidRPr="00F3293F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56A3C480" w14:textId="611F67C9" w:rsidR="00F3293F" w:rsidRDefault="00F3293F">
      <w:pPr>
        <w:pStyle w:val="a3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79260110"/>
      <w:docPartObj>
        <w:docPartGallery w:val="Page Numbers (Top of Page)"/>
        <w:docPartUnique/>
      </w:docPartObj>
    </w:sdtPr>
    <w:sdtContent>
      <w:p w14:paraId="23188FB2" w14:textId="3347490F" w:rsidR="00214877" w:rsidRDefault="0021487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4F9AEA4" w14:textId="77777777" w:rsidR="00214877" w:rsidRDefault="00214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F34"/>
    <w:multiLevelType w:val="hybridMultilevel"/>
    <w:tmpl w:val="1D64FA26"/>
    <w:lvl w:ilvl="0" w:tplc="22D8209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C7D238B"/>
    <w:multiLevelType w:val="hybridMultilevel"/>
    <w:tmpl w:val="A5D2FE44"/>
    <w:lvl w:ilvl="0" w:tplc="24A415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45"/>
    <w:rsid w:val="000071F6"/>
    <w:rsid w:val="000A5745"/>
    <w:rsid w:val="000C4AD7"/>
    <w:rsid w:val="000E7C31"/>
    <w:rsid w:val="00214877"/>
    <w:rsid w:val="00215881"/>
    <w:rsid w:val="00293330"/>
    <w:rsid w:val="002B1061"/>
    <w:rsid w:val="003477B3"/>
    <w:rsid w:val="003636C6"/>
    <w:rsid w:val="003B5D1F"/>
    <w:rsid w:val="004A23B1"/>
    <w:rsid w:val="004C0BF6"/>
    <w:rsid w:val="004E1282"/>
    <w:rsid w:val="0056225B"/>
    <w:rsid w:val="00612E7C"/>
    <w:rsid w:val="00686395"/>
    <w:rsid w:val="006C1BE5"/>
    <w:rsid w:val="00701A92"/>
    <w:rsid w:val="0072665A"/>
    <w:rsid w:val="007749AC"/>
    <w:rsid w:val="008C01E7"/>
    <w:rsid w:val="008D2904"/>
    <w:rsid w:val="00912C63"/>
    <w:rsid w:val="00913743"/>
    <w:rsid w:val="009473BF"/>
    <w:rsid w:val="00954ED0"/>
    <w:rsid w:val="00A82CF4"/>
    <w:rsid w:val="00B372BD"/>
    <w:rsid w:val="00B626A6"/>
    <w:rsid w:val="00B87696"/>
    <w:rsid w:val="00C06583"/>
    <w:rsid w:val="00C47666"/>
    <w:rsid w:val="00CA5A1E"/>
    <w:rsid w:val="00CB0E50"/>
    <w:rsid w:val="00DB6233"/>
    <w:rsid w:val="00DE5E0F"/>
    <w:rsid w:val="00DE71CE"/>
    <w:rsid w:val="00E01264"/>
    <w:rsid w:val="00EC5C42"/>
    <w:rsid w:val="00F3293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1274"/>
  <w15:chartTrackingRefBased/>
  <w15:docId w15:val="{68C20048-6F85-48AC-A54C-394ABEE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25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56225B"/>
    <w:rPr>
      <w:noProof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225B"/>
    <w:rPr>
      <w:vertAlign w:val="superscript"/>
    </w:rPr>
  </w:style>
  <w:style w:type="paragraph" w:styleId="a6">
    <w:name w:val="List Paragraph"/>
    <w:basedOn w:val="a"/>
    <w:uiPriority w:val="34"/>
    <w:qFormat/>
    <w:rsid w:val="00B372B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14877"/>
    <w:rPr>
      <w:noProof/>
    </w:rPr>
  </w:style>
  <w:style w:type="paragraph" w:styleId="a9">
    <w:name w:val="footer"/>
    <w:basedOn w:val="a"/>
    <w:link w:val="aa"/>
    <w:uiPriority w:val="99"/>
    <w:unhideWhenUsed/>
    <w:rsid w:val="0021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14877"/>
    <w:rPr>
      <w:noProof/>
    </w:rPr>
  </w:style>
  <w:style w:type="character" w:styleId="Hyperlink">
    <w:name w:val="Hyperlink"/>
    <w:basedOn w:val="a0"/>
    <w:uiPriority w:val="99"/>
    <w:unhideWhenUsed/>
    <w:rsid w:val="00701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nufi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588-740A-4C11-AA86-40E6BE9C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1319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peleg</dc:creator>
  <cp:keywords/>
  <dc:description/>
  <cp:lastModifiedBy>paz peleg</cp:lastModifiedBy>
  <cp:revision>7</cp:revision>
  <dcterms:created xsi:type="dcterms:W3CDTF">2021-12-29T19:55:00Z</dcterms:created>
  <dcterms:modified xsi:type="dcterms:W3CDTF">2022-03-09T18:17:00Z</dcterms:modified>
</cp:coreProperties>
</file>