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7AE3E0" w14:textId="659541D7" w:rsidR="004F033D" w:rsidRPr="004F033D" w:rsidRDefault="004F033D" w:rsidP="004F033D">
      <w:pPr>
        <w:spacing w:after="0" w:line="360" w:lineRule="auto"/>
        <w:rPr>
          <w:rFonts w:asciiTheme="majorBidi" w:hAnsiTheme="majorBidi" w:cstheme="majorBidi"/>
          <w:sz w:val="24"/>
          <w:szCs w:val="24"/>
          <w:rtl/>
        </w:rPr>
      </w:pPr>
      <w:r w:rsidRPr="004F033D">
        <w:rPr>
          <w:rFonts w:asciiTheme="majorBidi" w:hAnsiTheme="majorBidi" w:cs="Times New Roman"/>
          <w:sz w:val="24"/>
          <w:szCs w:val="24"/>
          <w:rtl/>
        </w:rPr>
        <w:t>משנה מסכת יבמות פרק י</w:t>
      </w:r>
      <w:r>
        <w:rPr>
          <w:rFonts w:asciiTheme="majorBidi" w:hAnsiTheme="majorBidi" w:cstheme="majorBidi" w:hint="cs"/>
          <w:sz w:val="24"/>
          <w:szCs w:val="24"/>
          <w:rtl/>
        </w:rPr>
        <w:t xml:space="preserve"> משנה ד</w:t>
      </w:r>
    </w:p>
    <w:p w14:paraId="0E21C316" w14:textId="3F84BF5F" w:rsidR="004F033D" w:rsidRDefault="004F033D" w:rsidP="004F033D">
      <w:pPr>
        <w:spacing w:after="0" w:line="360" w:lineRule="auto"/>
        <w:rPr>
          <w:rFonts w:asciiTheme="majorBidi" w:hAnsiTheme="majorBidi" w:cstheme="majorBidi"/>
          <w:sz w:val="24"/>
          <w:szCs w:val="24"/>
          <w:rtl/>
        </w:rPr>
      </w:pPr>
      <w:r w:rsidRPr="004F033D">
        <w:rPr>
          <w:rFonts w:asciiTheme="majorBidi" w:hAnsiTheme="majorBidi" w:cs="Times New Roman"/>
          <w:sz w:val="24"/>
          <w:szCs w:val="24"/>
          <w:rtl/>
        </w:rPr>
        <w:t>אמרו לו מתה אשתך ונשא את אחותה ואחר כך אמרו לו קיימת היתה ומתה הולד ראשון ממזר והאחרון אינו ממזר רבי יוסי אומר כל שפוסל על ידי אחרים פוסל על ידי עצמו וכל שאין פוסל על ידי אחרים אינו פוסל על ידי עצמו:</w:t>
      </w:r>
    </w:p>
    <w:p w14:paraId="0F69AEAC" w14:textId="278BA1C7" w:rsidR="00411E0F" w:rsidRPr="00071EFD" w:rsidRDefault="00D36273" w:rsidP="00966A70">
      <w:pPr>
        <w:spacing w:after="0" w:line="360" w:lineRule="auto"/>
        <w:rPr>
          <w:rFonts w:asciiTheme="majorBidi" w:hAnsiTheme="majorBidi" w:cstheme="majorBidi"/>
          <w:sz w:val="24"/>
          <w:szCs w:val="24"/>
          <w:rtl/>
        </w:rPr>
      </w:pPr>
      <w:r>
        <w:rPr>
          <w:rFonts w:asciiTheme="majorBidi" w:hAnsiTheme="majorBidi" w:cs="Times New Roman" w:hint="cs"/>
          <w:sz w:val="24"/>
          <w:szCs w:val="24"/>
          <w:rtl/>
        </w:rPr>
        <w:t xml:space="preserve"> </w:t>
      </w:r>
      <w:r w:rsidR="004F033D" w:rsidRPr="004F033D">
        <w:rPr>
          <w:rFonts w:asciiTheme="majorBidi" w:hAnsiTheme="majorBidi" w:cs="Times New Roman"/>
          <w:sz w:val="24"/>
          <w:szCs w:val="24"/>
          <w:rtl/>
        </w:rPr>
        <w:t xml:space="preserve"> מסכת יבמות דף צה עמוד ב</w:t>
      </w:r>
      <w:r w:rsidR="00966A70">
        <w:rPr>
          <w:rFonts w:asciiTheme="majorBidi" w:hAnsiTheme="majorBidi" w:cstheme="majorBidi" w:hint="cs"/>
          <w:sz w:val="24"/>
          <w:szCs w:val="24"/>
          <w:rtl/>
        </w:rPr>
        <w:t xml:space="preserve">  </w:t>
      </w:r>
      <w:r w:rsidR="004F033D" w:rsidRPr="004F033D">
        <w:rPr>
          <w:rFonts w:asciiTheme="majorBidi" w:hAnsiTheme="majorBidi" w:cs="Times New Roman"/>
          <w:sz w:val="24"/>
          <w:szCs w:val="24"/>
          <w:rtl/>
        </w:rPr>
        <w:t xml:space="preserve">אמר רב יהודה אמר שמואל: הלכה כרבי יוסי. מתקיף לה רב יוסף: ומי אמר שמואל הכי? והאתמר: יבמה - רב אמר: הרי היא כאשת איש, ושמואל אמר: אינה כאשת איש, ואמר רב הונא: כגון שקדש אחיו את האשה והלך לו למדינת הים, ושמע שמת אחיו ועמד ונשא את אשתו, דרב אמר: הרי היא כאשת איש ואסורה ליבם, ושמואל אמר: אינה כאשת איש ושריא ליה! א"ל אביי: וממאי דכי אמר שמואל הלכה כרבי יוסי - אדרבי יצחק נפחא קאמר? דלמא אדרבי אמי קאמר! ואי נמי אדרבי יצחק נפחא, ממאי דאפוסל? </w:t>
      </w:r>
      <w:r w:rsidR="004F033D">
        <w:rPr>
          <w:rFonts w:asciiTheme="majorBidi" w:hAnsiTheme="majorBidi" w:cs="Times New Roman" w:hint="cs"/>
          <w:sz w:val="24"/>
          <w:szCs w:val="24"/>
          <w:rtl/>
        </w:rPr>
        <w:t xml:space="preserve"> </w:t>
      </w:r>
      <w:r w:rsidR="004F033D" w:rsidRPr="004F033D">
        <w:rPr>
          <w:rFonts w:asciiTheme="majorBidi" w:hAnsiTheme="majorBidi" w:cs="Times New Roman"/>
          <w:sz w:val="24"/>
          <w:szCs w:val="24"/>
          <w:rtl/>
        </w:rPr>
        <w:t xml:space="preserve"> </w:t>
      </w:r>
      <w:r w:rsidR="004F033D">
        <w:rPr>
          <w:rFonts w:asciiTheme="majorBidi" w:hAnsiTheme="majorBidi" w:cs="Times New Roman" w:hint="cs"/>
          <w:sz w:val="24"/>
          <w:szCs w:val="24"/>
          <w:rtl/>
        </w:rPr>
        <w:t xml:space="preserve"> </w:t>
      </w:r>
      <w:r w:rsidR="004F033D" w:rsidRPr="004F033D">
        <w:rPr>
          <w:rFonts w:asciiTheme="majorBidi" w:hAnsiTheme="majorBidi" w:cs="Times New Roman"/>
          <w:sz w:val="24"/>
          <w:szCs w:val="24"/>
          <w:rtl/>
        </w:rPr>
        <w:t xml:space="preserve"> דף צו עמוד א</w:t>
      </w:r>
      <w:r w:rsidR="00071EFD">
        <w:rPr>
          <w:rFonts w:asciiTheme="majorBidi" w:hAnsiTheme="majorBidi" w:cstheme="majorBidi" w:hint="cs"/>
          <w:sz w:val="24"/>
          <w:szCs w:val="24"/>
          <w:rtl/>
        </w:rPr>
        <w:t xml:space="preserve">   </w:t>
      </w:r>
      <w:r w:rsidR="004F033D" w:rsidRPr="004F033D">
        <w:rPr>
          <w:rFonts w:asciiTheme="majorBidi" w:hAnsiTheme="majorBidi" w:cs="Times New Roman"/>
          <w:sz w:val="24"/>
          <w:szCs w:val="24"/>
          <w:rtl/>
        </w:rPr>
        <w:t>ודלמא אאינו פוסל! אי נמי, ממאי דאיתא לדרב הונא? דלמא ליתא דרב הונא כלל, ובדרב המנונא קמיפלגי, דאמר רב המנונא: שומרת יבם שזינתה אסורה ליבמה, דרב אמר: הרי היא כאשת איש ומיפסלא בזנות, ושמואל אמר: אינה כאשת איש ולא מיפסלא בזנות! וא"נ, בקדושין תופסין ביבמה קמיפלגי, דרב אמר: הרי היא כאשת איש ולא תפסי בה קדושין, ושמואל אמר: אינה כאשת איש ותפסי בה קדושין</w:t>
      </w:r>
      <w:r w:rsidR="0071706D">
        <w:rPr>
          <w:rStyle w:val="a6"/>
          <w:rFonts w:asciiTheme="majorBidi" w:hAnsiTheme="majorBidi" w:cs="Times New Roman"/>
          <w:sz w:val="24"/>
          <w:szCs w:val="24"/>
          <w:rtl/>
        </w:rPr>
        <w:footnoteReference w:id="1"/>
      </w:r>
      <w:r w:rsidR="004F033D" w:rsidRPr="004F033D">
        <w:rPr>
          <w:rFonts w:asciiTheme="majorBidi" w:hAnsiTheme="majorBidi" w:cs="Times New Roman"/>
          <w:sz w:val="24"/>
          <w:szCs w:val="24"/>
          <w:rtl/>
        </w:rPr>
        <w:t>. והא אפליגו בה חדא זימנא! חדא מכלל דחברתה איתמר.</w:t>
      </w:r>
    </w:p>
    <w:p w14:paraId="1131DE07" w14:textId="0DA4A564" w:rsidR="004F033D" w:rsidRPr="00071EFD" w:rsidRDefault="00071EFD" w:rsidP="00071EFD">
      <w:pPr>
        <w:spacing w:after="0" w:line="360" w:lineRule="auto"/>
        <w:jc w:val="center"/>
        <w:rPr>
          <w:rFonts w:asciiTheme="majorBidi" w:hAnsiTheme="majorBidi" w:cstheme="majorBidi"/>
          <w:b/>
          <w:bCs/>
          <w:sz w:val="28"/>
          <w:szCs w:val="28"/>
          <w:u w:val="single"/>
          <w:rtl/>
        </w:rPr>
      </w:pPr>
      <w:r>
        <w:rPr>
          <w:rFonts w:asciiTheme="majorBidi" w:hAnsiTheme="majorBidi" w:cstheme="majorBidi" w:hint="cs"/>
          <w:b/>
          <w:bCs/>
          <w:sz w:val="28"/>
          <w:szCs w:val="28"/>
          <w:u w:val="single"/>
          <w:rtl/>
        </w:rPr>
        <w:t>גדר איסור יבמה</w:t>
      </w:r>
      <w:r w:rsidR="00AE1F0D">
        <w:rPr>
          <w:rFonts w:asciiTheme="majorBidi" w:hAnsiTheme="majorBidi" w:cstheme="majorBidi" w:hint="cs"/>
          <w:b/>
          <w:bCs/>
          <w:sz w:val="28"/>
          <w:szCs w:val="28"/>
          <w:u w:val="single"/>
          <w:rtl/>
        </w:rPr>
        <w:t xml:space="preserve"> לפי התנאים</w:t>
      </w:r>
    </w:p>
    <w:p w14:paraId="6F5CBFAC" w14:textId="450B5738" w:rsidR="004F033D" w:rsidRPr="003F7D00" w:rsidRDefault="004F033D" w:rsidP="003F7D00">
      <w:pPr>
        <w:pStyle w:val="a7"/>
        <w:numPr>
          <w:ilvl w:val="0"/>
          <w:numId w:val="2"/>
        </w:numPr>
        <w:spacing w:after="0" w:line="360" w:lineRule="auto"/>
        <w:rPr>
          <w:rFonts w:asciiTheme="majorBidi" w:hAnsiTheme="majorBidi" w:cstheme="majorBidi"/>
          <w:b/>
          <w:bCs/>
          <w:sz w:val="24"/>
          <w:szCs w:val="24"/>
          <w:rtl/>
        </w:rPr>
      </w:pPr>
      <w:r w:rsidRPr="003F7D00">
        <w:rPr>
          <w:rFonts w:asciiTheme="majorBidi" w:hAnsiTheme="majorBidi" w:cstheme="majorBidi" w:hint="cs"/>
          <w:b/>
          <w:bCs/>
          <w:sz w:val="24"/>
          <w:szCs w:val="24"/>
          <w:rtl/>
        </w:rPr>
        <w:t>ביאור מחלוקת התנאים</w:t>
      </w:r>
    </w:p>
    <w:p w14:paraId="6E5165FA" w14:textId="780FC970" w:rsidR="00003D2E" w:rsidRDefault="004F033D" w:rsidP="00966A70">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הגמרא מציעה כמה אפשרויות להבנת דברי תנא קמא ורבי יוסי</w:t>
      </w:r>
      <w:r w:rsidR="00003D2E">
        <w:rPr>
          <w:rFonts w:asciiTheme="majorBidi" w:hAnsiTheme="majorBidi" w:cstheme="majorBidi" w:hint="cs"/>
          <w:sz w:val="24"/>
          <w:szCs w:val="24"/>
          <w:rtl/>
        </w:rPr>
        <w:t xml:space="preserve">. מדובר שאשתו וגיסו </w:t>
      </w:r>
    </w:p>
    <w:p w14:paraId="306E71AF" w14:textId="32CA1D4B" w:rsidR="00966A70" w:rsidRDefault="00003D2E" w:rsidP="00966A70">
      <w:pPr>
        <w:spacing w:after="0" w:line="360" w:lineRule="auto"/>
        <w:rPr>
          <w:rFonts w:asciiTheme="majorBidi" w:hAnsiTheme="majorBidi" w:cstheme="majorBidi"/>
          <w:sz w:val="24"/>
          <w:szCs w:val="24"/>
          <w:rtl/>
        </w:rPr>
      </w:pPr>
      <w:r>
        <w:rPr>
          <w:rFonts w:asciiTheme="majorBidi" w:hAnsiTheme="majorBidi" w:cstheme="majorBidi" w:hint="cs"/>
          <w:sz w:val="24"/>
          <w:szCs w:val="24"/>
          <w:rtl/>
        </w:rPr>
        <w:t>של ראובן</w:t>
      </w:r>
      <w:r w:rsidR="00966A70">
        <w:rPr>
          <w:rFonts w:asciiTheme="majorBidi" w:hAnsiTheme="majorBidi" w:cstheme="majorBidi" w:hint="cs"/>
          <w:sz w:val="24"/>
          <w:szCs w:val="24"/>
          <w:rtl/>
        </w:rPr>
        <w:t xml:space="preserve"> </w:t>
      </w:r>
      <w:r w:rsidR="00966A70">
        <w:rPr>
          <w:rFonts w:asciiTheme="majorBidi" w:hAnsiTheme="majorBidi" w:cstheme="majorBidi" w:hint="cs"/>
          <w:sz w:val="24"/>
          <w:szCs w:val="24"/>
          <w:rtl/>
        </w:rPr>
        <w:t>הלכו למדינת הים</w:t>
      </w:r>
      <w:r>
        <w:rPr>
          <w:rFonts w:asciiTheme="majorBidi" w:hAnsiTheme="majorBidi" w:cstheme="majorBidi" w:hint="cs"/>
          <w:sz w:val="24"/>
          <w:szCs w:val="24"/>
          <w:rtl/>
        </w:rPr>
        <w:t xml:space="preserve">, ונשמע שמתו. נשא ראובן גיסתו, וחזרו השניים בחיים. </w:t>
      </w:r>
    </w:p>
    <w:tbl>
      <w:tblPr>
        <w:tblStyle w:val="a3"/>
        <w:bidiVisual/>
        <w:tblW w:w="0" w:type="auto"/>
        <w:tblLook w:val="04A0" w:firstRow="1" w:lastRow="0" w:firstColumn="1" w:lastColumn="0" w:noHBand="0" w:noVBand="1"/>
      </w:tblPr>
      <w:tblGrid>
        <w:gridCol w:w="1382"/>
        <w:gridCol w:w="1382"/>
        <w:gridCol w:w="1383"/>
        <w:gridCol w:w="2026"/>
        <w:gridCol w:w="2123"/>
      </w:tblGrid>
      <w:tr w:rsidR="00F1476B" w14:paraId="42979F3A" w14:textId="77777777" w:rsidTr="00F1476B">
        <w:tc>
          <w:tcPr>
            <w:tcW w:w="1382" w:type="dxa"/>
          </w:tcPr>
          <w:p w14:paraId="22CBB96C" w14:textId="77777777" w:rsidR="00F1476B" w:rsidRDefault="00F1476B" w:rsidP="00003D2E">
            <w:pPr>
              <w:rPr>
                <w:rFonts w:asciiTheme="majorBidi" w:hAnsiTheme="majorBidi" w:cstheme="majorBidi"/>
                <w:sz w:val="24"/>
                <w:szCs w:val="24"/>
                <w:rtl/>
              </w:rPr>
            </w:pPr>
          </w:p>
        </w:tc>
        <w:tc>
          <w:tcPr>
            <w:tcW w:w="1382" w:type="dxa"/>
          </w:tcPr>
          <w:p w14:paraId="7C9529EA" w14:textId="75A74682" w:rsidR="00F1476B" w:rsidRDefault="00F1476B" w:rsidP="00003D2E">
            <w:pPr>
              <w:rPr>
                <w:rFonts w:asciiTheme="majorBidi" w:hAnsiTheme="majorBidi" w:cstheme="majorBidi"/>
                <w:sz w:val="24"/>
                <w:szCs w:val="24"/>
                <w:rtl/>
              </w:rPr>
            </w:pPr>
            <w:r>
              <w:rPr>
                <w:rFonts w:asciiTheme="majorBidi" w:hAnsiTheme="majorBidi" w:cstheme="majorBidi" w:hint="cs"/>
                <w:sz w:val="24"/>
                <w:szCs w:val="24"/>
                <w:rtl/>
              </w:rPr>
              <w:t>הסבר 1</w:t>
            </w:r>
          </w:p>
        </w:tc>
        <w:tc>
          <w:tcPr>
            <w:tcW w:w="1383" w:type="dxa"/>
          </w:tcPr>
          <w:p w14:paraId="0175F35E" w14:textId="75BE7E08" w:rsidR="00F1476B" w:rsidRDefault="00F1476B" w:rsidP="00003D2E">
            <w:pPr>
              <w:rPr>
                <w:rFonts w:asciiTheme="majorBidi" w:hAnsiTheme="majorBidi" w:cstheme="majorBidi"/>
                <w:sz w:val="24"/>
                <w:szCs w:val="24"/>
                <w:rtl/>
              </w:rPr>
            </w:pPr>
            <w:r>
              <w:rPr>
                <w:rFonts w:asciiTheme="majorBidi" w:hAnsiTheme="majorBidi" w:cstheme="majorBidi" w:hint="cs"/>
                <w:sz w:val="24"/>
                <w:szCs w:val="24"/>
                <w:rtl/>
              </w:rPr>
              <w:t>הסבר 2</w:t>
            </w:r>
          </w:p>
        </w:tc>
        <w:tc>
          <w:tcPr>
            <w:tcW w:w="2026" w:type="dxa"/>
          </w:tcPr>
          <w:p w14:paraId="25060C48" w14:textId="26CE4B50" w:rsidR="00F1476B" w:rsidRDefault="00F1476B" w:rsidP="00003D2E">
            <w:pPr>
              <w:rPr>
                <w:rFonts w:asciiTheme="majorBidi" w:hAnsiTheme="majorBidi" w:cstheme="majorBidi"/>
                <w:sz w:val="24"/>
                <w:szCs w:val="24"/>
                <w:rtl/>
              </w:rPr>
            </w:pPr>
            <w:r>
              <w:rPr>
                <w:rFonts w:asciiTheme="majorBidi" w:hAnsiTheme="majorBidi" w:cstheme="majorBidi" w:hint="cs"/>
                <w:sz w:val="24"/>
                <w:szCs w:val="24"/>
                <w:rtl/>
              </w:rPr>
              <w:t xml:space="preserve">רבי אמי: </w:t>
            </w:r>
          </w:p>
        </w:tc>
        <w:tc>
          <w:tcPr>
            <w:tcW w:w="2123" w:type="dxa"/>
          </w:tcPr>
          <w:p w14:paraId="6D49C857" w14:textId="28753C9F" w:rsidR="00F1476B" w:rsidRDefault="00F1476B" w:rsidP="00003D2E">
            <w:pPr>
              <w:rPr>
                <w:rFonts w:asciiTheme="majorBidi" w:hAnsiTheme="majorBidi" w:cstheme="majorBidi"/>
                <w:sz w:val="24"/>
                <w:szCs w:val="24"/>
                <w:rtl/>
              </w:rPr>
            </w:pPr>
            <w:r>
              <w:rPr>
                <w:rFonts w:asciiTheme="majorBidi" w:hAnsiTheme="majorBidi" w:cstheme="majorBidi" w:hint="cs"/>
                <w:sz w:val="24"/>
                <w:szCs w:val="24"/>
                <w:rtl/>
              </w:rPr>
              <w:t>רבי יצחק נפחא</w:t>
            </w:r>
          </w:p>
        </w:tc>
      </w:tr>
      <w:tr w:rsidR="00F1476B" w14:paraId="09DAC567" w14:textId="77777777" w:rsidTr="00F1476B">
        <w:tc>
          <w:tcPr>
            <w:tcW w:w="1382" w:type="dxa"/>
          </w:tcPr>
          <w:p w14:paraId="40DE29D2" w14:textId="7D0F7150" w:rsidR="00F1476B" w:rsidRDefault="00F1476B" w:rsidP="00003D2E">
            <w:pPr>
              <w:rPr>
                <w:rFonts w:asciiTheme="majorBidi" w:hAnsiTheme="majorBidi" w:cstheme="majorBidi"/>
                <w:sz w:val="24"/>
                <w:szCs w:val="24"/>
                <w:rtl/>
              </w:rPr>
            </w:pPr>
            <w:r>
              <w:rPr>
                <w:rFonts w:asciiTheme="majorBidi" w:hAnsiTheme="majorBidi" w:cstheme="majorBidi" w:hint="cs"/>
                <w:sz w:val="24"/>
                <w:szCs w:val="24"/>
                <w:rtl/>
              </w:rPr>
              <w:t>הנחות יסוד</w:t>
            </w:r>
          </w:p>
        </w:tc>
        <w:tc>
          <w:tcPr>
            <w:tcW w:w="1382" w:type="dxa"/>
          </w:tcPr>
          <w:p w14:paraId="25F74644" w14:textId="77777777" w:rsidR="00F1476B" w:rsidRDefault="00F1476B" w:rsidP="00003D2E">
            <w:pPr>
              <w:rPr>
                <w:rFonts w:asciiTheme="majorBidi" w:hAnsiTheme="majorBidi" w:cstheme="majorBidi"/>
                <w:sz w:val="24"/>
                <w:szCs w:val="24"/>
                <w:rtl/>
              </w:rPr>
            </w:pPr>
          </w:p>
        </w:tc>
        <w:tc>
          <w:tcPr>
            <w:tcW w:w="1383" w:type="dxa"/>
          </w:tcPr>
          <w:p w14:paraId="1A4F648A" w14:textId="77777777" w:rsidR="00F1476B" w:rsidRDefault="00F1476B" w:rsidP="00003D2E">
            <w:pPr>
              <w:rPr>
                <w:rFonts w:asciiTheme="majorBidi" w:hAnsiTheme="majorBidi" w:cstheme="majorBidi"/>
                <w:sz w:val="24"/>
                <w:szCs w:val="24"/>
                <w:rtl/>
              </w:rPr>
            </w:pPr>
          </w:p>
        </w:tc>
        <w:tc>
          <w:tcPr>
            <w:tcW w:w="2026" w:type="dxa"/>
          </w:tcPr>
          <w:p w14:paraId="72D0C0B2" w14:textId="532BF562" w:rsidR="00F1476B" w:rsidRDefault="00F1476B" w:rsidP="00003D2E">
            <w:pPr>
              <w:rPr>
                <w:rFonts w:asciiTheme="majorBidi" w:hAnsiTheme="majorBidi" w:cstheme="majorBidi"/>
                <w:sz w:val="24"/>
                <w:szCs w:val="24"/>
                <w:rtl/>
              </w:rPr>
            </w:pPr>
            <w:r>
              <w:rPr>
                <w:rFonts w:asciiTheme="majorBidi" w:hAnsiTheme="majorBidi" w:cstheme="majorBidi" w:hint="cs"/>
                <w:sz w:val="24"/>
                <w:szCs w:val="24"/>
                <w:rtl/>
              </w:rPr>
              <w:t xml:space="preserve">אם נשאה הגיסה  על פי שני עדים מותרים הגיס בגיסה וראובן באשתו.  </w:t>
            </w:r>
          </w:p>
        </w:tc>
        <w:tc>
          <w:tcPr>
            <w:tcW w:w="2123" w:type="dxa"/>
          </w:tcPr>
          <w:p w14:paraId="5DE08853" w14:textId="0CE867B5" w:rsidR="00F1476B" w:rsidRDefault="00F1476B" w:rsidP="00003D2E">
            <w:pPr>
              <w:rPr>
                <w:rFonts w:asciiTheme="majorBidi" w:hAnsiTheme="majorBidi" w:cstheme="majorBidi"/>
                <w:sz w:val="24"/>
                <w:szCs w:val="24"/>
                <w:rtl/>
              </w:rPr>
            </w:pPr>
            <w:r>
              <w:rPr>
                <w:rFonts w:asciiTheme="majorBidi" w:hAnsiTheme="majorBidi" w:cstheme="majorBidi" w:hint="cs"/>
                <w:sz w:val="24"/>
                <w:szCs w:val="24"/>
                <w:rtl/>
              </w:rPr>
              <w:t>אין באחיות חשש שיאמרו גירש זה ונשא זה.</w:t>
            </w:r>
          </w:p>
        </w:tc>
      </w:tr>
      <w:tr w:rsidR="00F1476B" w14:paraId="75F22FD0" w14:textId="77777777" w:rsidTr="00F1476B">
        <w:tc>
          <w:tcPr>
            <w:tcW w:w="1382" w:type="dxa"/>
          </w:tcPr>
          <w:p w14:paraId="4DC44405" w14:textId="667BA938" w:rsidR="00F1476B" w:rsidRDefault="00F1476B" w:rsidP="00003D2E">
            <w:pPr>
              <w:rPr>
                <w:rFonts w:asciiTheme="majorBidi" w:hAnsiTheme="majorBidi" w:cstheme="majorBidi"/>
                <w:sz w:val="24"/>
                <w:szCs w:val="24"/>
                <w:rtl/>
              </w:rPr>
            </w:pPr>
            <w:r>
              <w:rPr>
                <w:rFonts w:asciiTheme="majorBidi" w:hAnsiTheme="majorBidi" w:cstheme="majorBidi" w:hint="cs"/>
                <w:sz w:val="24"/>
                <w:szCs w:val="24"/>
                <w:rtl/>
              </w:rPr>
              <w:t>תנא קמא</w:t>
            </w:r>
          </w:p>
        </w:tc>
        <w:tc>
          <w:tcPr>
            <w:tcW w:w="2765" w:type="dxa"/>
            <w:gridSpan w:val="2"/>
          </w:tcPr>
          <w:p w14:paraId="24032440" w14:textId="24C170E5" w:rsidR="00F1476B" w:rsidRDefault="00F1476B" w:rsidP="00003D2E">
            <w:pPr>
              <w:rPr>
                <w:rFonts w:asciiTheme="majorBidi" w:hAnsiTheme="majorBidi" w:cstheme="majorBidi"/>
                <w:sz w:val="24"/>
                <w:szCs w:val="24"/>
                <w:rtl/>
              </w:rPr>
            </w:pPr>
            <w:bookmarkStart w:id="0" w:name="_Hlk97807577"/>
            <w:r>
              <w:rPr>
                <w:rFonts w:asciiTheme="majorBidi" w:hAnsiTheme="majorBidi" w:cstheme="majorBidi" w:hint="cs"/>
                <w:sz w:val="24"/>
                <w:szCs w:val="24"/>
                <w:rtl/>
              </w:rPr>
              <w:t>הגיסה אסורה על בעלה, וראובן מותר באשתו.</w:t>
            </w:r>
            <w:bookmarkEnd w:id="0"/>
          </w:p>
        </w:tc>
        <w:tc>
          <w:tcPr>
            <w:tcW w:w="2026" w:type="dxa"/>
          </w:tcPr>
          <w:p w14:paraId="60A34C4A" w14:textId="78EF78CD" w:rsidR="00F1476B" w:rsidRDefault="00F1476B" w:rsidP="00003D2E">
            <w:pPr>
              <w:rPr>
                <w:rFonts w:asciiTheme="majorBidi" w:hAnsiTheme="majorBidi" w:cstheme="majorBidi"/>
                <w:sz w:val="24"/>
                <w:szCs w:val="24"/>
                <w:rtl/>
              </w:rPr>
            </w:pPr>
            <w:r>
              <w:rPr>
                <w:rFonts w:asciiTheme="majorBidi" w:hAnsiTheme="majorBidi" w:cstheme="majorBidi" w:hint="cs"/>
                <w:sz w:val="24"/>
                <w:szCs w:val="24"/>
                <w:rtl/>
              </w:rPr>
              <w:t>הגיסה אסורה אם נשאה על פי אחד.</w:t>
            </w:r>
          </w:p>
          <w:p w14:paraId="27926E76" w14:textId="1045CBAC" w:rsidR="00F1476B" w:rsidRDefault="00F1476B" w:rsidP="00003D2E">
            <w:pPr>
              <w:rPr>
                <w:rFonts w:asciiTheme="majorBidi" w:hAnsiTheme="majorBidi" w:cstheme="majorBidi"/>
                <w:sz w:val="24"/>
                <w:szCs w:val="24"/>
                <w:rtl/>
              </w:rPr>
            </w:pPr>
            <w:r>
              <w:rPr>
                <w:rFonts w:asciiTheme="majorBidi" w:hAnsiTheme="majorBidi" w:cstheme="majorBidi" w:hint="cs"/>
                <w:sz w:val="24"/>
                <w:szCs w:val="24"/>
                <w:rtl/>
              </w:rPr>
              <w:t>אשת ראובן מותרת לו</w:t>
            </w:r>
          </w:p>
        </w:tc>
        <w:tc>
          <w:tcPr>
            <w:tcW w:w="2123" w:type="dxa"/>
          </w:tcPr>
          <w:p w14:paraId="366A9997" w14:textId="77777777" w:rsidR="0099718D" w:rsidRDefault="00F1476B" w:rsidP="00003D2E">
            <w:pPr>
              <w:rPr>
                <w:rFonts w:asciiTheme="majorBidi" w:hAnsiTheme="majorBidi" w:cstheme="majorBidi"/>
                <w:sz w:val="24"/>
                <w:szCs w:val="24"/>
                <w:rtl/>
              </w:rPr>
            </w:pPr>
            <w:r>
              <w:rPr>
                <w:rFonts w:asciiTheme="majorBidi" w:hAnsiTheme="majorBidi" w:cstheme="majorBidi" w:hint="cs"/>
                <w:sz w:val="24"/>
                <w:szCs w:val="24"/>
                <w:rtl/>
              </w:rPr>
              <w:t>הגיסה אסורה על בעלה,</w:t>
            </w:r>
            <w:r w:rsidR="0099718D">
              <w:rPr>
                <w:rFonts w:asciiTheme="majorBidi" w:hAnsiTheme="majorBidi" w:cstheme="majorBidi" w:hint="cs"/>
                <w:sz w:val="24"/>
                <w:szCs w:val="24"/>
                <w:rtl/>
              </w:rPr>
              <w:t xml:space="preserve"> כקנס.</w:t>
            </w:r>
            <w:r>
              <w:rPr>
                <w:rFonts w:asciiTheme="majorBidi" w:hAnsiTheme="majorBidi" w:cstheme="majorBidi" w:hint="cs"/>
                <w:sz w:val="24"/>
                <w:szCs w:val="24"/>
                <w:rtl/>
              </w:rPr>
              <w:t xml:space="preserve"> </w:t>
            </w:r>
          </w:p>
          <w:p w14:paraId="3C391BF4" w14:textId="427C5235" w:rsidR="00F1476B" w:rsidRDefault="00F1476B" w:rsidP="00003D2E">
            <w:pPr>
              <w:rPr>
                <w:rFonts w:asciiTheme="majorBidi" w:hAnsiTheme="majorBidi" w:cstheme="majorBidi"/>
                <w:sz w:val="24"/>
                <w:szCs w:val="24"/>
                <w:rtl/>
              </w:rPr>
            </w:pPr>
            <w:r>
              <w:rPr>
                <w:rFonts w:asciiTheme="majorBidi" w:hAnsiTheme="majorBidi" w:cstheme="majorBidi" w:hint="cs"/>
                <w:sz w:val="24"/>
                <w:szCs w:val="24"/>
                <w:rtl/>
              </w:rPr>
              <w:t>ראובן מותר באשתו.</w:t>
            </w:r>
          </w:p>
        </w:tc>
      </w:tr>
      <w:tr w:rsidR="00F1476B" w14:paraId="2C91B911" w14:textId="77777777" w:rsidTr="00F1476B">
        <w:tc>
          <w:tcPr>
            <w:tcW w:w="1382" w:type="dxa"/>
          </w:tcPr>
          <w:p w14:paraId="67212609" w14:textId="5F539333" w:rsidR="00F1476B" w:rsidRDefault="00F1476B" w:rsidP="00764689">
            <w:pPr>
              <w:rPr>
                <w:rFonts w:asciiTheme="majorBidi" w:hAnsiTheme="majorBidi" w:cstheme="majorBidi"/>
                <w:sz w:val="24"/>
                <w:szCs w:val="24"/>
                <w:rtl/>
              </w:rPr>
            </w:pPr>
            <w:r>
              <w:rPr>
                <w:rFonts w:asciiTheme="majorBidi" w:hAnsiTheme="majorBidi" w:cstheme="majorBidi" w:hint="cs"/>
                <w:sz w:val="24"/>
                <w:szCs w:val="24"/>
                <w:rtl/>
              </w:rPr>
              <w:t>רבי יוסי</w:t>
            </w:r>
          </w:p>
        </w:tc>
        <w:tc>
          <w:tcPr>
            <w:tcW w:w="1382" w:type="dxa"/>
          </w:tcPr>
          <w:p w14:paraId="7DBD21A0" w14:textId="67C38440" w:rsidR="00F1476B" w:rsidRDefault="00F1476B" w:rsidP="00764689">
            <w:pPr>
              <w:rPr>
                <w:rFonts w:asciiTheme="majorBidi" w:hAnsiTheme="majorBidi" w:cstheme="majorBidi"/>
                <w:sz w:val="24"/>
                <w:szCs w:val="24"/>
                <w:rtl/>
              </w:rPr>
            </w:pPr>
            <w:r>
              <w:rPr>
                <w:rFonts w:asciiTheme="majorBidi" w:hAnsiTheme="majorBidi" w:cstheme="majorBidi" w:hint="cs"/>
                <w:sz w:val="24"/>
                <w:szCs w:val="24"/>
                <w:rtl/>
              </w:rPr>
              <w:t>כשם שאשתו מותרת לו, גיסתו מותרת לגיסו</w:t>
            </w:r>
            <w:r>
              <w:rPr>
                <w:rStyle w:val="a6"/>
                <w:rFonts w:asciiTheme="majorBidi" w:hAnsiTheme="majorBidi" w:cstheme="majorBidi"/>
                <w:sz w:val="24"/>
                <w:szCs w:val="24"/>
                <w:rtl/>
              </w:rPr>
              <w:footnoteReference w:id="2"/>
            </w:r>
          </w:p>
        </w:tc>
        <w:tc>
          <w:tcPr>
            <w:tcW w:w="1383" w:type="dxa"/>
          </w:tcPr>
          <w:p w14:paraId="5BBFE8B7" w14:textId="7E74603A" w:rsidR="00F1476B" w:rsidRDefault="00F1476B" w:rsidP="00764689">
            <w:pPr>
              <w:rPr>
                <w:rFonts w:asciiTheme="majorBidi" w:hAnsiTheme="majorBidi" w:cstheme="majorBidi"/>
                <w:sz w:val="24"/>
                <w:szCs w:val="24"/>
                <w:rtl/>
              </w:rPr>
            </w:pPr>
            <w:r>
              <w:rPr>
                <w:rFonts w:asciiTheme="majorBidi" w:hAnsiTheme="majorBidi" w:cstheme="majorBidi" w:hint="cs"/>
                <w:sz w:val="24"/>
                <w:szCs w:val="24"/>
                <w:rtl/>
              </w:rPr>
              <w:t>כשם שאסר ראובן את גיסתו על גיסו</w:t>
            </w:r>
            <w:r w:rsidR="00CB137B">
              <w:rPr>
                <w:rStyle w:val="a6"/>
                <w:rFonts w:asciiTheme="majorBidi" w:hAnsiTheme="majorBidi" w:cstheme="majorBidi"/>
                <w:sz w:val="24"/>
                <w:szCs w:val="24"/>
                <w:rtl/>
              </w:rPr>
              <w:footnoteReference w:id="3"/>
            </w:r>
            <w:r>
              <w:rPr>
                <w:rFonts w:asciiTheme="majorBidi" w:hAnsiTheme="majorBidi" w:cstheme="majorBidi" w:hint="cs"/>
                <w:sz w:val="24"/>
                <w:szCs w:val="24"/>
                <w:rtl/>
              </w:rPr>
              <w:t>, נאסרה עליו אשתו.</w:t>
            </w:r>
          </w:p>
        </w:tc>
        <w:tc>
          <w:tcPr>
            <w:tcW w:w="2026" w:type="dxa"/>
          </w:tcPr>
          <w:p w14:paraId="6C4F9C67" w14:textId="00FA398D" w:rsidR="00F1476B" w:rsidRDefault="00F1476B" w:rsidP="00764689">
            <w:pPr>
              <w:rPr>
                <w:rFonts w:asciiTheme="majorBidi" w:hAnsiTheme="majorBidi" w:cstheme="majorBidi"/>
                <w:sz w:val="24"/>
                <w:szCs w:val="24"/>
                <w:rtl/>
              </w:rPr>
            </w:pPr>
            <w:r>
              <w:rPr>
                <w:rFonts w:asciiTheme="majorBidi" w:hAnsiTheme="majorBidi" w:cstheme="majorBidi" w:hint="cs"/>
                <w:sz w:val="24"/>
                <w:szCs w:val="24"/>
                <w:rtl/>
              </w:rPr>
              <w:t xml:space="preserve">נשאה על פי עד אחד- </w:t>
            </w:r>
            <w:r w:rsidRPr="003D7C67">
              <w:rPr>
                <w:rFonts w:asciiTheme="majorBidi" w:hAnsiTheme="majorBidi" w:cstheme="majorBidi" w:hint="cs"/>
                <w:b/>
                <w:bCs/>
                <w:sz w:val="24"/>
                <w:szCs w:val="24"/>
                <w:rtl/>
              </w:rPr>
              <w:t>שתיהן</w:t>
            </w:r>
            <w:r>
              <w:rPr>
                <w:rFonts w:asciiTheme="majorBidi" w:hAnsiTheme="majorBidi" w:cstheme="majorBidi" w:hint="cs"/>
                <w:sz w:val="24"/>
                <w:szCs w:val="24"/>
                <w:rtl/>
              </w:rPr>
              <w:t xml:space="preserve"> אסורות לחזור לבעליהן</w:t>
            </w:r>
          </w:p>
        </w:tc>
        <w:tc>
          <w:tcPr>
            <w:tcW w:w="2123" w:type="dxa"/>
          </w:tcPr>
          <w:p w14:paraId="640CFFEE" w14:textId="77777777" w:rsidR="00F1476B" w:rsidRDefault="00F1476B" w:rsidP="00764689">
            <w:pPr>
              <w:rPr>
                <w:rFonts w:asciiTheme="majorBidi" w:hAnsiTheme="majorBidi" w:cstheme="majorBidi"/>
                <w:sz w:val="24"/>
                <w:szCs w:val="24"/>
                <w:rtl/>
              </w:rPr>
            </w:pPr>
            <w:r>
              <w:rPr>
                <w:rFonts w:asciiTheme="majorBidi" w:hAnsiTheme="majorBidi" w:cstheme="majorBidi" w:hint="cs"/>
                <w:sz w:val="24"/>
                <w:szCs w:val="24"/>
                <w:rtl/>
              </w:rPr>
              <w:t>הלכה אשתו- שני הזוגות מותרים.</w:t>
            </w:r>
          </w:p>
          <w:p w14:paraId="614198D9" w14:textId="2E214F66" w:rsidR="00F1476B" w:rsidRDefault="00F1476B" w:rsidP="00764689">
            <w:pPr>
              <w:rPr>
                <w:rFonts w:asciiTheme="majorBidi" w:hAnsiTheme="majorBidi" w:cstheme="majorBidi"/>
                <w:sz w:val="24"/>
                <w:szCs w:val="24"/>
                <w:rtl/>
              </w:rPr>
            </w:pPr>
            <w:r>
              <w:rPr>
                <w:rFonts w:asciiTheme="majorBidi" w:hAnsiTheme="majorBidi" w:cstheme="majorBidi" w:hint="cs"/>
                <w:sz w:val="24"/>
                <w:szCs w:val="24"/>
                <w:rtl/>
              </w:rPr>
              <w:t xml:space="preserve"> הלכה </w:t>
            </w:r>
            <w:r w:rsidRPr="00F1476B">
              <w:rPr>
                <w:rFonts w:asciiTheme="majorBidi" w:hAnsiTheme="majorBidi" w:cstheme="majorBidi" w:hint="cs"/>
                <w:b/>
                <w:bCs/>
                <w:sz w:val="24"/>
                <w:szCs w:val="24"/>
                <w:rtl/>
              </w:rPr>
              <w:t xml:space="preserve">ארוסתו </w:t>
            </w:r>
            <w:r>
              <w:rPr>
                <w:rFonts w:asciiTheme="majorBidi" w:hAnsiTheme="majorBidi" w:cstheme="majorBidi" w:hint="cs"/>
                <w:sz w:val="24"/>
                <w:szCs w:val="24"/>
                <w:rtl/>
              </w:rPr>
              <w:t>שניהם אסורים</w:t>
            </w:r>
            <w:r w:rsidR="00CB137B">
              <w:rPr>
                <w:rStyle w:val="a6"/>
                <w:rFonts w:asciiTheme="majorBidi" w:hAnsiTheme="majorBidi" w:cstheme="majorBidi"/>
                <w:sz w:val="24"/>
                <w:szCs w:val="24"/>
                <w:rtl/>
              </w:rPr>
              <w:footnoteReference w:id="4"/>
            </w:r>
            <w:r>
              <w:rPr>
                <w:rFonts w:asciiTheme="majorBidi" w:hAnsiTheme="majorBidi" w:cstheme="majorBidi" w:hint="cs"/>
                <w:sz w:val="24"/>
                <w:szCs w:val="24"/>
                <w:rtl/>
              </w:rPr>
              <w:t>. חשש שיאמרו גירש זה ונשא זה.</w:t>
            </w:r>
          </w:p>
        </w:tc>
      </w:tr>
    </w:tbl>
    <w:p w14:paraId="344748EE" w14:textId="77777777" w:rsidR="004F033D" w:rsidRPr="004F033D" w:rsidRDefault="004F033D" w:rsidP="004F033D">
      <w:pPr>
        <w:spacing w:after="0" w:line="360" w:lineRule="auto"/>
        <w:rPr>
          <w:rFonts w:asciiTheme="majorBidi" w:hAnsiTheme="majorBidi" w:cstheme="majorBidi"/>
          <w:sz w:val="24"/>
          <w:szCs w:val="24"/>
          <w:rtl/>
        </w:rPr>
      </w:pPr>
    </w:p>
    <w:p w14:paraId="4CFF2628" w14:textId="42A6D704" w:rsidR="0099718D" w:rsidRDefault="003E67B0" w:rsidP="00757C2D">
      <w:pPr>
        <w:spacing w:after="0" w:line="360" w:lineRule="auto"/>
        <w:rPr>
          <w:rFonts w:ascii="David" w:hAnsi="David" w:cs="David"/>
          <w:sz w:val="24"/>
          <w:szCs w:val="24"/>
          <w:rtl/>
        </w:rPr>
      </w:pPr>
      <w:r w:rsidRPr="003E67B0">
        <w:rPr>
          <w:rFonts w:asciiTheme="majorBidi" w:hAnsiTheme="majorBidi" w:cstheme="majorBidi"/>
          <w:sz w:val="24"/>
          <w:szCs w:val="24"/>
          <w:rtl/>
        </w:rPr>
        <w:t>כתב הרי"ף</w:t>
      </w:r>
      <w:r>
        <w:rPr>
          <w:rStyle w:val="a6"/>
          <w:rFonts w:asciiTheme="majorBidi" w:hAnsiTheme="majorBidi" w:cstheme="majorBidi"/>
          <w:sz w:val="24"/>
          <w:szCs w:val="24"/>
          <w:rtl/>
        </w:rPr>
        <w:footnoteReference w:id="5"/>
      </w:r>
      <w:r w:rsidRPr="003E67B0">
        <w:rPr>
          <w:rFonts w:asciiTheme="majorBidi" w:hAnsiTheme="majorBidi" w:cstheme="majorBidi"/>
          <w:sz w:val="24"/>
          <w:szCs w:val="24"/>
          <w:rtl/>
        </w:rPr>
        <w:t xml:space="preserve"> שמאחר שיש ספק בין הצעות רב אמי ורבי יצחק נפחא,</w:t>
      </w:r>
      <w:r>
        <w:rPr>
          <w:rFonts w:ascii="David" w:hAnsi="David" w:cs="David" w:hint="cs"/>
          <w:sz w:val="24"/>
          <w:szCs w:val="24"/>
          <w:rtl/>
        </w:rPr>
        <w:t xml:space="preserve"> "לא שרינן אשת גיסו לגיסו מספקא".</w:t>
      </w:r>
    </w:p>
    <w:p w14:paraId="03B700CE" w14:textId="4E37A523" w:rsidR="0099718D" w:rsidRPr="003F7D00" w:rsidRDefault="0099718D" w:rsidP="003F7D00">
      <w:pPr>
        <w:pStyle w:val="a7"/>
        <w:numPr>
          <w:ilvl w:val="0"/>
          <w:numId w:val="2"/>
        </w:numPr>
        <w:spacing w:after="0" w:line="360" w:lineRule="auto"/>
        <w:rPr>
          <w:rFonts w:asciiTheme="majorBidi" w:hAnsiTheme="majorBidi" w:cstheme="majorBidi"/>
          <w:b/>
          <w:bCs/>
          <w:sz w:val="24"/>
          <w:szCs w:val="24"/>
          <w:rtl/>
        </w:rPr>
      </w:pPr>
      <w:r w:rsidRPr="003F7D00">
        <w:rPr>
          <w:rFonts w:asciiTheme="majorBidi" w:hAnsiTheme="majorBidi" w:cstheme="majorBidi" w:hint="cs"/>
          <w:b/>
          <w:bCs/>
          <w:sz w:val="24"/>
          <w:szCs w:val="24"/>
          <w:rtl/>
        </w:rPr>
        <w:t>יבמה</w:t>
      </w:r>
    </w:p>
    <w:p w14:paraId="20972452" w14:textId="1D5E08EB" w:rsidR="0099718D" w:rsidRDefault="0099718D" w:rsidP="00757C2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לפי ההגיון של רבי יוסי כפי שביארו רבי נפחא, יש לדון מה יהיה כשיבם </w:t>
      </w:r>
      <w:r w:rsidR="00D36273">
        <w:rPr>
          <w:rFonts w:asciiTheme="majorBidi" w:hAnsiTheme="majorBidi" w:cstheme="majorBidi" w:hint="cs"/>
          <w:sz w:val="24"/>
          <w:szCs w:val="24"/>
          <w:rtl/>
        </w:rPr>
        <w:t xml:space="preserve">ראובן </w:t>
      </w:r>
      <w:r>
        <w:rPr>
          <w:rFonts w:asciiTheme="majorBidi" w:hAnsiTheme="majorBidi" w:cstheme="majorBidi" w:hint="cs"/>
          <w:sz w:val="24"/>
          <w:szCs w:val="24"/>
          <w:rtl/>
        </w:rPr>
        <w:t xml:space="preserve">אשת אחיו </w:t>
      </w:r>
      <w:r w:rsidR="00D36273">
        <w:rPr>
          <w:rFonts w:asciiTheme="majorBidi" w:hAnsiTheme="majorBidi" w:cstheme="majorBidi" w:hint="cs"/>
          <w:sz w:val="24"/>
          <w:szCs w:val="24"/>
          <w:rtl/>
        </w:rPr>
        <w:t xml:space="preserve">שמעון </w:t>
      </w:r>
      <w:r>
        <w:rPr>
          <w:rFonts w:asciiTheme="majorBidi" w:hAnsiTheme="majorBidi" w:cstheme="majorBidi" w:hint="cs"/>
          <w:sz w:val="24"/>
          <w:szCs w:val="24"/>
          <w:rtl/>
        </w:rPr>
        <w:t xml:space="preserve">בטעות וחזר </w:t>
      </w:r>
      <w:r w:rsidR="00D36273">
        <w:rPr>
          <w:rFonts w:asciiTheme="majorBidi" w:hAnsiTheme="majorBidi" w:cstheme="majorBidi" w:hint="cs"/>
          <w:sz w:val="24"/>
          <w:szCs w:val="24"/>
          <w:rtl/>
        </w:rPr>
        <w:t>שמעון</w:t>
      </w:r>
      <w:r>
        <w:rPr>
          <w:rFonts w:asciiTheme="majorBidi" w:hAnsiTheme="majorBidi" w:cstheme="majorBidi" w:hint="cs"/>
          <w:sz w:val="24"/>
          <w:szCs w:val="24"/>
          <w:rtl/>
        </w:rPr>
        <w:t xml:space="preserve">. בפשטות אם איסור </w:t>
      </w:r>
      <w:r w:rsidR="00D36273">
        <w:rPr>
          <w:rFonts w:asciiTheme="majorBidi" w:hAnsiTheme="majorBidi" w:cstheme="majorBidi" w:hint="cs"/>
          <w:sz w:val="24"/>
          <w:szCs w:val="24"/>
          <w:rtl/>
        </w:rPr>
        <w:t xml:space="preserve">אשת איש הנשאת </w:t>
      </w:r>
      <w:r>
        <w:rPr>
          <w:rFonts w:asciiTheme="majorBidi" w:hAnsiTheme="majorBidi" w:cstheme="majorBidi" w:hint="cs"/>
          <w:sz w:val="24"/>
          <w:szCs w:val="24"/>
          <w:rtl/>
        </w:rPr>
        <w:t>הוא מחשש שמא יאמרו</w:t>
      </w:r>
      <w:r w:rsidR="00D36273">
        <w:rPr>
          <w:rFonts w:asciiTheme="majorBidi" w:hAnsiTheme="majorBidi" w:cstheme="majorBidi" w:hint="cs"/>
          <w:sz w:val="24"/>
          <w:szCs w:val="24"/>
          <w:rtl/>
        </w:rPr>
        <w:t xml:space="preserve"> גירש ראשון, נשא שני וכעת מחזיר גרושתו </w:t>
      </w:r>
      <w:r w:rsidR="00D36273">
        <w:rPr>
          <w:rFonts w:asciiTheme="majorBidi" w:hAnsiTheme="majorBidi" w:cstheme="majorBidi"/>
          <w:sz w:val="24"/>
          <w:szCs w:val="24"/>
          <w:rtl/>
        </w:rPr>
        <w:t>–</w:t>
      </w:r>
      <w:r w:rsidR="00D36273">
        <w:rPr>
          <w:rFonts w:asciiTheme="majorBidi" w:hAnsiTheme="majorBidi" w:cstheme="majorBidi" w:hint="cs"/>
          <w:sz w:val="24"/>
          <w:szCs w:val="24"/>
          <w:rtl/>
        </w:rPr>
        <w:t xml:space="preserve"> כאן אין לחשוש. שהכול יודעים שראובן לא יכל לשאת גרושת אחיו שמעון. </w:t>
      </w:r>
    </w:p>
    <w:p w14:paraId="3B88D8B1" w14:textId="40C8F916" w:rsidR="00D36273" w:rsidRDefault="00D36273" w:rsidP="00757C2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אולם אם שמעון רק קידש אישה, וייבמה ראובן בטעות </w:t>
      </w:r>
      <w:r>
        <w:rPr>
          <w:rFonts w:asciiTheme="majorBidi" w:hAnsiTheme="majorBidi" w:cstheme="majorBidi"/>
          <w:sz w:val="24"/>
          <w:szCs w:val="24"/>
          <w:rtl/>
        </w:rPr>
        <w:t>–</w:t>
      </w:r>
      <w:r>
        <w:rPr>
          <w:rFonts w:asciiTheme="majorBidi" w:hAnsiTheme="majorBidi" w:cstheme="majorBidi" w:hint="cs"/>
          <w:sz w:val="24"/>
          <w:szCs w:val="24"/>
          <w:rtl/>
        </w:rPr>
        <w:t xml:space="preserve"> יש לחשוש שיסברו הבריות שהיה לשמעון תנאי בקידושין, שנישואי ראובן תקפים, ואין להתיר לאישה לשוב לשמעון, שייראה נושא גרושת אחיו.</w:t>
      </w:r>
    </w:p>
    <w:p w14:paraId="41BE08E4" w14:textId="7C0DE07D" w:rsidR="00D36273" w:rsidRDefault="00D36273" w:rsidP="00757C2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הגמרא מביאה פסק של שמואל שהלכה כרבי יוסי. על כך מקשה רב יוסף: </w:t>
      </w:r>
      <w:r w:rsidR="00BF34A5">
        <w:rPr>
          <w:rFonts w:asciiTheme="majorBidi" w:hAnsiTheme="majorBidi" w:cstheme="majorBidi" w:hint="cs"/>
          <w:sz w:val="24"/>
          <w:szCs w:val="24"/>
          <w:rtl/>
        </w:rPr>
        <w:t>לפי רב הונא, שמואל עצמו פוסק שכשקידש אשתו והתייבמה בטעות, מותר שמעון להחזירה. על כך מתרצת הגמרא כמה תירוצים:</w:t>
      </w:r>
    </w:p>
    <w:p w14:paraId="3B6A1EAF" w14:textId="1B47ECD4" w:rsidR="00BF34A5" w:rsidRPr="00BF34A5" w:rsidRDefault="00BF34A5" w:rsidP="00BF34A5">
      <w:pPr>
        <w:pStyle w:val="a7"/>
        <w:numPr>
          <w:ilvl w:val="0"/>
          <w:numId w:val="1"/>
        </w:numPr>
        <w:spacing w:after="0" w:line="360" w:lineRule="auto"/>
        <w:rPr>
          <w:rFonts w:asciiTheme="majorBidi" w:hAnsiTheme="majorBidi" w:cstheme="majorBidi"/>
          <w:sz w:val="24"/>
          <w:szCs w:val="24"/>
          <w:rtl/>
        </w:rPr>
      </w:pPr>
      <w:r>
        <w:rPr>
          <w:rFonts w:asciiTheme="majorBidi" w:hAnsiTheme="majorBidi" w:cstheme="majorBidi" w:hint="cs"/>
          <w:sz w:val="24"/>
          <w:szCs w:val="24"/>
          <w:rtl/>
        </w:rPr>
        <w:t>שמואל שנה את מחלוקת התנאים כפי שהבינה רבי אמי. שרבי יוסי אוסר  את אשת ראובן בכל מקרה. אמנם רבי יוסי חשש ל</w:t>
      </w:r>
      <w:r w:rsidR="00815681">
        <w:rPr>
          <w:rFonts w:asciiTheme="majorBidi" w:hAnsiTheme="majorBidi" w:cstheme="majorBidi" w:hint="cs"/>
          <w:sz w:val="24"/>
          <w:szCs w:val="24"/>
          <w:rtl/>
        </w:rPr>
        <w:t xml:space="preserve">הבנת הרואים שהיה </w:t>
      </w:r>
      <w:r>
        <w:rPr>
          <w:rFonts w:asciiTheme="majorBidi" w:hAnsiTheme="majorBidi" w:cstheme="majorBidi" w:hint="cs"/>
          <w:sz w:val="24"/>
          <w:szCs w:val="24"/>
          <w:rtl/>
        </w:rPr>
        <w:t>תנאי</w:t>
      </w:r>
      <w:r w:rsidR="00815681">
        <w:rPr>
          <w:rFonts w:asciiTheme="majorBidi" w:hAnsiTheme="majorBidi" w:cstheme="majorBidi" w:hint="cs"/>
          <w:sz w:val="24"/>
          <w:szCs w:val="24"/>
          <w:rtl/>
        </w:rPr>
        <w:t xml:space="preserve"> בקדושין,</w:t>
      </w:r>
      <w:r>
        <w:rPr>
          <w:rFonts w:asciiTheme="majorBidi" w:hAnsiTheme="majorBidi" w:cstheme="majorBidi" w:hint="cs"/>
          <w:sz w:val="24"/>
          <w:szCs w:val="24"/>
          <w:rtl/>
        </w:rPr>
        <w:t xml:space="preserve"> ושמואל לא, אך זה בגלל השוני בין המקרים: </w:t>
      </w:r>
    </w:p>
    <w:p w14:paraId="26F119AA" w14:textId="42AB84F8" w:rsidR="00BF34A5" w:rsidRDefault="000803FE" w:rsidP="000803FE">
      <w:pPr>
        <w:spacing w:after="0" w:line="360" w:lineRule="auto"/>
        <w:rPr>
          <w:rFonts w:ascii="David" w:hAnsi="David" w:cs="David"/>
          <w:sz w:val="24"/>
          <w:szCs w:val="24"/>
          <w:rtl/>
        </w:rPr>
      </w:pPr>
      <w:r w:rsidRPr="00C55CD2">
        <w:rPr>
          <w:rFonts w:ascii="David" w:hAnsi="David" w:cs="David"/>
          <w:sz w:val="24"/>
          <w:szCs w:val="24"/>
          <w:rtl/>
        </w:rPr>
        <w:t>"דלא דמי אחות אשה ואשת אח</w:t>
      </w:r>
      <w:r w:rsidR="00940DBF">
        <w:rPr>
          <w:rFonts w:ascii="David" w:hAnsi="David" w:cs="David" w:hint="cs"/>
          <w:sz w:val="24"/>
          <w:szCs w:val="24"/>
          <w:rtl/>
        </w:rPr>
        <w:t>.</w:t>
      </w:r>
      <w:r w:rsidRPr="00C55CD2">
        <w:rPr>
          <w:rFonts w:ascii="David" w:hAnsi="David" w:cs="David"/>
          <w:sz w:val="24"/>
          <w:szCs w:val="24"/>
          <w:rtl/>
        </w:rPr>
        <w:t xml:space="preserve"> דאחות אשה</w:t>
      </w:r>
      <w:r w:rsidR="00940DBF">
        <w:rPr>
          <w:rFonts w:ascii="David" w:hAnsi="David" w:cs="David" w:hint="cs"/>
          <w:sz w:val="24"/>
          <w:szCs w:val="24"/>
          <w:rtl/>
        </w:rPr>
        <w:t>,</w:t>
      </w:r>
      <w:r w:rsidRPr="00C55CD2">
        <w:rPr>
          <w:rFonts w:ascii="David" w:hAnsi="David" w:cs="David"/>
          <w:sz w:val="24"/>
          <w:szCs w:val="24"/>
          <w:rtl/>
        </w:rPr>
        <w:t xml:space="preserve"> אי קדים ואתא גיסו מקמי אשתו</w:t>
      </w:r>
      <w:r w:rsidR="00815681">
        <w:rPr>
          <w:rFonts w:ascii="David" w:hAnsi="David" w:cs="David" w:hint="cs"/>
          <w:sz w:val="24"/>
          <w:szCs w:val="24"/>
          <w:rtl/>
        </w:rPr>
        <w:t>-</w:t>
      </w:r>
      <w:r w:rsidRPr="00C55CD2">
        <w:rPr>
          <w:rFonts w:ascii="David" w:hAnsi="David" w:cs="David"/>
          <w:sz w:val="24"/>
          <w:szCs w:val="24"/>
          <w:rtl/>
        </w:rPr>
        <w:t xml:space="preserve"> הא מיתסרא אשת גיסו מיד אגיסו</w:t>
      </w:r>
      <w:r w:rsidR="00815681">
        <w:rPr>
          <w:rFonts w:ascii="David" w:hAnsi="David" w:cs="David" w:hint="cs"/>
          <w:sz w:val="24"/>
          <w:szCs w:val="24"/>
          <w:rtl/>
        </w:rPr>
        <w:t xml:space="preserve">, </w:t>
      </w:r>
      <w:r w:rsidRPr="00C55CD2">
        <w:rPr>
          <w:rFonts w:ascii="David" w:hAnsi="David" w:cs="David"/>
          <w:sz w:val="24"/>
          <w:szCs w:val="24"/>
          <w:rtl/>
        </w:rPr>
        <w:t>ובעיא גט משני</w:t>
      </w:r>
      <w:r w:rsidR="00815681">
        <w:rPr>
          <w:rFonts w:ascii="David" w:hAnsi="David" w:cs="David" w:hint="cs"/>
          <w:sz w:val="24"/>
          <w:szCs w:val="24"/>
          <w:rtl/>
        </w:rPr>
        <w:t>,</w:t>
      </w:r>
      <w:r w:rsidRPr="00C55CD2">
        <w:rPr>
          <w:rFonts w:ascii="David" w:hAnsi="David" w:cs="David"/>
          <w:sz w:val="24"/>
          <w:szCs w:val="24"/>
          <w:rtl/>
        </w:rPr>
        <w:t xml:space="preserve"> משום שמא יאמרו גירש זה ונשא זה</w:t>
      </w:r>
      <w:r w:rsidR="00940DBF">
        <w:rPr>
          <w:rFonts w:ascii="David" w:hAnsi="David" w:cs="David" w:hint="cs"/>
          <w:sz w:val="24"/>
          <w:szCs w:val="24"/>
          <w:rtl/>
        </w:rPr>
        <w:t>.</w:t>
      </w:r>
      <w:r w:rsidRPr="00C55CD2">
        <w:rPr>
          <w:rFonts w:ascii="David" w:hAnsi="David" w:cs="David"/>
          <w:sz w:val="24"/>
          <w:szCs w:val="24"/>
          <w:rtl/>
        </w:rPr>
        <w:t xml:space="preserve"> ואי אמרת משום אחות אשה</w:t>
      </w:r>
      <w:r w:rsidR="00940DBF">
        <w:rPr>
          <w:rFonts w:ascii="David" w:hAnsi="David" w:cs="David" w:hint="cs"/>
          <w:sz w:val="24"/>
          <w:szCs w:val="24"/>
          <w:rtl/>
        </w:rPr>
        <w:t>-</w:t>
      </w:r>
      <w:r w:rsidRPr="00C55CD2">
        <w:rPr>
          <w:rFonts w:ascii="David" w:hAnsi="David" w:cs="David"/>
          <w:sz w:val="24"/>
          <w:szCs w:val="24"/>
          <w:rtl/>
        </w:rPr>
        <w:t xml:space="preserve"> אמרי מתה אשתו</w:t>
      </w:r>
      <w:r w:rsidR="00940DBF">
        <w:rPr>
          <w:rFonts w:ascii="David" w:hAnsi="David" w:cs="David" w:hint="cs"/>
          <w:sz w:val="24"/>
          <w:szCs w:val="24"/>
          <w:rtl/>
        </w:rPr>
        <w:t>.</w:t>
      </w:r>
      <w:r w:rsidRPr="00C55CD2">
        <w:rPr>
          <w:rFonts w:ascii="David" w:hAnsi="David" w:cs="David"/>
          <w:sz w:val="24"/>
          <w:szCs w:val="24"/>
          <w:rtl/>
        </w:rPr>
        <w:t xml:space="preserve"> אבל באשת אחיו</w:t>
      </w:r>
      <w:r w:rsidR="00940DBF">
        <w:rPr>
          <w:rFonts w:ascii="David" w:hAnsi="David" w:cs="David" w:hint="cs"/>
          <w:sz w:val="24"/>
          <w:szCs w:val="24"/>
          <w:rtl/>
        </w:rPr>
        <w:t xml:space="preserve">, </w:t>
      </w:r>
      <w:r w:rsidRPr="00C55CD2">
        <w:rPr>
          <w:rFonts w:ascii="David" w:hAnsi="David" w:cs="David"/>
          <w:sz w:val="24"/>
          <w:szCs w:val="24"/>
          <w:rtl/>
        </w:rPr>
        <w:t xml:space="preserve"> מכי חזו דאתא אחיו</w:t>
      </w:r>
      <w:r w:rsidR="00815681">
        <w:rPr>
          <w:rFonts w:ascii="David" w:hAnsi="David" w:cs="David" w:hint="cs"/>
          <w:sz w:val="24"/>
          <w:szCs w:val="24"/>
          <w:rtl/>
        </w:rPr>
        <w:t>,</w:t>
      </w:r>
      <w:r w:rsidRPr="00C55CD2">
        <w:rPr>
          <w:rFonts w:ascii="David" w:hAnsi="David" w:cs="David"/>
          <w:sz w:val="24"/>
          <w:szCs w:val="24"/>
          <w:rtl/>
        </w:rPr>
        <w:t xml:space="preserve"> תו לא אמרי גירש זה ונשא זה דהא גרושת אחיו היא לו</w:t>
      </w:r>
      <w:r w:rsidRPr="00C55CD2">
        <w:rPr>
          <w:rStyle w:val="a6"/>
          <w:rFonts w:ascii="David" w:hAnsi="David" w:cs="David"/>
          <w:sz w:val="24"/>
          <w:szCs w:val="24"/>
          <w:rtl/>
        </w:rPr>
        <w:footnoteReference w:id="6"/>
      </w:r>
      <w:r w:rsidRPr="00C55CD2">
        <w:rPr>
          <w:rFonts w:ascii="David" w:hAnsi="David" w:cs="David"/>
          <w:sz w:val="24"/>
          <w:szCs w:val="24"/>
          <w:rtl/>
        </w:rPr>
        <w:t>".</w:t>
      </w:r>
    </w:p>
    <w:p w14:paraId="0D134CE6" w14:textId="4FE245DB" w:rsidR="00C55CD2" w:rsidRDefault="00C55CD2" w:rsidP="00C55CD2">
      <w:pPr>
        <w:pStyle w:val="a7"/>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שמואל פסק כרבי יוסי רק במקרה, שהלכה אשתו וגיסו. שתנא קמא קונס את הגיסה ורבי יוסי לא. מה שהחמיר רבי יוסי </w:t>
      </w:r>
      <w:r w:rsidR="001E73B5">
        <w:rPr>
          <w:rFonts w:asciiTheme="majorBidi" w:hAnsiTheme="majorBidi" w:cstheme="majorBidi" w:hint="cs"/>
          <w:sz w:val="24"/>
          <w:szCs w:val="24"/>
          <w:rtl/>
        </w:rPr>
        <w:t xml:space="preserve">במקרה שהלכה ארוסתו </w:t>
      </w:r>
      <w:r w:rsidR="001E73B5">
        <w:rPr>
          <w:rFonts w:asciiTheme="majorBidi" w:hAnsiTheme="majorBidi" w:cstheme="majorBidi"/>
          <w:sz w:val="24"/>
          <w:szCs w:val="24"/>
          <w:rtl/>
        </w:rPr>
        <w:t>–</w:t>
      </w:r>
      <w:r w:rsidR="001E73B5">
        <w:rPr>
          <w:rFonts w:asciiTheme="majorBidi" w:hAnsiTheme="majorBidi" w:cstheme="majorBidi" w:hint="cs"/>
          <w:sz w:val="24"/>
          <w:szCs w:val="24"/>
          <w:rtl/>
        </w:rPr>
        <w:t xml:space="preserve"> בזה אין שמואל פוסק כמותו, שאינו חושש שיאמרו 'תנאי היה' אף בקידושין.</w:t>
      </w:r>
    </w:p>
    <w:p w14:paraId="360A5CE5" w14:textId="2B1B5CAF" w:rsidR="001E73B5" w:rsidRDefault="001E73B5" w:rsidP="00C55CD2">
      <w:pPr>
        <w:pStyle w:val="a7"/>
        <w:numPr>
          <w:ilvl w:val="0"/>
          <w:numId w:val="1"/>
        </w:numPr>
        <w:spacing w:after="0" w:line="360" w:lineRule="auto"/>
        <w:rPr>
          <w:rFonts w:asciiTheme="majorBidi" w:hAnsiTheme="majorBidi" w:cstheme="majorBidi"/>
          <w:sz w:val="24"/>
          <w:szCs w:val="24"/>
        </w:rPr>
      </w:pPr>
      <w:r>
        <w:rPr>
          <w:rFonts w:asciiTheme="majorBidi" w:hAnsiTheme="majorBidi" w:cstheme="majorBidi" w:hint="cs"/>
          <w:sz w:val="24"/>
          <w:szCs w:val="24"/>
          <w:rtl/>
        </w:rPr>
        <w:t>ההסבר של רב הונא אינו מתאר נכון את מחלוקת רב ושמואל. ללא קשר למשנתנו, הם נחלקו בנכונות אמרתו של רב המנונא, שיבמה שזינתה אסורה ליבם.</w:t>
      </w:r>
    </w:p>
    <w:p w14:paraId="53BF72AD" w14:textId="51EDBF46" w:rsidR="001E73B5" w:rsidRPr="00C55CD2" w:rsidRDefault="001E73B5" w:rsidP="00C55CD2">
      <w:pPr>
        <w:pStyle w:val="a7"/>
        <w:numPr>
          <w:ilvl w:val="0"/>
          <w:numId w:val="1"/>
        </w:num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או </w:t>
      </w:r>
      <w:r w:rsidR="00940DBF">
        <w:rPr>
          <w:rFonts w:asciiTheme="majorBidi" w:hAnsiTheme="majorBidi" w:cstheme="majorBidi" w:hint="cs"/>
          <w:sz w:val="24"/>
          <w:szCs w:val="24"/>
          <w:rtl/>
        </w:rPr>
        <w:t xml:space="preserve">שנחלקו </w:t>
      </w:r>
      <w:r>
        <w:rPr>
          <w:rFonts w:asciiTheme="majorBidi" w:hAnsiTheme="majorBidi" w:cstheme="majorBidi" w:hint="cs"/>
          <w:sz w:val="24"/>
          <w:szCs w:val="24"/>
          <w:rtl/>
        </w:rPr>
        <w:t>בשאלה האם קדושין תופשים ביבמה</w:t>
      </w:r>
      <w:r w:rsidR="00E02EB4">
        <w:rPr>
          <w:rStyle w:val="a6"/>
          <w:rFonts w:asciiTheme="majorBidi" w:hAnsiTheme="majorBidi" w:cstheme="majorBidi"/>
          <w:sz w:val="24"/>
          <w:szCs w:val="24"/>
          <w:rtl/>
        </w:rPr>
        <w:footnoteReference w:id="7"/>
      </w:r>
      <w:r>
        <w:rPr>
          <w:rFonts w:asciiTheme="majorBidi" w:hAnsiTheme="majorBidi" w:cstheme="majorBidi" w:hint="cs"/>
          <w:sz w:val="24"/>
          <w:szCs w:val="24"/>
          <w:rtl/>
        </w:rPr>
        <w:t>.</w:t>
      </w:r>
    </w:p>
    <w:p w14:paraId="0B5FDFD3" w14:textId="7D2149D5" w:rsidR="00411E0F" w:rsidRPr="0071706D" w:rsidRDefault="0071706D" w:rsidP="00757C2D">
      <w:pPr>
        <w:spacing w:after="0" w:line="360" w:lineRule="auto"/>
        <w:rPr>
          <w:rFonts w:asciiTheme="majorBidi" w:hAnsiTheme="majorBidi" w:cstheme="majorBidi"/>
          <w:sz w:val="24"/>
          <w:szCs w:val="24"/>
          <w:rtl/>
        </w:rPr>
      </w:pPr>
      <w:r w:rsidRPr="0071706D">
        <w:rPr>
          <w:rFonts w:asciiTheme="majorBidi" w:hAnsiTheme="majorBidi" w:cstheme="majorBidi"/>
          <w:sz w:val="24"/>
          <w:szCs w:val="24"/>
          <w:rtl/>
        </w:rPr>
        <w:t>בעלי ה</w:t>
      </w:r>
      <w:r w:rsidR="00411E0F" w:rsidRPr="0071706D">
        <w:rPr>
          <w:rFonts w:asciiTheme="majorBidi" w:hAnsiTheme="majorBidi" w:cstheme="majorBidi"/>
          <w:sz w:val="24"/>
          <w:szCs w:val="24"/>
          <w:rtl/>
        </w:rPr>
        <w:t>תוספות</w:t>
      </w:r>
      <w:r>
        <w:rPr>
          <w:rStyle w:val="a6"/>
          <w:rFonts w:asciiTheme="majorBidi" w:hAnsiTheme="majorBidi" w:cstheme="majorBidi"/>
          <w:sz w:val="24"/>
          <w:szCs w:val="24"/>
          <w:rtl/>
        </w:rPr>
        <w:footnoteReference w:id="8"/>
      </w:r>
      <w:r w:rsidR="00411E0F" w:rsidRPr="0071706D">
        <w:rPr>
          <w:rFonts w:asciiTheme="majorBidi" w:hAnsiTheme="majorBidi" w:cstheme="majorBidi"/>
          <w:sz w:val="24"/>
          <w:szCs w:val="24"/>
          <w:rtl/>
        </w:rPr>
        <w:t xml:space="preserve"> </w:t>
      </w:r>
      <w:r w:rsidRPr="0071706D">
        <w:rPr>
          <w:rFonts w:asciiTheme="majorBidi" w:hAnsiTheme="majorBidi" w:cstheme="majorBidi"/>
          <w:sz w:val="24"/>
          <w:szCs w:val="24"/>
          <w:rtl/>
        </w:rPr>
        <w:t xml:space="preserve">מבארים שההצעה השניה שללה את העוקבות לה: </w:t>
      </w:r>
    </w:p>
    <w:p w14:paraId="0043EDFF" w14:textId="31554D12" w:rsidR="003F7D00" w:rsidRDefault="0071706D" w:rsidP="003F7D00">
      <w:pPr>
        <w:spacing w:after="0" w:line="360" w:lineRule="auto"/>
        <w:rPr>
          <w:rFonts w:asciiTheme="majorBidi" w:hAnsiTheme="majorBidi" w:cstheme="majorBidi"/>
          <w:sz w:val="24"/>
          <w:szCs w:val="24"/>
          <w:rtl/>
        </w:rPr>
      </w:pPr>
      <w:r>
        <w:rPr>
          <w:rFonts w:ascii="David" w:hAnsi="David" w:cs="David" w:hint="cs"/>
          <w:sz w:val="24"/>
          <w:szCs w:val="24"/>
          <w:rtl/>
        </w:rPr>
        <w:t xml:space="preserve"> "</w:t>
      </w:r>
      <w:r w:rsidR="00411E0F" w:rsidRPr="00757C2D">
        <w:rPr>
          <w:rFonts w:ascii="David" w:hAnsi="David" w:cs="David"/>
          <w:sz w:val="24"/>
          <w:szCs w:val="24"/>
          <w:rtl/>
        </w:rPr>
        <w:t>דלא מסתבר ליה למימר דפליגי בדרב המנונא משום דאמר בסוטה</w:t>
      </w:r>
      <w:r>
        <w:rPr>
          <w:rFonts w:ascii="David" w:hAnsi="David" w:cs="David" w:hint="cs"/>
          <w:sz w:val="24"/>
          <w:szCs w:val="24"/>
          <w:rtl/>
        </w:rPr>
        <w:t>..</w:t>
      </w:r>
      <w:r w:rsidR="00411E0F" w:rsidRPr="00757C2D">
        <w:rPr>
          <w:rFonts w:ascii="David" w:hAnsi="David" w:cs="David"/>
          <w:sz w:val="24"/>
          <w:szCs w:val="24"/>
          <w:rtl/>
        </w:rPr>
        <w:t xml:space="preserve"> </w:t>
      </w:r>
      <w:r w:rsidR="00411E0F" w:rsidRPr="0071706D">
        <w:rPr>
          <w:rFonts w:ascii="David" w:hAnsi="David" w:cs="David"/>
          <w:sz w:val="18"/>
          <w:szCs w:val="18"/>
          <w:rtl/>
        </w:rPr>
        <w:t xml:space="preserve">(דף יח: ושם) </w:t>
      </w:r>
      <w:r w:rsidR="00411E0F" w:rsidRPr="00757C2D">
        <w:rPr>
          <w:rFonts w:ascii="David" w:hAnsi="David" w:cs="David"/>
          <w:sz w:val="24"/>
          <w:szCs w:val="24"/>
          <w:rtl/>
        </w:rPr>
        <w:t>דלית הלכה כוותיה ולא ניחא ליה נמי לומר דפליגי באין קידושין תופסין ביבמה משום דאיפליגו בה חדא זימנא</w:t>
      </w:r>
      <w:r>
        <w:rPr>
          <w:rFonts w:ascii="David" w:hAnsi="David" w:cs="David" w:hint="cs"/>
          <w:sz w:val="24"/>
          <w:szCs w:val="24"/>
          <w:rtl/>
        </w:rPr>
        <w:t>"</w:t>
      </w:r>
      <w:r w:rsidR="00411E0F" w:rsidRPr="00757C2D">
        <w:rPr>
          <w:rFonts w:ascii="David" w:hAnsi="David" w:cs="David"/>
          <w:sz w:val="24"/>
          <w:szCs w:val="24"/>
          <w:rtl/>
        </w:rPr>
        <w:t>.</w:t>
      </w:r>
      <w:r w:rsidR="003F7D00">
        <w:rPr>
          <w:rFonts w:ascii="David" w:hAnsi="David" w:cs="David" w:hint="cs"/>
          <w:sz w:val="24"/>
          <w:szCs w:val="24"/>
          <w:rtl/>
        </w:rPr>
        <w:t xml:space="preserve"> </w:t>
      </w:r>
      <w:r w:rsidR="003F7D00">
        <w:rPr>
          <w:rFonts w:asciiTheme="majorBidi" w:hAnsiTheme="majorBidi" w:cstheme="majorBidi" w:hint="cs"/>
          <w:sz w:val="24"/>
          <w:szCs w:val="24"/>
          <w:rtl/>
        </w:rPr>
        <w:t xml:space="preserve">כתב הרא"ש:  </w:t>
      </w:r>
      <w:r w:rsidR="003F7D00" w:rsidRPr="00940DBF">
        <w:rPr>
          <w:rFonts w:ascii="David" w:hAnsi="David" w:cs="David"/>
          <w:sz w:val="24"/>
          <w:szCs w:val="24"/>
          <w:rtl/>
        </w:rPr>
        <w:t>"</w:t>
      </w:r>
      <w:r w:rsidR="003F7D00" w:rsidRPr="003F7D00">
        <w:rPr>
          <w:rFonts w:ascii="David" w:hAnsi="David" w:cs="David"/>
          <w:b/>
          <w:bCs/>
          <w:sz w:val="24"/>
          <w:szCs w:val="24"/>
          <w:rtl/>
        </w:rPr>
        <w:t>האי אוקימתא דרב הונא היא עיקר</w:t>
      </w:r>
      <w:r w:rsidR="003F7D00">
        <w:rPr>
          <w:rFonts w:ascii="David" w:hAnsi="David" w:cs="David" w:hint="cs"/>
          <w:sz w:val="24"/>
          <w:szCs w:val="24"/>
          <w:rtl/>
        </w:rPr>
        <w:t>,</w:t>
      </w:r>
      <w:r w:rsidR="003F7D00" w:rsidRPr="00940DBF">
        <w:rPr>
          <w:rFonts w:ascii="David" w:hAnsi="David" w:cs="David"/>
          <w:sz w:val="24"/>
          <w:szCs w:val="24"/>
          <w:rtl/>
        </w:rPr>
        <w:t xml:space="preserve"> אף על פי דפריך הש"ס דלמא ליתא לדרב הונא ובדרב המנונא קא מיפלגי</w:t>
      </w:r>
      <w:r w:rsidR="00815681">
        <w:rPr>
          <w:rFonts w:ascii="David" w:hAnsi="David" w:cs="David" w:hint="cs"/>
          <w:sz w:val="24"/>
          <w:szCs w:val="24"/>
          <w:rtl/>
        </w:rPr>
        <w:t>,</w:t>
      </w:r>
      <w:r w:rsidR="003F7D00" w:rsidRPr="00940DBF">
        <w:rPr>
          <w:rFonts w:ascii="David" w:hAnsi="David" w:cs="David"/>
          <w:sz w:val="24"/>
          <w:szCs w:val="24"/>
          <w:rtl/>
        </w:rPr>
        <w:t xml:space="preserve"> לא מסתבר דפליגי בדרב המנונא דהא.. ליתא לדרב המנונא </w:t>
      </w:r>
      <w:r w:rsidR="003F7D00" w:rsidRPr="00940DBF">
        <w:rPr>
          <w:rFonts w:ascii="David" w:hAnsi="David" w:cs="David"/>
          <w:sz w:val="24"/>
          <w:szCs w:val="24"/>
          <w:rtl/>
        </w:rPr>
        <w:lastRenderedPageBreak/>
        <w:t xml:space="preserve">וגם לא מסתבר דפליגי בקידושין תופסין ביבמה דהא איפליגו בה כבר חדא זימנא </w:t>
      </w:r>
      <w:r w:rsidR="003F7D00" w:rsidRPr="00940DBF">
        <w:rPr>
          <w:rFonts w:ascii="David" w:hAnsi="David" w:cs="David"/>
          <w:b/>
          <w:bCs/>
          <w:sz w:val="24"/>
          <w:szCs w:val="24"/>
          <w:rtl/>
        </w:rPr>
        <w:t>והלכתא כרב באיסורי.</w:t>
      </w:r>
      <w:r w:rsidR="003F7D00" w:rsidRPr="00940DBF">
        <w:rPr>
          <w:rFonts w:ascii="David" w:hAnsi="David" w:cs="David"/>
          <w:sz w:val="24"/>
          <w:szCs w:val="24"/>
          <w:rtl/>
        </w:rPr>
        <w:t xml:space="preserve"> אלמא חיישינן לתנאי קידושין </w:t>
      </w:r>
      <w:r w:rsidR="003F7D00" w:rsidRPr="00940DBF">
        <w:rPr>
          <w:rFonts w:ascii="David" w:hAnsi="David" w:cs="David"/>
          <w:b/>
          <w:bCs/>
          <w:sz w:val="24"/>
          <w:szCs w:val="24"/>
          <w:rtl/>
        </w:rPr>
        <w:t>כרבי עקיבא</w:t>
      </w:r>
      <w:r w:rsidR="003F7D00">
        <w:rPr>
          <w:rStyle w:val="a6"/>
          <w:rFonts w:ascii="David" w:hAnsi="David" w:cs="David"/>
          <w:sz w:val="24"/>
          <w:szCs w:val="24"/>
          <w:rtl/>
        </w:rPr>
        <w:footnoteReference w:id="9"/>
      </w:r>
      <w:r w:rsidR="003F7D00">
        <w:rPr>
          <w:rFonts w:ascii="David" w:hAnsi="David" w:cs="David" w:hint="cs"/>
          <w:sz w:val="24"/>
          <w:szCs w:val="24"/>
          <w:rtl/>
        </w:rPr>
        <w:t>"</w:t>
      </w:r>
      <w:r w:rsidR="003F7D00" w:rsidRPr="00940DBF">
        <w:rPr>
          <w:rFonts w:ascii="David" w:hAnsi="David" w:cs="David"/>
          <w:sz w:val="24"/>
          <w:szCs w:val="24"/>
          <w:rtl/>
        </w:rPr>
        <w:t>.</w:t>
      </w:r>
      <w:r w:rsidR="003F7D00">
        <w:rPr>
          <w:rFonts w:asciiTheme="majorBidi" w:hAnsiTheme="majorBidi" w:cstheme="majorBidi" w:hint="cs"/>
          <w:sz w:val="24"/>
          <w:szCs w:val="24"/>
          <w:rtl/>
        </w:rPr>
        <w:t xml:space="preserve"> </w:t>
      </w:r>
    </w:p>
    <w:p w14:paraId="21490E41" w14:textId="490E08A8" w:rsidR="00411E0F" w:rsidRDefault="00411E0F" w:rsidP="00757C2D">
      <w:pPr>
        <w:spacing w:after="0" w:line="360" w:lineRule="auto"/>
        <w:rPr>
          <w:rFonts w:ascii="David" w:hAnsi="David" w:cs="David"/>
          <w:sz w:val="24"/>
          <w:szCs w:val="24"/>
          <w:rtl/>
        </w:rPr>
      </w:pPr>
    </w:p>
    <w:p w14:paraId="1500B484" w14:textId="4A922FEA" w:rsidR="00D74A52" w:rsidRPr="003F7D00" w:rsidRDefault="00D74A52" w:rsidP="003F7D00">
      <w:pPr>
        <w:pStyle w:val="a7"/>
        <w:numPr>
          <w:ilvl w:val="0"/>
          <w:numId w:val="2"/>
        </w:numPr>
        <w:spacing w:after="0" w:line="360" w:lineRule="auto"/>
        <w:rPr>
          <w:rFonts w:asciiTheme="majorBidi" w:hAnsiTheme="majorBidi" w:cstheme="majorBidi"/>
          <w:b/>
          <w:bCs/>
          <w:sz w:val="24"/>
          <w:szCs w:val="24"/>
          <w:rtl/>
        </w:rPr>
      </w:pPr>
      <w:r w:rsidRPr="003F7D00">
        <w:rPr>
          <w:rFonts w:asciiTheme="majorBidi" w:hAnsiTheme="majorBidi" w:cstheme="majorBidi" w:hint="cs"/>
          <w:b/>
          <w:bCs/>
          <w:sz w:val="24"/>
          <w:szCs w:val="24"/>
          <w:rtl/>
        </w:rPr>
        <w:t>להלכה</w:t>
      </w:r>
    </w:p>
    <w:p w14:paraId="52E204F9" w14:textId="0A73CEF8" w:rsidR="00E02EB4" w:rsidRPr="00757C2D" w:rsidRDefault="0071706D" w:rsidP="00E02EB4">
      <w:pPr>
        <w:spacing w:after="0" w:line="360" w:lineRule="auto"/>
        <w:rPr>
          <w:rFonts w:ascii="David" w:hAnsi="David" w:cs="David"/>
          <w:sz w:val="24"/>
          <w:szCs w:val="24"/>
          <w:rtl/>
        </w:rPr>
      </w:pPr>
      <w:r>
        <w:rPr>
          <w:rFonts w:ascii="David" w:hAnsi="David" w:cs="David" w:hint="cs"/>
          <w:sz w:val="24"/>
          <w:szCs w:val="24"/>
          <w:rtl/>
        </w:rPr>
        <w:t>"</w:t>
      </w:r>
      <w:r w:rsidRPr="00757C2D">
        <w:rPr>
          <w:rFonts w:ascii="David" w:hAnsi="David" w:cs="David"/>
          <w:sz w:val="24"/>
          <w:szCs w:val="24"/>
          <w:rtl/>
        </w:rPr>
        <w:t>ולענין פסק כתב רב אלפס ז"ל דכיון דלא אתברר הא דשמואל אליבא דמאן פסק כר' יוסי, לא שריא אשת גיסו אגיסו מספיקא, וכן עיקר</w:t>
      </w:r>
      <w:r>
        <w:rPr>
          <w:rStyle w:val="a6"/>
          <w:rFonts w:ascii="David" w:hAnsi="David" w:cs="David"/>
          <w:sz w:val="24"/>
          <w:szCs w:val="24"/>
          <w:rtl/>
        </w:rPr>
        <w:footnoteReference w:id="10"/>
      </w:r>
      <w:r>
        <w:rPr>
          <w:rFonts w:ascii="David" w:hAnsi="David" w:cs="David" w:hint="cs"/>
          <w:sz w:val="24"/>
          <w:szCs w:val="24"/>
          <w:rtl/>
        </w:rPr>
        <w:t>".</w:t>
      </w:r>
      <w:r w:rsidR="00E02EB4">
        <w:rPr>
          <w:rFonts w:ascii="David" w:hAnsi="David" w:cs="David" w:hint="cs"/>
          <w:sz w:val="24"/>
          <w:szCs w:val="24"/>
          <w:rtl/>
        </w:rPr>
        <w:t xml:space="preserve"> </w:t>
      </w:r>
      <w:r w:rsidR="00E02EB4">
        <w:rPr>
          <w:rFonts w:asciiTheme="majorBidi" w:hAnsiTheme="majorBidi" w:cstheme="majorBidi" w:hint="cs"/>
          <w:sz w:val="24"/>
          <w:szCs w:val="24"/>
          <w:rtl/>
        </w:rPr>
        <w:t>רבי אברהם מן ההר חולק. ראשית הוא פוסק כרב לחשוש לתנאי, ומוסיף: "</w:t>
      </w:r>
      <w:r w:rsidR="00E02EB4" w:rsidRPr="00E02EB4">
        <w:rPr>
          <w:rFonts w:ascii="David" w:hAnsi="David" w:cs="David"/>
          <w:sz w:val="24"/>
          <w:szCs w:val="24"/>
          <w:rtl/>
        </w:rPr>
        <w:t xml:space="preserve"> </w:t>
      </w:r>
      <w:r w:rsidR="00E02EB4" w:rsidRPr="00757C2D">
        <w:rPr>
          <w:rFonts w:ascii="David" w:hAnsi="David" w:cs="David"/>
          <w:sz w:val="24"/>
          <w:szCs w:val="24"/>
          <w:rtl/>
        </w:rPr>
        <w:t>מיהו לגבי אשתו וגיסו מסתברא דהלכתא כר' יוסי דשרינן לתרוייהו. אשתו שריא ליה, דהא אפילו ת"ק שרי לה. ואשת גיסו שריא אגיסו כר' יוסי, דהא לכולהו דחייתא דגמרא מאינו פוסל פסק שמואל כותיה</w:t>
      </w:r>
      <w:r w:rsidR="00815681">
        <w:rPr>
          <w:rFonts w:ascii="David" w:hAnsi="David" w:cs="David" w:hint="cs"/>
          <w:sz w:val="24"/>
          <w:szCs w:val="24"/>
          <w:rtl/>
        </w:rPr>
        <w:t>,</w:t>
      </w:r>
      <w:r w:rsidR="00E02EB4" w:rsidRPr="00757C2D">
        <w:rPr>
          <w:rFonts w:ascii="David" w:hAnsi="David" w:cs="David"/>
          <w:sz w:val="24"/>
          <w:szCs w:val="24"/>
          <w:rtl/>
        </w:rPr>
        <w:t xml:space="preserve"> בר מההיא דחייתא דדחי דלמא אדר' אמי קאי, ולר' אמי תרוייהו סבירא להו דלאו כהלכתא כדפרישנא. ועוד דהא מילתא חששא דרבנן היא משום דמחלפה באשה שהלך בעלה, ובשל סופרים הלך אחר המיקל.</w:t>
      </w:r>
      <w:r w:rsidR="00E02EB4">
        <w:rPr>
          <w:rFonts w:ascii="David" w:hAnsi="David" w:cs="David" w:hint="cs"/>
          <w:sz w:val="24"/>
          <w:szCs w:val="24"/>
          <w:rtl/>
        </w:rPr>
        <w:t xml:space="preserve">.. </w:t>
      </w:r>
      <w:r w:rsidR="00E02EB4" w:rsidRPr="00757C2D">
        <w:rPr>
          <w:rFonts w:ascii="David" w:hAnsi="David" w:cs="David"/>
          <w:sz w:val="24"/>
          <w:szCs w:val="24"/>
          <w:rtl/>
        </w:rPr>
        <w:t>ודעת הר"ם נראה כמו שכתבנו, שלא הביא כלל דין היכא דאזלה אשתו וגיסו. אלא נשען במה שכתב הא דרב והא דר' עקיבא, דהיכא דאיכא למימר תנאה הוה ליה בקדושין תצא מזה ומזה</w:t>
      </w:r>
      <w:r w:rsidR="00815681">
        <w:rPr>
          <w:rFonts w:ascii="David" w:hAnsi="David" w:cs="David" w:hint="cs"/>
          <w:sz w:val="24"/>
          <w:szCs w:val="24"/>
          <w:rtl/>
        </w:rPr>
        <w:t>.</w:t>
      </w:r>
      <w:r w:rsidR="00E02EB4" w:rsidRPr="00757C2D">
        <w:rPr>
          <w:rFonts w:ascii="David" w:hAnsi="David" w:cs="David"/>
          <w:sz w:val="24"/>
          <w:szCs w:val="24"/>
          <w:rtl/>
        </w:rPr>
        <w:t xml:space="preserve"> היכא דאיכא איסורא, דאיכא למתלי לקולא, כגון אשת אחיו הנשואה ואחות אשתו הנשואה </w:t>
      </w:r>
      <w:r w:rsidR="00815681">
        <w:rPr>
          <w:rFonts w:ascii="David" w:hAnsi="David" w:cs="David" w:hint="cs"/>
          <w:sz w:val="24"/>
          <w:szCs w:val="24"/>
          <w:rtl/>
        </w:rPr>
        <w:t xml:space="preserve">- </w:t>
      </w:r>
      <w:r w:rsidR="00E02EB4" w:rsidRPr="00757C2D">
        <w:rPr>
          <w:rFonts w:ascii="David" w:hAnsi="David" w:cs="David"/>
          <w:sz w:val="24"/>
          <w:szCs w:val="24"/>
          <w:rtl/>
        </w:rPr>
        <w:t>כתב דאינה צריכה גט ומותרת לבעלה, שהכל יודעין שנשואי טעות הם, כמו שכתב בגירושין פרק י'. ולא שנא אשתו ולא שנא אשתו וגיסו</w:t>
      </w:r>
      <w:r w:rsidR="00940DBF">
        <w:rPr>
          <w:rFonts w:ascii="David" w:hAnsi="David" w:cs="David" w:hint="cs"/>
          <w:sz w:val="24"/>
          <w:szCs w:val="24"/>
          <w:rtl/>
        </w:rPr>
        <w:t>,</w:t>
      </w:r>
      <w:r w:rsidR="00E02EB4" w:rsidRPr="00757C2D">
        <w:rPr>
          <w:rFonts w:ascii="David" w:hAnsi="David" w:cs="David"/>
          <w:sz w:val="24"/>
          <w:szCs w:val="24"/>
          <w:rtl/>
        </w:rPr>
        <w:t xml:space="preserve"> כשאשתו מותרת</w:t>
      </w:r>
      <w:r w:rsidR="00940DBF">
        <w:rPr>
          <w:rFonts w:ascii="David" w:hAnsi="David" w:cs="David" w:hint="cs"/>
          <w:sz w:val="24"/>
          <w:szCs w:val="24"/>
          <w:rtl/>
        </w:rPr>
        <w:t>-</w:t>
      </w:r>
      <w:r w:rsidR="00E02EB4" w:rsidRPr="00757C2D">
        <w:rPr>
          <w:rFonts w:ascii="David" w:hAnsi="David" w:cs="David"/>
          <w:sz w:val="24"/>
          <w:szCs w:val="24"/>
          <w:rtl/>
        </w:rPr>
        <w:t xml:space="preserve"> אשת גיסו נמי מותרת כר' יוסי. ומפני זה לא הוצרך לכתוב דין אשתו וגיסו. וכן הוא הפסק הנכון</w:t>
      </w:r>
      <w:r w:rsidR="00E02EB4">
        <w:rPr>
          <w:rFonts w:ascii="David" w:hAnsi="David" w:cs="David" w:hint="cs"/>
          <w:sz w:val="24"/>
          <w:szCs w:val="24"/>
          <w:rtl/>
        </w:rPr>
        <w:t>"</w:t>
      </w:r>
      <w:r w:rsidR="00E02EB4" w:rsidRPr="00757C2D">
        <w:rPr>
          <w:rFonts w:ascii="David" w:hAnsi="David" w:cs="David"/>
          <w:sz w:val="24"/>
          <w:szCs w:val="24"/>
          <w:rtl/>
        </w:rPr>
        <w:t>.</w:t>
      </w:r>
    </w:p>
    <w:p w14:paraId="2A402AC0" w14:textId="63CA8FDF" w:rsidR="00411E0F" w:rsidRPr="00E02EB4" w:rsidRDefault="00402659" w:rsidP="00757C2D">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הרמב"ם התייחס לדבר בשני מקומות: </w:t>
      </w:r>
    </w:p>
    <w:p w14:paraId="736F58CE" w14:textId="41773F41" w:rsidR="00402659" w:rsidRPr="00402659" w:rsidRDefault="00091F77" w:rsidP="00402659">
      <w:pPr>
        <w:spacing w:after="0" w:line="360" w:lineRule="auto"/>
        <w:rPr>
          <w:rFonts w:ascii="David" w:hAnsi="David" w:cs="David"/>
          <w:sz w:val="24"/>
          <w:szCs w:val="24"/>
          <w:rtl/>
        </w:rPr>
      </w:pPr>
      <w:r>
        <w:rPr>
          <w:rFonts w:ascii="David" w:hAnsi="David" w:cs="David" w:hint="cs"/>
          <w:sz w:val="24"/>
          <w:szCs w:val="24"/>
          <w:rtl/>
        </w:rPr>
        <w:t>"</w:t>
      </w:r>
      <w:r w:rsidR="00402659" w:rsidRPr="00402659">
        <w:rPr>
          <w:rFonts w:ascii="David" w:hAnsi="David" w:cs="David"/>
          <w:sz w:val="24"/>
          <w:szCs w:val="24"/>
          <w:rtl/>
        </w:rPr>
        <w:t>אחיו ש</w:t>
      </w:r>
      <w:r w:rsidR="00402659" w:rsidRPr="00091F77">
        <w:rPr>
          <w:rFonts w:ascii="David" w:hAnsi="David" w:cs="David"/>
          <w:b/>
          <w:bCs/>
          <w:sz w:val="24"/>
          <w:szCs w:val="24"/>
          <w:rtl/>
        </w:rPr>
        <w:t xml:space="preserve">קדש </w:t>
      </w:r>
      <w:r w:rsidR="00402659" w:rsidRPr="00402659">
        <w:rPr>
          <w:rFonts w:ascii="David" w:hAnsi="David" w:cs="David"/>
          <w:sz w:val="24"/>
          <w:szCs w:val="24"/>
          <w:rtl/>
        </w:rPr>
        <w:t xml:space="preserve">אשה והלך ושמע בו שמת ויבם אשתו ואחר כך בא </w:t>
      </w:r>
      <w:r w:rsidR="00815681">
        <w:rPr>
          <w:rFonts w:ascii="David" w:hAnsi="David" w:cs="David" w:hint="cs"/>
          <w:sz w:val="24"/>
          <w:szCs w:val="24"/>
          <w:rtl/>
        </w:rPr>
        <w:t xml:space="preserve">- </w:t>
      </w:r>
      <w:r w:rsidR="00402659" w:rsidRPr="00402659">
        <w:rPr>
          <w:rFonts w:ascii="David" w:hAnsi="David" w:cs="David"/>
          <w:sz w:val="24"/>
          <w:szCs w:val="24"/>
          <w:rtl/>
        </w:rPr>
        <w:t>תצא מזה ומזה וצריכה גט מזה ומזה וכל הדרכים האלו בה</w:t>
      </w:r>
      <w:r w:rsidR="00485836">
        <w:rPr>
          <w:rFonts w:ascii="David" w:hAnsi="David" w:cs="David" w:hint="cs"/>
          <w:sz w:val="24"/>
          <w:szCs w:val="24"/>
          <w:rtl/>
        </w:rPr>
        <w:t xml:space="preserve">. </w:t>
      </w:r>
      <w:r w:rsidR="00402659" w:rsidRPr="00402659">
        <w:rPr>
          <w:rFonts w:ascii="David" w:hAnsi="David" w:cs="David"/>
          <w:sz w:val="24"/>
          <w:szCs w:val="24"/>
          <w:rtl/>
        </w:rPr>
        <w:t xml:space="preserve">וכן אם קדש אשה והלכה למדינה אחרת ושמע שמתה ונשא אחותה ואחר כך נודע שלא מתה </w:t>
      </w:r>
      <w:r w:rsidR="00485836">
        <w:rPr>
          <w:rFonts w:ascii="David" w:hAnsi="David" w:cs="David" w:hint="cs"/>
          <w:sz w:val="24"/>
          <w:szCs w:val="24"/>
          <w:rtl/>
        </w:rPr>
        <w:t xml:space="preserve">- </w:t>
      </w:r>
      <w:r w:rsidR="00402659" w:rsidRPr="00402659">
        <w:rPr>
          <w:rFonts w:ascii="David" w:hAnsi="David" w:cs="David"/>
          <w:sz w:val="24"/>
          <w:szCs w:val="24"/>
          <w:rtl/>
        </w:rPr>
        <w:t xml:space="preserve">צריכות שתיהן ממנו גט וכל הדרכים האלו בהן. </w:t>
      </w:r>
    </w:p>
    <w:p w14:paraId="786E8F8E" w14:textId="7D5E9DDF" w:rsidR="00402659" w:rsidRPr="00402659" w:rsidRDefault="00402659" w:rsidP="00402659">
      <w:pPr>
        <w:spacing w:after="0" w:line="360" w:lineRule="auto"/>
        <w:rPr>
          <w:rFonts w:ascii="David" w:hAnsi="David" w:cs="David"/>
          <w:sz w:val="24"/>
          <w:szCs w:val="24"/>
          <w:rtl/>
        </w:rPr>
      </w:pPr>
      <w:r w:rsidRPr="00402659">
        <w:rPr>
          <w:rFonts w:ascii="David" w:hAnsi="David" w:cs="David"/>
          <w:sz w:val="24"/>
          <w:szCs w:val="24"/>
          <w:rtl/>
        </w:rPr>
        <w:t xml:space="preserve">אבל אם הלכה אשתו </w:t>
      </w:r>
      <w:r w:rsidRPr="00091F77">
        <w:rPr>
          <w:rFonts w:ascii="David" w:hAnsi="David" w:cs="David"/>
          <w:b/>
          <w:bCs/>
          <w:sz w:val="24"/>
          <w:szCs w:val="24"/>
          <w:rtl/>
        </w:rPr>
        <w:t>הנשואה</w:t>
      </w:r>
      <w:r w:rsidRPr="00402659">
        <w:rPr>
          <w:rFonts w:ascii="David" w:hAnsi="David" w:cs="David"/>
          <w:sz w:val="24"/>
          <w:szCs w:val="24"/>
          <w:rtl/>
        </w:rPr>
        <w:t xml:space="preserve"> למדינה אחרת</w:t>
      </w:r>
      <w:r w:rsidR="00485836">
        <w:rPr>
          <w:rFonts w:ascii="David" w:hAnsi="David" w:cs="David" w:hint="cs"/>
          <w:sz w:val="24"/>
          <w:szCs w:val="24"/>
          <w:rtl/>
        </w:rPr>
        <w:t>,</w:t>
      </w:r>
      <w:r w:rsidRPr="00402659">
        <w:rPr>
          <w:rFonts w:ascii="David" w:hAnsi="David" w:cs="David"/>
          <w:sz w:val="24"/>
          <w:szCs w:val="24"/>
          <w:rtl/>
        </w:rPr>
        <w:t xml:space="preserve"> ושמע בה שמתה ונשא אחותה</w:t>
      </w:r>
      <w:r w:rsidR="00485836">
        <w:rPr>
          <w:rFonts w:ascii="David" w:hAnsi="David" w:cs="David" w:hint="cs"/>
          <w:sz w:val="24"/>
          <w:szCs w:val="24"/>
          <w:rtl/>
        </w:rPr>
        <w:t>,</w:t>
      </w:r>
      <w:r w:rsidRPr="00402659">
        <w:rPr>
          <w:rFonts w:ascii="David" w:hAnsi="David" w:cs="David"/>
          <w:sz w:val="24"/>
          <w:szCs w:val="24"/>
          <w:rtl/>
        </w:rPr>
        <w:t xml:space="preserve"> ונמצאת אשתו קיימת</w:t>
      </w:r>
      <w:r w:rsidR="00485836">
        <w:rPr>
          <w:rFonts w:ascii="David" w:hAnsi="David" w:cs="David" w:hint="cs"/>
          <w:sz w:val="24"/>
          <w:szCs w:val="24"/>
          <w:rtl/>
        </w:rPr>
        <w:t xml:space="preserve">- </w:t>
      </w:r>
      <w:r w:rsidRPr="00402659">
        <w:rPr>
          <w:rFonts w:ascii="David" w:hAnsi="David" w:cs="David"/>
          <w:sz w:val="24"/>
          <w:szCs w:val="24"/>
          <w:rtl/>
        </w:rPr>
        <w:t xml:space="preserve"> אין אחותה צריכה ממנו גט ואשתו מותרת, וכן שאר העריות שנשאן בחזקת התר ונמצאו ערוה אינן צריכות גט שאין קדושין תופסין בעריות. </w:t>
      </w:r>
    </w:p>
    <w:p w14:paraId="362FEF20" w14:textId="2B1FA0DD" w:rsidR="00B4463A" w:rsidRPr="003F7D00" w:rsidRDefault="00402659" w:rsidP="003F7D00">
      <w:pPr>
        <w:spacing w:after="0" w:line="360" w:lineRule="auto"/>
        <w:rPr>
          <w:rFonts w:ascii="David" w:hAnsi="David" w:cs="David"/>
          <w:sz w:val="24"/>
          <w:szCs w:val="24"/>
          <w:rtl/>
        </w:rPr>
      </w:pPr>
      <w:r w:rsidRPr="00402659">
        <w:rPr>
          <w:rFonts w:ascii="David" w:hAnsi="David" w:cs="David"/>
          <w:sz w:val="24"/>
          <w:szCs w:val="24"/>
          <w:rtl/>
        </w:rPr>
        <w:t>ומפני מה הצריכו אחות ארוסתו גט, שמא יאמרו תנאי היה באירוסין וכדת נשא אחותה והואיל ויצאה אחותה בגט אחותה שהיא ארוסתו הראשונה אסורה כדי שלא יאמרו נשא אחות גרושתו</w:t>
      </w:r>
      <w:r w:rsidR="00091F77">
        <w:rPr>
          <w:rStyle w:val="a6"/>
          <w:rFonts w:ascii="David" w:hAnsi="David" w:cs="David"/>
          <w:sz w:val="24"/>
          <w:szCs w:val="24"/>
          <w:rtl/>
        </w:rPr>
        <w:footnoteReference w:id="11"/>
      </w:r>
      <w:r w:rsidR="00091F77">
        <w:rPr>
          <w:rFonts w:ascii="David" w:hAnsi="David" w:cs="David" w:hint="cs"/>
          <w:sz w:val="24"/>
          <w:szCs w:val="24"/>
          <w:rtl/>
        </w:rPr>
        <w:t>"</w:t>
      </w:r>
      <w:r w:rsidRPr="00402659">
        <w:rPr>
          <w:rFonts w:ascii="David" w:hAnsi="David" w:cs="David"/>
          <w:sz w:val="24"/>
          <w:szCs w:val="24"/>
          <w:rtl/>
        </w:rPr>
        <w:t>.</w:t>
      </w:r>
      <w:r w:rsidR="003F7D00">
        <w:rPr>
          <w:rFonts w:ascii="David" w:hAnsi="David" w:cs="David" w:hint="cs"/>
          <w:sz w:val="24"/>
          <w:szCs w:val="24"/>
          <w:rtl/>
        </w:rPr>
        <w:t xml:space="preserve">   </w:t>
      </w:r>
      <w:r w:rsidR="00B4463A">
        <w:rPr>
          <w:rFonts w:asciiTheme="majorBidi" w:hAnsiTheme="majorBidi" w:cstheme="majorBidi" w:hint="cs"/>
          <w:sz w:val="24"/>
          <w:szCs w:val="24"/>
          <w:rtl/>
        </w:rPr>
        <w:t xml:space="preserve">הראב"ד טען שדבריו במקום אחר סותרים: </w:t>
      </w:r>
    </w:p>
    <w:p w14:paraId="7BF6628E" w14:textId="12E87BAD" w:rsidR="00B4463A" w:rsidRPr="00B4463A" w:rsidRDefault="00B4463A" w:rsidP="00B4463A">
      <w:pPr>
        <w:spacing w:after="0" w:line="360" w:lineRule="auto"/>
        <w:rPr>
          <w:rFonts w:asciiTheme="majorBidi" w:hAnsiTheme="majorBidi" w:cstheme="majorBidi"/>
          <w:sz w:val="24"/>
          <w:szCs w:val="24"/>
          <w:rtl/>
        </w:rPr>
      </w:pPr>
      <w:r w:rsidRPr="00091F77">
        <w:rPr>
          <w:rFonts w:ascii="David" w:hAnsi="David" w:cs="David"/>
          <w:sz w:val="24"/>
          <w:szCs w:val="24"/>
          <w:rtl/>
        </w:rPr>
        <w:t>"עבר ונאף עם אחת משבע נשים אלו בין בזדון בין בשגגה אף על פי שהוא והנואפת במיתת בית דין או בכרת</w:t>
      </w:r>
      <w:r w:rsidR="00485836">
        <w:rPr>
          <w:rFonts w:ascii="David" w:hAnsi="David" w:cs="David" w:hint="cs"/>
          <w:sz w:val="24"/>
          <w:szCs w:val="24"/>
          <w:rtl/>
        </w:rPr>
        <w:t>-</w:t>
      </w:r>
      <w:r w:rsidRPr="00091F77">
        <w:rPr>
          <w:rFonts w:ascii="David" w:hAnsi="David" w:cs="David"/>
          <w:sz w:val="24"/>
          <w:szCs w:val="24"/>
          <w:rtl/>
        </w:rPr>
        <w:t xml:space="preserve"> לא נאסרה אשתו עליו חוץ מאחות ארוסתו </w:t>
      </w:r>
      <w:r w:rsidRPr="00954250">
        <w:rPr>
          <w:rFonts w:ascii="David" w:hAnsi="David" w:cs="David"/>
          <w:b/>
          <w:bCs/>
          <w:sz w:val="24"/>
          <w:szCs w:val="24"/>
          <w:rtl/>
        </w:rPr>
        <w:t>שהיא אוסרת אשתו עליו</w:t>
      </w:r>
      <w:r w:rsidRPr="00091F77">
        <w:rPr>
          <w:rFonts w:ascii="David" w:hAnsi="David" w:cs="David"/>
          <w:sz w:val="24"/>
          <w:szCs w:val="24"/>
          <w:rtl/>
        </w:rPr>
        <w:t xml:space="preserve"> כמו שביארנו בהלכות גירושין</w:t>
      </w:r>
      <w:r w:rsidRPr="00091F77">
        <w:rPr>
          <w:rStyle w:val="a6"/>
          <w:rFonts w:ascii="David" w:hAnsi="David" w:cs="David"/>
          <w:sz w:val="24"/>
          <w:szCs w:val="24"/>
          <w:rtl/>
        </w:rPr>
        <w:footnoteReference w:id="12"/>
      </w:r>
      <w:r w:rsidRPr="00091F77">
        <w:rPr>
          <w:rFonts w:ascii="David" w:hAnsi="David" w:cs="David"/>
          <w:sz w:val="24"/>
          <w:szCs w:val="24"/>
          <w:rtl/>
        </w:rPr>
        <w:t>".</w:t>
      </w:r>
      <w:r>
        <w:rPr>
          <w:rFonts w:ascii="David" w:hAnsi="David" w:cs="David" w:hint="cs"/>
          <w:sz w:val="24"/>
          <w:szCs w:val="24"/>
          <w:rtl/>
        </w:rPr>
        <w:t xml:space="preserve"> </w:t>
      </w:r>
      <w:r w:rsidRPr="00091F77">
        <w:rPr>
          <w:rFonts w:asciiTheme="majorBidi" w:hAnsiTheme="majorBidi" w:cstheme="majorBidi"/>
          <w:sz w:val="24"/>
          <w:szCs w:val="24"/>
          <w:rtl/>
        </w:rPr>
        <w:t>תמה הראב"ד מה הטעם לאסור בזנות. יתכן שלשם כך התכוון הרמב"ם בהפניה להלכות גירושין</w:t>
      </w:r>
      <w:r w:rsidR="003F7D00">
        <w:rPr>
          <w:rFonts w:asciiTheme="majorBidi" w:hAnsiTheme="majorBidi" w:cstheme="majorBidi" w:hint="cs"/>
          <w:sz w:val="24"/>
          <w:szCs w:val="24"/>
          <w:rtl/>
        </w:rPr>
        <w:t>, לאסור באמת רק ב</w:t>
      </w:r>
      <w:r w:rsidR="00485836">
        <w:rPr>
          <w:rFonts w:asciiTheme="majorBidi" w:hAnsiTheme="majorBidi" w:cstheme="majorBidi" w:hint="cs"/>
          <w:sz w:val="24"/>
          <w:szCs w:val="24"/>
          <w:rtl/>
        </w:rPr>
        <w:t>אירוסי</w:t>
      </w:r>
      <w:r w:rsidR="003F7D00">
        <w:rPr>
          <w:rFonts w:asciiTheme="majorBidi" w:hAnsiTheme="majorBidi" w:cstheme="majorBidi" w:hint="cs"/>
          <w:sz w:val="24"/>
          <w:szCs w:val="24"/>
          <w:rtl/>
        </w:rPr>
        <w:t>ן,</w:t>
      </w:r>
      <w:r w:rsidRPr="00091F77">
        <w:rPr>
          <w:rFonts w:asciiTheme="majorBidi" w:hAnsiTheme="majorBidi" w:cstheme="majorBidi"/>
          <w:sz w:val="24"/>
          <w:szCs w:val="24"/>
          <w:rtl/>
        </w:rPr>
        <w:t xml:space="preserve"> ואין מחלוקת בדבר</w:t>
      </w:r>
      <w:r w:rsidRPr="00091F77">
        <w:rPr>
          <w:rStyle w:val="a6"/>
          <w:rFonts w:asciiTheme="majorBidi" w:hAnsiTheme="majorBidi" w:cstheme="majorBidi"/>
          <w:sz w:val="24"/>
          <w:szCs w:val="24"/>
          <w:rtl/>
        </w:rPr>
        <w:footnoteReference w:id="13"/>
      </w:r>
      <w:r w:rsidRPr="00091F77">
        <w:rPr>
          <w:rFonts w:asciiTheme="majorBidi" w:hAnsiTheme="majorBidi" w:cstheme="majorBidi"/>
          <w:sz w:val="24"/>
          <w:szCs w:val="24"/>
          <w:rtl/>
        </w:rPr>
        <w:t>.</w:t>
      </w:r>
    </w:p>
    <w:p w14:paraId="351E73CE" w14:textId="0954A46B" w:rsidR="00E43C3A" w:rsidRPr="00CE64B6" w:rsidRDefault="00E43C3A" w:rsidP="00E43C3A">
      <w:pPr>
        <w:spacing w:after="0" w:line="360" w:lineRule="auto"/>
        <w:rPr>
          <w:rFonts w:asciiTheme="majorBidi" w:hAnsiTheme="majorBidi" w:cstheme="majorBidi"/>
          <w:sz w:val="24"/>
          <w:szCs w:val="24"/>
          <w:rtl/>
        </w:rPr>
      </w:pPr>
      <w:r>
        <w:rPr>
          <w:rFonts w:asciiTheme="majorBidi" w:hAnsiTheme="majorBidi" w:cstheme="majorBidi" w:hint="cs"/>
          <w:sz w:val="24"/>
          <w:szCs w:val="24"/>
          <w:rtl/>
        </w:rPr>
        <w:lastRenderedPageBreak/>
        <w:t>גם ביב</w:t>
      </w:r>
      <w:r w:rsidR="00485836">
        <w:rPr>
          <w:rFonts w:asciiTheme="majorBidi" w:hAnsiTheme="majorBidi" w:cstheme="majorBidi" w:hint="cs"/>
          <w:sz w:val="24"/>
          <w:szCs w:val="24"/>
          <w:rtl/>
        </w:rPr>
        <w:t>ו</w:t>
      </w:r>
      <w:r>
        <w:rPr>
          <w:rFonts w:asciiTheme="majorBidi" w:hAnsiTheme="majorBidi" w:cstheme="majorBidi" w:hint="cs"/>
          <w:sz w:val="24"/>
          <w:szCs w:val="24"/>
          <w:rtl/>
        </w:rPr>
        <w:t xml:space="preserve">ם </w:t>
      </w:r>
      <w:r w:rsidR="00485836">
        <w:rPr>
          <w:rFonts w:asciiTheme="majorBidi" w:hAnsiTheme="majorBidi" w:cstheme="majorBidi" w:hint="cs"/>
          <w:sz w:val="24"/>
          <w:szCs w:val="24"/>
          <w:rtl/>
        </w:rPr>
        <w:t xml:space="preserve">בטעות </w:t>
      </w:r>
      <w:r>
        <w:rPr>
          <w:rFonts w:asciiTheme="majorBidi" w:hAnsiTheme="majorBidi" w:cstheme="majorBidi" w:hint="cs"/>
          <w:sz w:val="24"/>
          <w:szCs w:val="24"/>
          <w:rtl/>
        </w:rPr>
        <w:t>הרמב"ם מתיר לאשה נשואה לחזור לבעלה, ואסר אם היבמה הייתה מאורסת לאח הראשון</w:t>
      </w:r>
      <w:r>
        <w:rPr>
          <w:rStyle w:val="a6"/>
          <w:rFonts w:asciiTheme="majorBidi" w:hAnsiTheme="majorBidi" w:cstheme="majorBidi"/>
          <w:sz w:val="24"/>
          <w:szCs w:val="24"/>
          <w:rtl/>
        </w:rPr>
        <w:footnoteReference w:id="14"/>
      </w:r>
      <w:r>
        <w:rPr>
          <w:rFonts w:asciiTheme="majorBidi" w:hAnsiTheme="majorBidi" w:cstheme="majorBidi" w:hint="cs"/>
          <w:sz w:val="24"/>
          <w:szCs w:val="24"/>
          <w:rtl/>
        </w:rPr>
        <w:t>.</w:t>
      </w:r>
    </w:p>
    <w:p w14:paraId="318EE9A8" w14:textId="06368F05" w:rsidR="00E43C3A" w:rsidRDefault="00B4463A" w:rsidP="00E43C3A">
      <w:pPr>
        <w:spacing w:after="0" w:line="360" w:lineRule="auto"/>
        <w:rPr>
          <w:rFonts w:asciiTheme="majorBidi" w:hAnsiTheme="majorBidi" w:cstheme="majorBidi"/>
          <w:sz w:val="24"/>
          <w:szCs w:val="24"/>
          <w:rtl/>
        </w:rPr>
      </w:pPr>
      <w:r>
        <w:rPr>
          <w:rFonts w:asciiTheme="majorBidi" w:hAnsiTheme="majorBidi" w:cstheme="majorBidi" w:hint="cs"/>
          <w:sz w:val="24"/>
          <w:szCs w:val="24"/>
          <w:rtl/>
        </w:rPr>
        <w:t>הבית יוסף</w:t>
      </w:r>
      <w:r w:rsidR="00E43C3A">
        <w:rPr>
          <w:rStyle w:val="a6"/>
          <w:rFonts w:asciiTheme="majorBidi" w:hAnsiTheme="majorBidi" w:cstheme="majorBidi"/>
          <w:sz w:val="24"/>
          <w:szCs w:val="24"/>
          <w:rtl/>
        </w:rPr>
        <w:footnoteReference w:id="15"/>
      </w:r>
      <w:r>
        <w:rPr>
          <w:rFonts w:asciiTheme="majorBidi" w:hAnsiTheme="majorBidi" w:cstheme="majorBidi" w:hint="cs"/>
          <w:sz w:val="24"/>
          <w:szCs w:val="24"/>
          <w:rtl/>
        </w:rPr>
        <w:t xml:space="preserve"> רוצה להציע, שגם הרמב"ם רק פטר נשואה מגט, אך לא התיר לה לחזור לבעלה</w:t>
      </w:r>
      <w:r w:rsidR="00E43C3A">
        <w:rPr>
          <w:rFonts w:asciiTheme="majorBidi" w:hAnsiTheme="majorBidi" w:cstheme="majorBidi" w:hint="cs"/>
          <w:sz w:val="24"/>
          <w:szCs w:val="24"/>
          <w:rtl/>
        </w:rPr>
        <w:t>. והוא הדין באחות אשתו הנשואה, שאסורה לחזור אליו, כדעת הרי"ף</w:t>
      </w:r>
      <w:r w:rsidR="00E43C3A">
        <w:rPr>
          <w:rStyle w:val="a6"/>
          <w:rFonts w:asciiTheme="majorBidi" w:hAnsiTheme="majorBidi" w:cstheme="majorBidi"/>
          <w:sz w:val="24"/>
          <w:szCs w:val="24"/>
          <w:rtl/>
        </w:rPr>
        <w:footnoteReference w:id="16"/>
      </w:r>
      <w:r w:rsidR="00E43C3A">
        <w:rPr>
          <w:rFonts w:asciiTheme="majorBidi" w:hAnsiTheme="majorBidi" w:cstheme="majorBidi" w:hint="cs"/>
          <w:sz w:val="24"/>
          <w:szCs w:val="24"/>
          <w:rtl/>
        </w:rPr>
        <w:t>.</w:t>
      </w:r>
    </w:p>
    <w:p w14:paraId="4F3E493B" w14:textId="6590B96F" w:rsidR="00411E0F" w:rsidRDefault="00B4463A" w:rsidP="00E43C3A">
      <w:pPr>
        <w:spacing w:after="0" w:line="360" w:lineRule="auto"/>
        <w:rPr>
          <w:rFonts w:asciiTheme="majorBidi" w:hAnsiTheme="majorBidi" w:cstheme="majorBidi"/>
          <w:sz w:val="24"/>
          <w:szCs w:val="24"/>
          <w:rtl/>
        </w:rPr>
      </w:pPr>
      <w:r>
        <w:rPr>
          <w:rFonts w:asciiTheme="majorBidi" w:hAnsiTheme="majorBidi" w:cstheme="majorBidi" w:hint="cs"/>
          <w:sz w:val="24"/>
          <w:szCs w:val="24"/>
          <w:rtl/>
        </w:rPr>
        <w:t>אכן בשולחן ערוך הוא משמיט את היתר החזרה, והרמ"א מוסיף אותו</w:t>
      </w:r>
      <w:r w:rsidR="00BD345C">
        <w:rPr>
          <w:rFonts w:asciiTheme="majorBidi" w:hAnsiTheme="majorBidi" w:cstheme="majorBidi" w:hint="cs"/>
          <w:sz w:val="24"/>
          <w:szCs w:val="24"/>
          <w:rtl/>
        </w:rPr>
        <w:t>:</w:t>
      </w:r>
    </w:p>
    <w:p w14:paraId="7C26D50D" w14:textId="6969B16D" w:rsidR="00BD345C" w:rsidRDefault="00BD345C" w:rsidP="00BD345C">
      <w:pPr>
        <w:spacing w:after="0" w:line="360" w:lineRule="auto"/>
        <w:rPr>
          <w:rFonts w:asciiTheme="majorBidi" w:hAnsiTheme="majorBidi" w:cstheme="majorBidi"/>
          <w:sz w:val="24"/>
          <w:szCs w:val="24"/>
          <w:rtl/>
        </w:rPr>
      </w:pPr>
      <w:r w:rsidRPr="00BD345C">
        <w:rPr>
          <w:rFonts w:ascii="David" w:hAnsi="David" w:cs="David"/>
          <w:sz w:val="24"/>
          <w:szCs w:val="24"/>
          <w:rtl/>
        </w:rPr>
        <w:t>"נתיבמה בטעות, כגון ששמעה שמת בעלה, ואחר כך בא; אם היתה נשואתו, אינה צריכה גט מהיבם,</w:t>
      </w:r>
      <w:r w:rsidRPr="00BD345C">
        <w:rPr>
          <w:rFonts w:asciiTheme="majorBidi" w:hAnsiTheme="majorBidi" w:cs="Times New Roman"/>
          <w:sz w:val="24"/>
          <w:szCs w:val="24"/>
          <w:rtl/>
        </w:rPr>
        <w:t xml:space="preserve"> </w:t>
      </w:r>
      <w:r w:rsidRPr="00BD345C">
        <w:rPr>
          <w:rFonts w:asciiTheme="majorBidi" w:hAnsiTheme="majorBidi" w:cs="Guttman Yad-Brush" w:hint="cs"/>
          <w:sz w:val="18"/>
          <w:szCs w:val="18"/>
          <w:rtl/>
        </w:rPr>
        <w:t>(ו</w:t>
      </w:r>
      <w:r w:rsidRPr="00BD345C">
        <w:rPr>
          <w:rFonts w:asciiTheme="majorBidi" w:hAnsiTheme="majorBidi" w:cs="Guttman Yad-Brush"/>
          <w:sz w:val="18"/>
          <w:szCs w:val="18"/>
          <w:rtl/>
        </w:rPr>
        <w:t>מותרת לבעלה) (טור).</w:t>
      </w:r>
      <w:r w:rsidRPr="00BD345C">
        <w:rPr>
          <w:rFonts w:asciiTheme="majorBidi" w:hAnsiTheme="majorBidi" w:cs="Times New Roman"/>
          <w:sz w:val="24"/>
          <w:szCs w:val="24"/>
          <w:rtl/>
        </w:rPr>
        <w:t xml:space="preserve"> </w:t>
      </w:r>
      <w:r w:rsidRPr="00BD345C">
        <w:rPr>
          <w:rFonts w:ascii="David" w:hAnsi="David" w:cs="David"/>
          <w:sz w:val="24"/>
          <w:szCs w:val="24"/>
          <w:rtl/>
        </w:rPr>
        <w:t xml:space="preserve">ואם היתה ארוסתו, צריכה גט מהיבם </w:t>
      </w:r>
      <w:r w:rsidRPr="00BD345C">
        <w:rPr>
          <w:rFonts w:asciiTheme="majorBidi" w:hAnsiTheme="majorBidi" w:cs="Guttman Yad-Brush"/>
          <w:sz w:val="18"/>
          <w:szCs w:val="18"/>
          <w:rtl/>
        </w:rPr>
        <w:t>(ואסורה לבעלה)</w:t>
      </w:r>
      <w:r>
        <w:rPr>
          <w:rStyle w:val="a6"/>
          <w:rFonts w:asciiTheme="majorBidi" w:hAnsiTheme="majorBidi" w:cs="Guttman Yad-Brush"/>
          <w:sz w:val="18"/>
          <w:szCs w:val="18"/>
          <w:rtl/>
        </w:rPr>
        <w:footnoteReference w:id="17"/>
      </w:r>
      <w:r w:rsidRPr="00BD345C">
        <w:rPr>
          <w:rFonts w:asciiTheme="majorBidi" w:hAnsiTheme="majorBidi" w:cs="Guttman Yad-Brush"/>
          <w:sz w:val="18"/>
          <w:szCs w:val="18"/>
          <w:rtl/>
        </w:rPr>
        <w:t>.</w:t>
      </w:r>
    </w:p>
    <w:p w14:paraId="16C897CA" w14:textId="5213806E" w:rsidR="003F7D00" w:rsidRPr="003F7D00" w:rsidRDefault="003F7D00" w:rsidP="003F7D00">
      <w:pPr>
        <w:pStyle w:val="a7"/>
        <w:numPr>
          <w:ilvl w:val="0"/>
          <w:numId w:val="2"/>
        </w:numPr>
        <w:spacing w:after="0" w:line="360" w:lineRule="auto"/>
        <w:rPr>
          <w:rFonts w:asciiTheme="majorBidi" w:hAnsiTheme="majorBidi" w:cstheme="majorBidi"/>
          <w:b/>
          <w:bCs/>
          <w:sz w:val="24"/>
          <w:szCs w:val="24"/>
          <w:rtl/>
        </w:rPr>
      </w:pPr>
      <w:r w:rsidRPr="003F7D00">
        <w:rPr>
          <w:rFonts w:asciiTheme="majorBidi" w:hAnsiTheme="majorBidi" w:cstheme="majorBidi" w:hint="cs"/>
          <w:b/>
          <w:bCs/>
          <w:sz w:val="24"/>
          <w:szCs w:val="24"/>
          <w:rtl/>
        </w:rPr>
        <w:t>גדר יבמה לשוק</w:t>
      </w:r>
    </w:p>
    <w:p w14:paraId="4CDEA730" w14:textId="2B93DCC0" w:rsidR="00D53AEB" w:rsidRPr="001A391B" w:rsidRDefault="00E02EB4" w:rsidP="00D53AEB">
      <w:pPr>
        <w:spacing w:after="0" w:line="360" w:lineRule="auto"/>
        <w:rPr>
          <w:rFonts w:asciiTheme="majorBidi" w:hAnsiTheme="majorBidi" w:cstheme="majorBidi"/>
          <w:sz w:val="24"/>
          <w:szCs w:val="24"/>
          <w:rtl/>
        </w:rPr>
      </w:pPr>
      <w:r w:rsidRPr="001528D5">
        <w:rPr>
          <w:rFonts w:asciiTheme="majorBidi" w:hAnsiTheme="majorBidi" w:cstheme="majorBidi"/>
          <w:sz w:val="24"/>
          <w:szCs w:val="24"/>
          <w:rtl/>
        </w:rPr>
        <w:t xml:space="preserve"> </w:t>
      </w:r>
      <w:r w:rsidR="001528D5">
        <w:rPr>
          <w:rFonts w:asciiTheme="majorBidi" w:hAnsiTheme="majorBidi" w:cstheme="majorBidi" w:hint="cs"/>
          <w:sz w:val="24"/>
          <w:szCs w:val="24"/>
          <w:rtl/>
        </w:rPr>
        <w:t>חקר ר' יוסף ענגיל</w:t>
      </w:r>
      <w:r w:rsidR="001528D5">
        <w:rPr>
          <w:rStyle w:val="a6"/>
          <w:rFonts w:asciiTheme="majorBidi" w:hAnsiTheme="majorBidi" w:cstheme="majorBidi"/>
          <w:sz w:val="24"/>
          <w:szCs w:val="24"/>
          <w:rtl/>
        </w:rPr>
        <w:footnoteReference w:id="18"/>
      </w:r>
      <w:r w:rsidR="001528D5">
        <w:rPr>
          <w:rFonts w:asciiTheme="majorBidi" w:hAnsiTheme="majorBidi" w:cstheme="majorBidi" w:hint="cs"/>
          <w:sz w:val="24"/>
          <w:szCs w:val="24"/>
          <w:rtl/>
        </w:rPr>
        <w:t xml:space="preserve">: </w:t>
      </w:r>
      <w:r w:rsidR="00DA00E4">
        <w:rPr>
          <w:rFonts w:asciiTheme="majorBidi" w:hAnsiTheme="majorBidi" w:cstheme="majorBidi" w:hint="cs"/>
          <w:sz w:val="24"/>
          <w:szCs w:val="24"/>
          <w:rtl/>
        </w:rPr>
        <w:t>האם איסור יבמה "</w:t>
      </w:r>
      <w:r w:rsidR="001528D5" w:rsidRPr="001528D5">
        <w:rPr>
          <w:rFonts w:ascii="David" w:hAnsi="David" w:cs="David"/>
          <w:sz w:val="24"/>
          <w:szCs w:val="24"/>
          <w:rtl/>
        </w:rPr>
        <w:t>עניינו שאישות הבעל לא נסתלק לגמרי וניתק ממיתה ללאו</w:t>
      </w:r>
      <w:r w:rsidR="00DA00E4">
        <w:rPr>
          <w:rFonts w:ascii="David" w:hAnsi="David" w:cs="David" w:hint="cs"/>
          <w:sz w:val="24"/>
          <w:szCs w:val="24"/>
          <w:rtl/>
        </w:rPr>
        <w:t xml:space="preserve">", </w:t>
      </w:r>
      <w:r w:rsidR="00DA00E4" w:rsidRPr="00DA00E4">
        <w:rPr>
          <w:rFonts w:asciiTheme="majorBidi" w:hAnsiTheme="majorBidi" w:cstheme="majorBidi"/>
          <w:sz w:val="24"/>
          <w:szCs w:val="24"/>
          <w:rtl/>
        </w:rPr>
        <w:t>ובתוך אפשרות זו:</w:t>
      </w:r>
      <w:r w:rsidR="00DA00E4">
        <w:rPr>
          <w:rFonts w:ascii="David" w:hAnsi="David" w:cs="David" w:hint="cs"/>
          <w:sz w:val="24"/>
          <w:szCs w:val="24"/>
          <w:rtl/>
        </w:rPr>
        <w:t xml:space="preserve"> </w:t>
      </w:r>
      <w:r w:rsidR="001528D5" w:rsidRPr="001528D5">
        <w:rPr>
          <w:rFonts w:ascii="David" w:hAnsi="David" w:cs="David"/>
          <w:sz w:val="24"/>
          <w:szCs w:val="24"/>
          <w:rtl/>
        </w:rPr>
        <w:t xml:space="preserve"> </w:t>
      </w:r>
      <w:r w:rsidR="00DA00E4">
        <w:rPr>
          <w:rFonts w:ascii="David" w:hAnsi="David" w:cs="David" w:hint="cs"/>
          <w:sz w:val="24"/>
          <w:szCs w:val="24"/>
          <w:rtl/>
        </w:rPr>
        <w:t>"1.</w:t>
      </w:r>
      <w:r w:rsidR="00DA00E4" w:rsidRPr="001528D5">
        <w:rPr>
          <w:rFonts w:ascii="David" w:hAnsi="David" w:cs="David"/>
          <w:sz w:val="24"/>
          <w:szCs w:val="24"/>
          <w:rtl/>
        </w:rPr>
        <w:t xml:space="preserve">אם איסורה עדיין מכח הבעל או </w:t>
      </w:r>
      <w:r w:rsidR="00DA00E4">
        <w:rPr>
          <w:rFonts w:ascii="David" w:hAnsi="David" w:cs="David" w:hint="cs"/>
          <w:sz w:val="24"/>
          <w:szCs w:val="24"/>
          <w:rtl/>
        </w:rPr>
        <w:t xml:space="preserve">2. </w:t>
      </w:r>
      <w:r w:rsidR="00DA00E4" w:rsidRPr="001528D5">
        <w:rPr>
          <w:rFonts w:ascii="David" w:hAnsi="David" w:cs="David"/>
          <w:sz w:val="24"/>
          <w:szCs w:val="24"/>
          <w:rtl/>
        </w:rPr>
        <w:t>דילמא האישות הנשאר נתרוקן ליבם ואיסורה עתה מכח היבם</w:t>
      </w:r>
      <w:r w:rsidR="00DA00E4">
        <w:rPr>
          <w:rFonts w:ascii="David" w:hAnsi="David" w:cs="David" w:hint="cs"/>
          <w:sz w:val="24"/>
          <w:szCs w:val="24"/>
          <w:rtl/>
        </w:rPr>
        <w:t xml:space="preserve">. 3. </w:t>
      </w:r>
      <w:r w:rsidR="001528D5" w:rsidRPr="001528D5">
        <w:rPr>
          <w:rFonts w:ascii="David" w:hAnsi="David" w:cs="David"/>
          <w:sz w:val="24"/>
          <w:szCs w:val="24"/>
          <w:rtl/>
        </w:rPr>
        <w:t>או דילמא אישות הבעל נסתלק לגמרי ואיסורה לשוק איסור חדש הוא</w:t>
      </w:r>
      <w:r w:rsidR="00DA00E4">
        <w:rPr>
          <w:rFonts w:ascii="David" w:hAnsi="David" w:cs="David" w:hint="cs"/>
          <w:sz w:val="24"/>
          <w:szCs w:val="24"/>
          <w:rtl/>
        </w:rPr>
        <w:t xml:space="preserve">.. </w:t>
      </w:r>
      <w:r w:rsidR="001528D5" w:rsidRPr="001528D5">
        <w:rPr>
          <w:rFonts w:ascii="David" w:hAnsi="David" w:cs="David"/>
          <w:sz w:val="24"/>
          <w:szCs w:val="24"/>
          <w:rtl/>
        </w:rPr>
        <w:t>יש להסתפק אם איסורה איסור בעלמא</w:t>
      </w:r>
      <w:r w:rsidR="00DA00E4">
        <w:rPr>
          <w:rFonts w:ascii="David" w:hAnsi="David" w:cs="David" w:hint="cs"/>
          <w:sz w:val="24"/>
          <w:szCs w:val="24"/>
          <w:rtl/>
        </w:rPr>
        <w:t>,</w:t>
      </w:r>
      <w:r w:rsidR="001528D5" w:rsidRPr="001528D5">
        <w:rPr>
          <w:rFonts w:ascii="David" w:hAnsi="David" w:cs="David"/>
          <w:sz w:val="24"/>
          <w:szCs w:val="24"/>
          <w:rtl/>
        </w:rPr>
        <w:t xml:space="preserve"> לא איסור אישות </w:t>
      </w:r>
      <w:r w:rsidR="00DA00E4">
        <w:rPr>
          <w:rFonts w:ascii="David" w:hAnsi="David" w:cs="David" w:hint="cs"/>
          <w:sz w:val="24"/>
          <w:szCs w:val="24"/>
          <w:rtl/>
        </w:rPr>
        <w:t>4.</w:t>
      </w:r>
      <w:r w:rsidR="001528D5" w:rsidRPr="001528D5">
        <w:rPr>
          <w:rFonts w:ascii="David" w:hAnsi="David" w:cs="David"/>
          <w:sz w:val="24"/>
          <w:szCs w:val="24"/>
          <w:rtl/>
        </w:rPr>
        <w:t>או דילמא חידשה תורה אישות חדש בינה ליבם</w:t>
      </w:r>
      <w:r w:rsidR="00DA00E4">
        <w:rPr>
          <w:rFonts w:ascii="David" w:hAnsi="David" w:cs="David" w:hint="cs"/>
          <w:sz w:val="24"/>
          <w:szCs w:val="24"/>
          <w:rtl/>
        </w:rPr>
        <w:t xml:space="preserve"> </w:t>
      </w:r>
      <w:r w:rsidR="001528D5" w:rsidRPr="001528D5">
        <w:rPr>
          <w:rFonts w:ascii="David" w:hAnsi="David" w:cs="David"/>
          <w:sz w:val="24"/>
          <w:szCs w:val="24"/>
          <w:rtl/>
        </w:rPr>
        <w:t xml:space="preserve"> ואיסורה מכח אישות היבם אלא שהוא אישות קלוש וע"כ איסורה רק בלאו</w:t>
      </w:r>
      <w:r w:rsidR="00D53AEB">
        <w:rPr>
          <w:rFonts w:ascii="David" w:hAnsi="David" w:cs="David" w:hint="cs"/>
          <w:sz w:val="24"/>
          <w:szCs w:val="24"/>
          <w:rtl/>
        </w:rPr>
        <w:t xml:space="preserve">. </w:t>
      </w:r>
      <w:r w:rsidR="001A391B">
        <w:rPr>
          <w:rFonts w:asciiTheme="majorBidi" w:hAnsiTheme="majorBidi" w:cstheme="majorBidi" w:hint="cs"/>
          <w:sz w:val="24"/>
          <w:szCs w:val="24"/>
          <w:rtl/>
        </w:rPr>
        <w:t>נביא כאן חלק מן הראיות והמסקנות שלו:</w:t>
      </w:r>
    </w:p>
    <w:p w14:paraId="489FAB45" w14:textId="6A7DF405" w:rsidR="00D53AEB" w:rsidRPr="001A5690" w:rsidRDefault="00D53AEB" w:rsidP="00D53AEB">
      <w:pPr>
        <w:pStyle w:val="a7"/>
        <w:numPr>
          <w:ilvl w:val="0"/>
          <w:numId w:val="4"/>
        </w:numPr>
        <w:spacing w:after="0" w:line="360" w:lineRule="auto"/>
        <w:rPr>
          <w:rFonts w:asciiTheme="majorBidi" w:hAnsiTheme="majorBidi" w:cstheme="majorBidi"/>
          <w:sz w:val="24"/>
          <w:szCs w:val="24"/>
        </w:rPr>
      </w:pPr>
      <w:r w:rsidRPr="001A5690">
        <w:rPr>
          <w:rFonts w:asciiTheme="majorBidi" w:hAnsiTheme="majorBidi" w:cstheme="majorBidi"/>
          <w:sz w:val="24"/>
          <w:szCs w:val="24"/>
          <w:rtl/>
        </w:rPr>
        <w:t>"קונה את עצמה בגט ובמיתת הבעל. בשלמא גט, דכתיב: וכתב לה ספר כריתות, אלא מיתת הבעל מנלן? סברא הוא, הוא אסרה והוא שרתה. והא עריות, דאסר להו ולא שרי להו! אלא, מדאמר רחמנא יבמה שאין לה בנים אסורה, הא יש לה בנים - מותרת. ודילמא, אין לה בנים - אסורה לעלמא ושריא ליבם, ויש לה בנים - לכולי עלמא נמי אסורה! אלא, מדאמר רחמנא אלמנה לכה"ג אסורה, הא לכהן הדיוט - שריא. ודילמא לכה"ג בלאו, לכולי עלמא בעשה! האי עשה מאי עבידתיה? אי דאהניא מיתת הבעל - תישתרי לגמרי, אי דלא אהניא מיתת הבעל - תוקמה במילתא קמייתא. אלמה לא? אפיקתה ממיתה ואוקימתה על עשה, מידי דהוה אפסולי המוקדשים</w:t>
      </w:r>
      <w:r w:rsidRPr="001A5690">
        <w:rPr>
          <w:rStyle w:val="a6"/>
          <w:rFonts w:asciiTheme="majorBidi" w:hAnsiTheme="majorBidi" w:cstheme="majorBidi"/>
          <w:sz w:val="24"/>
          <w:szCs w:val="24"/>
          <w:rtl/>
        </w:rPr>
        <w:footnoteReference w:id="19"/>
      </w:r>
      <w:r w:rsidR="000716DE" w:rsidRPr="001A5690">
        <w:rPr>
          <w:rFonts w:asciiTheme="majorBidi" w:hAnsiTheme="majorBidi" w:cstheme="majorBidi"/>
          <w:sz w:val="24"/>
          <w:szCs w:val="24"/>
          <w:rtl/>
        </w:rPr>
        <w:t>"</w:t>
      </w:r>
    </w:p>
    <w:p w14:paraId="11EDB62F" w14:textId="6AFA652B" w:rsidR="001A5690" w:rsidRPr="00E3638F" w:rsidRDefault="00D53AEB" w:rsidP="00E3638F">
      <w:pPr>
        <w:spacing w:after="0" w:line="360" w:lineRule="auto"/>
        <w:ind w:left="360"/>
        <w:rPr>
          <w:rFonts w:ascii="David" w:hAnsi="David" w:cs="David"/>
          <w:sz w:val="24"/>
          <w:szCs w:val="24"/>
          <w:rtl/>
        </w:rPr>
      </w:pPr>
      <w:r w:rsidRPr="000716DE">
        <w:rPr>
          <w:rFonts w:ascii="David" w:hAnsi="David" w:cs="David"/>
          <w:sz w:val="24"/>
          <w:szCs w:val="24"/>
          <w:rtl/>
        </w:rPr>
        <w:t>הרי שרצה הש"ס לומר</w:t>
      </w:r>
      <w:r w:rsidR="00485836">
        <w:rPr>
          <w:rFonts w:ascii="David" w:hAnsi="David" w:cs="David" w:hint="cs"/>
          <w:sz w:val="24"/>
          <w:szCs w:val="24"/>
          <w:rtl/>
        </w:rPr>
        <w:t xml:space="preserve">, </w:t>
      </w:r>
      <w:r w:rsidRPr="000716DE">
        <w:rPr>
          <w:rFonts w:ascii="David" w:hAnsi="David" w:cs="David"/>
          <w:sz w:val="24"/>
          <w:szCs w:val="24"/>
          <w:rtl/>
        </w:rPr>
        <w:t>דע"י מיתת הבעל הוקלש האישות שלו ממיתה לעשה</w:t>
      </w:r>
      <w:r w:rsidR="00071EFD">
        <w:rPr>
          <w:rFonts w:ascii="David" w:hAnsi="David" w:cs="David" w:hint="cs"/>
          <w:sz w:val="24"/>
          <w:szCs w:val="24"/>
          <w:rtl/>
        </w:rPr>
        <w:t xml:space="preserve">, </w:t>
      </w:r>
      <w:r w:rsidRPr="000716DE">
        <w:rPr>
          <w:rFonts w:ascii="David" w:hAnsi="David" w:cs="David"/>
          <w:sz w:val="24"/>
          <w:szCs w:val="24"/>
          <w:rtl/>
        </w:rPr>
        <w:t>וא"כ שפיר י"ל</w:t>
      </w:r>
      <w:r w:rsidR="008632B6">
        <w:rPr>
          <w:rFonts w:ascii="David" w:hAnsi="David" w:cs="David" w:hint="cs"/>
          <w:sz w:val="24"/>
          <w:szCs w:val="24"/>
          <w:rtl/>
        </w:rPr>
        <w:t xml:space="preserve">, </w:t>
      </w:r>
      <w:r w:rsidRPr="000716DE">
        <w:rPr>
          <w:rFonts w:ascii="David" w:hAnsi="David" w:cs="David"/>
          <w:sz w:val="24"/>
          <w:szCs w:val="24"/>
          <w:rtl/>
        </w:rPr>
        <w:t>דביבמה גזרה תורה שאישות הבעל שלה נקלש וניתק אחרי מיתתו ממיתה ללא</w:t>
      </w:r>
      <w:r w:rsidR="000716DE">
        <w:rPr>
          <w:rFonts w:ascii="David" w:hAnsi="David" w:cs="David" w:hint="cs"/>
          <w:sz w:val="24"/>
          <w:szCs w:val="24"/>
          <w:rtl/>
        </w:rPr>
        <w:t>ו</w:t>
      </w:r>
      <w:r w:rsidR="000716DE">
        <w:rPr>
          <w:rStyle w:val="a6"/>
          <w:rFonts w:ascii="David" w:hAnsi="David" w:cs="David"/>
          <w:sz w:val="24"/>
          <w:szCs w:val="24"/>
          <w:rtl/>
        </w:rPr>
        <w:footnoteReference w:id="20"/>
      </w:r>
      <w:r w:rsidR="00071EFD">
        <w:rPr>
          <w:rFonts w:ascii="David" w:hAnsi="David" w:cs="David" w:hint="cs"/>
          <w:sz w:val="24"/>
          <w:szCs w:val="24"/>
          <w:rtl/>
        </w:rPr>
        <w:t>.</w:t>
      </w:r>
      <w:r w:rsidRPr="000716DE">
        <w:rPr>
          <w:rFonts w:ascii="David" w:hAnsi="David" w:cs="David"/>
          <w:sz w:val="24"/>
          <w:szCs w:val="24"/>
          <w:rtl/>
        </w:rPr>
        <w:t xml:space="preserve"> </w:t>
      </w:r>
    </w:p>
    <w:p w14:paraId="1B4E6D8C" w14:textId="0195F8F7" w:rsidR="00D53AEB" w:rsidRDefault="000716DE" w:rsidP="000716DE">
      <w:pPr>
        <w:pStyle w:val="a7"/>
        <w:numPr>
          <w:ilvl w:val="0"/>
          <w:numId w:val="4"/>
        </w:numPr>
        <w:spacing w:after="0" w:line="360" w:lineRule="auto"/>
        <w:rPr>
          <w:rFonts w:asciiTheme="majorBidi" w:hAnsiTheme="majorBidi" w:cstheme="majorBidi"/>
          <w:sz w:val="24"/>
          <w:szCs w:val="24"/>
        </w:rPr>
      </w:pPr>
      <w:r w:rsidRPr="000716DE">
        <w:rPr>
          <w:rFonts w:asciiTheme="majorBidi" w:hAnsiTheme="majorBidi" w:cstheme="majorBidi"/>
          <w:sz w:val="24"/>
          <w:szCs w:val="24"/>
          <w:rtl/>
        </w:rPr>
        <w:t xml:space="preserve">אם  </w:t>
      </w:r>
      <w:r w:rsidRPr="001A5690">
        <w:rPr>
          <w:rFonts w:asciiTheme="majorBidi" w:hAnsiTheme="majorBidi" w:cstheme="majorBidi"/>
          <w:sz w:val="24"/>
          <w:szCs w:val="24"/>
          <w:rtl/>
        </w:rPr>
        <w:t>"זיקה ככנוסה דמיא</w:t>
      </w:r>
      <w:r w:rsidRPr="001A5690">
        <w:rPr>
          <w:rStyle w:val="a6"/>
          <w:rFonts w:asciiTheme="majorBidi" w:hAnsiTheme="majorBidi" w:cstheme="majorBidi"/>
          <w:sz w:val="24"/>
          <w:szCs w:val="24"/>
          <w:rtl/>
        </w:rPr>
        <w:footnoteReference w:id="21"/>
      </w:r>
      <w:r w:rsidRPr="001A5690">
        <w:rPr>
          <w:rFonts w:asciiTheme="majorBidi" w:hAnsiTheme="majorBidi" w:cstheme="majorBidi"/>
          <w:sz w:val="24"/>
          <w:szCs w:val="24"/>
          <w:rtl/>
        </w:rPr>
        <w:t>".</w:t>
      </w:r>
      <w:r w:rsidR="00E3638F">
        <w:rPr>
          <w:rFonts w:ascii="David" w:hAnsi="David" w:cs="David" w:hint="cs"/>
          <w:sz w:val="24"/>
          <w:szCs w:val="24"/>
          <w:rtl/>
        </w:rPr>
        <w:t xml:space="preserve"> </w:t>
      </w:r>
      <w:r w:rsidR="00E3638F" w:rsidRPr="00E3638F">
        <w:rPr>
          <w:rFonts w:asciiTheme="majorBidi" w:hAnsiTheme="majorBidi" w:cstheme="majorBidi"/>
          <w:sz w:val="24"/>
          <w:szCs w:val="24"/>
          <w:rtl/>
        </w:rPr>
        <w:t>נראה ש</w:t>
      </w:r>
      <w:r w:rsidR="00E82106">
        <w:rPr>
          <w:rFonts w:ascii="David" w:hAnsi="David" w:cs="David" w:hint="cs"/>
          <w:sz w:val="24"/>
          <w:szCs w:val="24"/>
          <w:rtl/>
        </w:rPr>
        <w:t>"</w:t>
      </w:r>
      <w:r w:rsidR="00E82106" w:rsidRPr="001528D5">
        <w:rPr>
          <w:rFonts w:ascii="David" w:hAnsi="David" w:cs="David"/>
          <w:sz w:val="24"/>
          <w:szCs w:val="24"/>
          <w:rtl/>
        </w:rPr>
        <w:t>איסורה איסור אישות מכח היבם</w:t>
      </w:r>
      <w:r w:rsidR="00E82106">
        <w:rPr>
          <w:rStyle w:val="a6"/>
          <w:rFonts w:ascii="David" w:hAnsi="David" w:cs="David"/>
          <w:sz w:val="24"/>
          <w:szCs w:val="24"/>
          <w:rtl/>
        </w:rPr>
        <w:footnoteReference w:id="22"/>
      </w:r>
      <w:r w:rsidR="00E82106">
        <w:rPr>
          <w:rFonts w:ascii="David" w:hAnsi="David" w:cs="David" w:hint="cs"/>
          <w:sz w:val="24"/>
          <w:szCs w:val="24"/>
          <w:rtl/>
        </w:rPr>
        <w:t>".</w:t>
      </w:r>
    </w:p>
    <w:p w14:paraId="12BF44D7" w14:textId="665808F9" w:rsidR="00E82106" w:rsidRPr="00E82106" w:rsidRDefault="00E82106" w:rsidP="00E82106">
      <w:pPr>
        <w:pStyle w:val="a7"/>
        <w:numPr>
          <w:ilvl w:val="0"/>
          <w:numId w:val="4"/>
        </w:numPr>
        <w:spacing w:after="0" w:line="360" w:lineRule="auto"/>
        <w:rPr>
          <w:rFonts w:asciiTheme="majorBidi" w:hAnsiTheme="majorBidi" w:cstheme="majorBidi"/>
          <w:sz w:val="24"/>
          <w:szCs w:val="24"/>
        </w:rPr>
      </w:pPr>
      <w:r w:rsidRPr="001A5690">
        <w:rPr>
          <w:rFonts w:asciiTheme="majorBidi" w:hAnsiTheme="majorBidi" w:cstheme="majorBidi"/>
          <w:sz w:val="24"/>
          <w:szCs w:val="24"/>
          <w:rtl/>
        </w:rPr>
        <w:lastRenderedPageBreak/>
        <w:t>"ובמיתת היבם. מנלן? ק"ו: ומה אשת איש שהיא בחנק - מיתת הבעל מתירתה, יבמה שהיא בלאו - לא כל שכן. מה לאשת איש שכן יוצאה בגט, תאמר בזו שאינה יוצאה בגט? הא נמי יוצאה בחליצה. אלא, מה לאשת איש שכן אוסרה מתירה! אמר רב אשי: הא נמי אוסרה מתירה, יבם אוסרה, יבם שרי לה</w:t>
      </w:r>
      <w:r w:rsidRPr="001A5690">
        <w:rPr>
          <w:rStyle w:val="a6"/>
          <w:rFonts w:asciiTheme="majorBidi" w:hAnsiTheme="majorBidi" w:cstheme="majorBidi"/>
          <w:sz w:val="24"/>
          <w:szCs w:val="24"/>
          <w:rtl/>
        </w:rPr>
        <w:footnoteReference w:id="23"/>
      </w:r>
      <w:r w:rsidRPr="001A5690">
        <w:rPr>
          <w:rFonts w:asciiTheme="majorBidi" w:hAnsiTheme="majorBidi" w:cstheme="majorBidi"/>
          <w:sz w:val="24"/>
          <w:szCs w:val="24"/>
          <w:rtl/>
        </w:rPr>
        <w:t>".</w:t>
      </w:r>
      <w:r>
        <w:rPr>
          <w:rFonts w:ascii="David" w:hAnsi="David" w:cs="David" w:hint="cs"/>
          <w:sz w:val="24"/>
          <w:szCs w:val="24"/>
          <w:rtl/>
        </w:rPr>
        <w:t xml:space="preserve">  "</w:t>
      </w:r>
      <w:r w:rsidR="001528D5" w:rsidRPr="00E82106">
        <w:rPr>
          <w:rFonts w:ascii="David" w:hAnsi="David" w:cs="David"/>
          <w:sz w:val="24"/>
          <w:szCs w:val="24"/>
          <w:rtl/>
        </w:rPr>
        <w:t>המקשן הי' סבור דאיסור יבמה לשוק עדיין הוא גם עתה מכח הבעל</w:t>
      </w:r>
      <w:r w:rsidR="00E3638F">
        <w:rPr>
          <w:rFonts w:ascii="David" w:hAnsi="David" w:cs="David" w:hint="cs"/>
          <w:sz w:val="24"/>
          <w:szCs w:val="24"/>
          <w:rtl/>
        </w:rPr>
        <w:t>,</w:t>
      </w:r>
      <w:r w:rsidR="001528D5" w:rsidRPr="00E82106">
        <w:rPr>
          <w:rFonts w:ascii="David" w:hAnsi="David" w:cs="David"/>
          <w:sz w:val="24"/>
          <w:szCs w:val="24"/>
          <w:rtl/>
        </w:rPr>
        <w:t xml:space="preserve"> וע"כ חשיב לי</w:t>
      </w:r>
      <w:r w:rsidR="00E3638F">
        <w:rPr>
          <w:rFonts w:ascii="David" w:hAnsi="David" w:cs="David" w:hint="cs"/>
          <w:sz w:val="24"/>
          <w:szCs w:val="24"/>
          <w:rtl/>
        </w:rPr>
        <w:t>ה</w:t>
      </w:r>
      <w:r w:rsidR="001528D5" w:rsidRPr="00E82106">
        <w:rPr>
          <w:rFonts w:ascii="David" w:hAnsi="David" w:cs="David"/>
          <w:sz w:val="24"/>
          <w:szCs w:val="24"/>
          <w:rtl/>
        </w:rPr>
        <w:t xml:space="preserve"> למיתת היבם שאין אוסרה מתירה</w:t>
      </w:r>
      <w:r w:rsidR="00E3638F">
        <w:rPr>
          <w:rFonts w:ascii="David" w:hAnsi="David" w:cs="David" w:hint="cs"/>
          <w:sz w:val="24"/>
          <w:szCs w:val="24"/>
          <w:rtl/>
        </w:rPr>
        <w:t>,</w:t>
      </w:r>
      <w:r w:rsidR="001528D5" w:rsidRPr="00E82106">
        <w:rPr>
          <w:rFonts w:ascii="David" w:hAnsi="David" w:cs="David"/>
          <w:sz w:val="24"/>
          <w:szCs w:val="24"/>
          <w:rtl/>
        </w:rPr>
        <w:t xml:space="preserve"> כיון שהאוסר הוא הבעל והמתיר הוא היבם במיתתו</w:t>
      </w:r>
      <w:r w:rsidR="00E3638F">
        <w:rPr>
          <w:rFonts w:ascii="David" w:hAnsi="David" w:cs="David" w:hint="cs"/>
          <w:sz w:val="24"/>
          <w:szCs w:val="24"/>
          <w:rtl/>
        </w:rPr>
        <w:t>.</w:t>
      </w:r>
      <w:r w:rsidR="001528D5" w:rsidRPr="00E82106">
        <w:rPr>
          <w:rFonts w:ascii="David" w:hAnsi="David" w:cs="David"/>
          <w:sz w:val="24"/>
          <w:szCs w:val="24"/>
          <w:rtl/>
        </w:rPr>
        <w:t xml:space="preserve"> ועל כרחך</w:t>
      </w:r>
      <w:r w:rsidR="00E3638F">
        <w:rPr>
          <w:rFonts w:ascii="David" w:hAnsi="David" w:cs="David" w:hint="cs"/>
          <w:sz w:val="24"/>
          <w:szCs w:val="24"/>
          <w:rtl/>
        </w:rPr>
        <w:t>,</w:t>
      </w:r>
      <w:r w:rsidR="001528D5" w:rsidRPr="00E82106">
        <w:rPr>
          <w:rFonts w:ascii="David" w:hAnsi="David" w:cs="David"/>
          <w:sz w:val="24"/>
          <w:szCs w:val="24"/>
          <w:rtl/>
        </w:rPr>
        <w:t xml:space="preserve"> סברת המקשן הנ"ל דאיסור יבמה לשוק הוא מפאת שלא נסתלק עדיין אישות הבעל לגמרי</w:t>
      </w:r>
      <w:r>
        <w:rPr>
          <w:rFonts w:ascii="David" w:hAnsi="David" w:cs="David" w:hint="cs"/>
          <w:sz w:val="24"/>
          <w:szCs w:val="24"/>
          <w:rtl/>
        </w:rPr>
        <w:t xml:space="preserve">.. </w:t>
      </w:r>
      <w:r w:rsidR="001528D5" w:rsidRPr="00E82106">
        <w:rPr>
          <w:rFonts w:ascii="David" w:hAnsi="David" w:cs="David"/>
          <w:sz w:val="24"/>
          <w:szCs w:val="24"/>
          <w:rtl/>
        </w:rPr>
        <w:t>ור' אשי הוא שחידש דהיבם הוא האוסר ולא הבעל</w:t>
      </w:r>
      <w:r>
        <w:rPr>
          <w:rFonts w:ascii="David" w:hAnsi="David" w:cs="David" w:hint="cs"/>
          <w:sz w:val="24"/>
          <w:szCs w:val="24"/>
          <w:rtl/>
        </w:rPr>
        <w:t>"</w:t>
      </w:r>
    </w:p>
    <w:p w14:paraId="4B0F2839" w14:textId="2CFFD6CE" w:rsidR="001528D5" w:rsidRDefault="00E82106" w:rsidP="00E82106">
      <w:pPr>
        <w:pStyle w:val="a7"/>
        <w:numPr>
          <w:ilvl w:val="0"/>
          <w:numId w:val="4"/>
        </w:numPr>
        <w:spacing w:after="0" w:line="360" w:lineRule="auto"/>
        <w:rPr>
          <w:rFonts w:asciiTheme="majorBidi" w:hAnsiTheme="majorBidi" w:cstheme="majorBidi"/>
          <w:sz w:val="24"/>
          <w:szCs w:val="24"/>
        </w:rPr>
      </w:pPr>
      <w:r>
        <w:rPr>
          <w:rFonts w:asciiTheme="majorBidi" w:hAnsiTheme="majorBidi" w:cs="Times New Roman" w:hint="cs"/>
          <w:sz w:val="24"/>
          <w:szCs w:val="24"/>
          <w:rtl/>
        </w:rPr>
        <w:t>"</w:t>
      </w:r>
      <w:r w:rsidRPr="00E82106">
        <w:rPr>
          <w:rFonts w:asciiTheme="majorBidi" w:hAnsiTheme="majorBidi" w:cs="Times New Roman"/>
          <w:sz w:val="24"/>
          <w:szCs w:val="24"/>
          <w:rtl/>
        </w:rPr>
        <w:t>היכן מצינו שזה אוסר וזה מתיר! ולא? והרי יבמה, דבעל אוסר ויבם מתיר! התם יבם הוא קא אסר לה, דאי מבעל הא שריא וקיימא</w:t>
      </w:r>
      <w:r>
        <w:rPr>
          <w:rStyle w:val="a6"/>
          <w:rFonts w:asciiTheme="majorBidi" w:hAnsiTheme="majorBidi" w:cs="Times New Roman"/>
          <w:sz w:val="24"/>
          <w:szCs w:val="24"/>
          <w:rtl/>
        </w:rPr>
        <w:footnoteReference w:id="24"/>
      </w:r>
      <w:r>
        <w:rPr>
          <w:rFonts w:asciiTheme="majorBidi" w:hAnsiTheme="majorBidi" w:cs="Times New Roman" w:hint="cs"/>
          <w:sz w:val="24"/>
          <w:szCs w:val="24"/>
          <w:rtl/>
        </w:rPr>
        <w:t>"</w:t>
      </w:r>
      <w:r w:rsidRPr="00E82106">
        <w:rPr>
          <w:rFonts w:asciiTheme="majorBidi" w:hAnsiTheme="majorBidi" w:cs="Times New Roman"/>
          <w:sz w:val="24"/>
          <w:szCs w:val="24"/>
          <w:rtl/>
        </w:rPr>
        <w:t>.</w:t>
      </w:r>
      <w:r>
        <w:rPr>
          <w:rFonts w:asciiTheme="majorBidi" w:hAnsiTheme="majorBidi" w:cs="Times New Roman" w:hint="cs"/>
          <w:sz w:val="24"/>
          <w:szCs w:val="24"/>
          <w:rtl/>
        </w:rPr>
        <w:t xml:space="preserve">  </w:t>
      </w:r>
      <w:r w:rsidR="008632B6">
        <w:rPr>
          <w:rFonts w:ascii="David" w:hAnsi="David" w:cs="David" w:hint="cs"/>
          <w:sz w:val="24"/>
          <w:szCs w:val="24"/>
          <w:rtl/>
        </w:rPr>
        <w:t>"</w:t>
      </w:r>
      <w:r w:rsidR="001528D5" w:rsidRPr="00E82106">
        <w:rPr>
          <w:rFonts w:ascii="David" w:hAnsi="David" w:cs="David"/>
          <w:sz w:val="24"/>
          <w:szCs w:val="24"/>
          <w:rtl/>
        </w:rPr>
        <w:t>גם פה נחלקו בזה המקשן והתרצן</w:t>
      </w:r>
      <w:r w:rsidR="00E3638F">
        <w:rPr>
          <w:rFonts w:ascii="David" w:hAnsi="David" w:cs="David" w:hint="cs"/>
          <w:sz w:val="24"/>
          <w:szCs w:val="24"/>
          <w:rtl/>
        </w:rPr>
        <w:t>.</w:t>
      </w:r>
      <w:r w:rsidR="001528D5" w:rsidRPr="00E82106">
        <w:rPr>
          <w:rFonts w:ascii="David" w:hAnsi="David" w:cs="David"/>
          <w:sz w:val="24"/>
          <w:szCs w:val="24"/>
          <w:rtl/>
        </w:rPr>
        <w:t xml:space="preserve"> דהמקשן ס"ל דאיסור יבמה לשוק הוא מכח אישות הבעל עדיין</w:t>
      </w:r>
      <w:r w:rsidR="00E3638F">
        <w:rPr>
          <w:rFonts w:ascii="David" w:hAnsi="David" w:cs="David" w:hint="cs"/>
          <w:sz w:val="24"/>
          <w:szCs w:val="24"/>
          <w:rtl/>
        </w:rPr>
        <w:t>,</w:t>
      </w:r>
      <w:r w:rsidR="001528D5" w:rsidRPr="00E82106">
        <w:rPr>
          <w:rFonts w:ascii="David" w:hAnsi="David" w:cs="David"/>
          <w:sz w:val="24"/>
          <w:szCs w:val="24"/>
          <w:rtl/>
        </w:rPr>
        <w:t xml:space="preserve"> והתרצן חידש דאישות הבעל חלף הלך לו לגמרי כמו בכל אשה שמותרת לגמרי ע"י מיתת הבעל</w:t>
      </w:r>
      <w:r w:rsidR="00E3638F">
        <w:rPr>
          <w:rFonts w:ascii="David" w:hAnsi="David" w:cs="David" w:hint="cs"/>
          <w:sz w:val="24"/>
          <w:szCs w:val="24"/>
          <w:rtl/>
        </w:rPr>
        <w:t xml:space="preserve">. </w:t>
      </w:r>
      <w:r w:rsidR="001528D5" w:rsidRPr="00E82106">
        <w:rPr>
          <w:rFonts w:ascii="David" w:hAnsi="David" w:cs="David"/>
          <w:sz w:val="24"/>
          <w:szCs w:val="24"/>
          <w:rtl/>
        </w:rPr>
        <w:t>וזהו שאמר</w:t>
      </w:r>
      <w:r w:rsidR="00E3638F">
        <w:rPr>
          <w:rFonts w:ascii="David" w:hAnsi="David" w:cs="David" w:hint="cs"/>
          <w:sz w:val="24"/>
          <w:szCs w:val="24"/>
          <w:rtl/>
        </w:rPr>
        <w:t>:</w:t>
      </w:r>
      <w:r w:rsidR="001528D5" w:rsidRPr="00E82106">
        <w:rPr>
          <w:rFonts w:ascii="David" w:hAnsi="David" w:cs="David"/>
          <w:sz w:val="24"/>
          <w:szCs w:val="24"/>
          <w:rtl/>
        </w:rPr>
        <w:t xml:space="preserve"> דאי מבעל הא שריא וקיימא ואיסורה לשוק מכח היבם הוא ולא מכח הבעל</w:t>
      </w:r>
      <w:r w:rsidR="008632B6">
        <w:rPr>
          <w:rFonts w:ascii="David" w:hAnsi="David" w:cs="David" w:hint="cs"/>
          <w:sz w:val="24"/>
          <w:szCs w:val="24"/>
          <w:rtl/>
        </w:rPr>
        <w:t>".</w:t>
      </w:r>
    </w:p>
    <w:p w14:paraId="1F86FFBB" w14:textId="6DE074E0" w:rsidR="001528D5" w:rsidRDefault="00CC6BA6" w:rsidP="00FA2F10">
      <w:pPr>
        <w:pStyle w:val="a7"/>
        <w:numPr>
          <w:ilvl w:val="0"/>
          <w:numId w:val="4"/>
        </w:numPr>
        <w:spacing w:after="0" w:line="360" w:lineRule="auto"/>
        <w:rPr>
          <w:rFonts w:asciiTheme="majorBidi" w:hAnsiTheme="majorBidi" w:cstheme="majorBidi"/>
          <w:sz w:val="24"/>
          <w:szCs w:val="24"/>
        </w:rPr>
      </w:pPr>
      <w:r>
        <w:rPr>
          <w:rFonts w:asciiTheme="majorBidi" w:hAnsiTheme="majorBidi" w:cstheme="majorBidi" w:hint="cs"/>
          <w:sz w:val="24"/>
          <w:szCs w:val="24"/>
          <w:rtl/>
        </w:rPr>
        <w:t xml:space="preserve">בעלי התוספות מתארים יבמה: </w:t>
      </w:r>
      <w:r w:rsidR="00FA2F10">
        <w:rPr>
          <w:rFonts w:asciiTheme="majorBidi" w:hAnsiTheme="majorBidi" w:cstheme="majorBidi" w:hint="cs"/>
          <w:sz w:val="24"/>
          <w:szCs w:val="24"/>
          <w:rtl/>
        </w:rPr>
        <w:t xml:space="preserve"> </w:t>
      </w:r>
      <w:r w:rsidRPr="00FA2F10">
        <w:rPr>
          <w:rFonts w:asciiTheme="majorBidi" w:hAnsiTheme="majorBidi" w:cs="Times New Roman" w:hint="cs"/>
          <w:sz w:val="24"/>
          <w:szCs w:val="24"/>
          <w:rtl/>
        </w:rPr>
        <w:t>"</w:t>
      </w:r>
      <w:r w:rsidRPr="00FA2F10">
        <w:rPr>
          <w:rFonts w:asciiTheme="majorBidi" w:hAnsiTheme="majorBidi" w:cs="Times New Roman"/>
          <w:sz w:val="24"/>
          <w:szCs w:val="24"/>
          <w:rtl/>
        </w:rPr>
        <w:t>שכן זקוקה ועומדת</w:t>
      </w:r>
      <w:r w:rsidR="008632B6">
        <w:rPr>
          <w:rFonts w:asciiTheme="majorBidi" w:hAnsiTheme="majorBidi" w:cs="Times New Roman" w:hint="cs"/>
          <w:sz w:val="24"/>
          <w:szCs w:val="24"/>
          <w:rtl/>
        </w:rPr>
        <w:t>,</w:t>
      </w:r>
      <w:r w:rsidRPr="00FA2F10">
        <w:rPr>
          <w:rFonts w:asciiTheme="majorBidi" w:hAnsiTheme="majorBidi" w:cs="Times New Roman"/>
          <w:sz w:val="24"/>
          <w:szCs w:val="24"/>
          <w:rtl/>
        </w:rPr>
        <w:t xml:space="preserve"> שביאה זו אינה עושה אלא גומרת קדושי ראשון</w:t>
      </w:r>
      <w:r>
        <w:rPr>
          <w:rStyle w:val="a6"/>
          <w:rFonts w:asciiTheme="majorBidi" w:hAnsiTheme="majorBidi" w:cs="Times New Roman"/>
          <w:sz w:val="24"/>
          <w:szCs w:val="24"/>
          <w:rtl/>
        </w:rPr>
        <w:footnoteReference w:id="25"/>
      </w:r>
      <w:r w:rsidRPr="00FA2F10">
        <w:rPr>
          <w:rFonts w:asciiTheme="majorBidi" w:hAnsiTheme="majorBidi" w:cs="Times New Roman" w:hint="cs"/>
          <w:sz w:val="24"/>
          <w:szCs w:val="24"/>
          <w:rtl/>
        </w:rPr>
        <w:t>"</w:t>
      </w:r>
      <w:r w:rsidR="00FA2F10">
        <w:rPr>
          <w:rFonts w:asciiTheme="majorBidi" w:hAnsiTheme="majorBidi" w:cs="Times New Roman" w:hint="cs"/>
          <w:sz w:val="24"/>
          <w:szCs w:val="24"/>
          <w:rtl/>
        </w:rPr>
        <w:t xml:space="preserve">. </w:t>
      </w:r>
      <w:r w:rsidR="001528D5" w:rsidRPr="00FA2F10">
        <w:rPr>
          <w:rFonts w:ascii="David" w:hAnsi="David" w:cs="David"/>
          <w:sz w:val="24"/>
          <w:szCs w:val="24"/>
          <w:rtl/>
        </w:rPr>
        <w:t>ונראה מדבריהם אלה שנשאר אישות קלוש מן הבעל</w:t>
      </w:r>
      <w:r w:rsidR="00E3638F">
        <w:rPr>
          <w:rFonts w:ascii="David" w:hAnsi="David" w:cs="David" w:hint="cs"/>
          <w:sz w:val="24"/>
          <w:szCs w:val="24"/>
          <w:rtl/>
        </w:rPr>
        <w:t>,</w:t>
      </w:r>
      <w:r w:rsidR="001528D5" w:rsidRPr="00FA2F10">
        <w:rPr>
          <w:rFonts w:ascii="David" w:hAnsi="David" w:cs="David"/>
          <w:sz w:val="24"/>
          <w:szCs w:val="24"/>
          <w:rtl/>
        </w:rPr>
        <w:t xml:space="preserve"> והיבם בביאתו גומר את האישות הזה</w:t>
      </w:r>
      <w:r w:rsidR="00E3638F">
        <w:rPr>
          <w:rFonts w:ascii="David" w:hAnsi="David" w:cs="David" w:hint="cs"/>
          <w:sz w:val="24"/>
          <w:szCs w:val="24"/>
          <w:rtl/>
        </w:rPr>
        <w:t>.</w:t>
      </w:r>
      <w:r w:rsidR="001528D5" w:rsidRPr="00FA2F10">
        <w:rPr>
          <w:rFonts w:ascii="David" w:hAnsi="David" w:cs="David"/>
          <w:sz w:val="24"/>
          <w:szCs w:val="24"/>
          <w:rtl/>
        </w:rPr>
        <w:t xml:space="preserve"> ועל כרחך צ"ל שזה האישות הנשאר מן הבעל</w:t>
      </w:r>
      <w:r w:rsidR="00E3638F">
        <w:rPr>
          <w:rFonts w:ascii="David" w:hAnsi="David" w:cs="David" w:hint="cs"/>
          <w:sz w:val="24"/>
          <w:szCs w:val="24"/>
          <w:rtl/>
        </w:rPr>
        <w:t>.</w:t>
      </w:r>
      <w:r w:rsidR="001528D5" w:rsidRPr="00FA2F10">
        <w:rPr>
          <w:rFonts w:ascii="David" w:hAnsi="David" w:cs="David"/>
          <w:sz w:val="24"/>
          <w:szCs w:val="24"/>
          <w:rtl/>
        </w:rPr>
        <w:t xml:space="preserve"> מיד אחרי מיתתו הוא נתרוקן מן הבעל ליבם</w:t>
      </w:r>
      <w:r w:rsidR="00E3638F">
        <w:rPr>
          <w:rFonts w:ascii="David" w:hAnsi="David" w:cs="David" w:hint="cs"/>
          <w:sz w:val="24"/>
          <w:szCs w:val="24"/>
          <w:rtl/>
        </w:rPr>
        <w:t>,</w:t>
      </w:r>
      <w:r w:rsidR="001528D5" w:rsidRPr="00FA2F10">
        <w:rPr>
          <w:rFonts w:ascii="David" w:hAnsi="David" w:cs="David"/>
          <w:sz w:val="24"/>
          <w:szCs w:val="24"/>
          <w:rtl/>
        </w:rPr>
        <w:t xml:space="preserve"> ואיסורה לשוק אחרי מיתת הבעל הוא מכח היבם</w:t>
      </w:r>
      <w:r w:rsidRPr="00FA2F10">
        <w:rPr>
          <w:rFonts w:ascii="David" w:hAnsi="David" w:cs="David" w:hint="cs"/>
          <w:sz w:val="24"/>
          <w:szCs w:val="24"/>
          <w:rtl/>
        </w:rPr>
        <w:t>.. מ..</w:t>
      </w:r>
      <w:r w:rsidR="001528D5" w:rsidRPr="00FA2F10">
        <w:rPr>
          <w:rFonts w:ascii="David" w:hAnsi="David" w:cs="David"/>
          <w:sz w:val="24"/>
          <w:szCs w:val="24"/>
          <w:rtl/>
        </w:rPr>
        <w:t xml:space="preserve">דברי הש"ס </w:t>
      </w:r>
      <w:r w:rsidR="001528D5" w:rsidRPr="008632B6">
        <w:rPr>
          <w:rFonts w:ascii="David" w:hAnsi="David" w:cs="David"/>
          <w:sz w:val="18"/>
          <w:szCs w:val="18"/>
          <w:rtl/>
        </w:rPr>
        <w:t>קידושין י"ד א' וגיטין פ"ג ב' הנ"ל שמפורש</w:t>
      </w:r>
      <w:r w:rsidR="001528D5" w:rsidRPr="00FA2F10">
        <w:rPr>
          <w:rFonts w:ascii="David" w:hAnsi="David" w:cs="David"/>
          <w:sz w:val="24"/>
          <w:szCs w:val="24"/>
          <w:rtl/>
        </w:rPr>
        <w:t xml:space="preserve"> בהם שהיבם הוא האוסר ולא הבעל</w:t>
      </w:r>
      <w:r>
        <w:rPr>
          <w:rStyle w:val="a6"/>
          <w:rFonts w:ascii="David" w:hAnsi="David" w:cs="David"/>
          <w:sz w:val="24"/>
          <w:szCs w:val="24"/>
          <w:rtl/>
        </w:rPr>
        <w:footnoteReference w:id="26"/>
      </w:r>
      <w:r w:rsidRPr="00FA2F10">
        <w:rPr>
          <w:rFonts w:ascii="David" w:hAnsi="David" w:cs="David" w:hint="cs"/>
          <w:sz w:val="24"/>
          <w:szCs w:val="24"/>
          <w:rtl/>
        </w:rPr>
        <w:t>".</w:t>
      </w:r>
    </w:p>
    <w:p w14:paraId="0FC339BD" w14:textId="77777777" w:rsidR="00AB3153" w:rsidRPr="00FA2F10" w:rsidRDefault="00AB3153" w:rsidP="00AB3153">
      <w:pPr>
        <w:pStyle w:val="a7"/>
        <w:numPr>
          <w:ilvl w:val="0"/>
          <w:numId w:val="4"/>
        </w:numPr>
        <w:spacing w:after="0" w:line="360" w:lineRule="auto"/>
        <w:rPr>
          <w:rFonts w:asciiTheme="majorBidi" w:hAnsiTheme="majorBidi" w:cstheme="majorBidi"/>
          <w:sz w:val="24"/>
          <w:szCs w:val="24"/>
          <w:rtl/>
        </w:rPr>
      </w:pPr>
      <w:r w:rsidRPr="00FA2F10">
        <w:rPr>
          <w:rFonts w:asciiTheme="majorBidi" w:hAnsiTheme="majorBidi" w:cstheme="majorBidi"/>
          <w:sz w:val="24"/>
          <w:szCs w:val="24"/>
          <w:rtl/>
        </w:rPr>
        <w:t>ההוא דהוה מוחזק לן דלית ליה אחי, ואמר בשעת מיתה דלית ליה אחי, אמר רב יוסף: מאי ליחוש לה? חדא, דמוחזק לן דלית ליה אחין; ועוד, הא אמר בשעת מיתה דלית ליה. אמר ליה אביי: הא אמרי דאיכא עדים במדינת הים דידעי דאית ליה אחי! השתא מיהת הא ליתנהו קמן, לאו היינו דר' חנינא, דאמר רבי חנינא: עדים בצד אסתן ותאסר? אמר ליה אביי: אם הקלנו בשבוי</w:t>
      </w:r>
      <w:r>
        <w:rPr>
          <w:rFonts w:asciiTheme="majorBidi" w:hAnsiTheme="majorBidi" w:cstheme="majorBidi" w:hint="cs"/>
          <w:sz w:val="24"/>
          <w:szCs w:val="24"/>
          <w:rtl/>
        </w:rPr>
        <w:t>ה...</w:t>
      </w:r>
      <w:r w:rsidRPr="00FA2F10">
        <w:rPr>
          <w:rFonts w:asciiTheme="majorBidi" w:hAnsiTheme="majorBidi" w:cstheme="majorBidi"/>
          <w:sz w:val="24"/>
          <w:szCs w:val="24"/>
          <w:rtl/>
        </w:rPr>
        <w:t xml:space="preserve"> </w:t>
      </w:r>
      <w:r w:rsidRPr="00FA2F10">
        <w:rPr>
          <w:rFonts w:asciiTheme="majorBidi" w:hAnsiTheme="majorBidi" w:cstheme="majorBidi"/>
          <w:b/>
          <w:bCs/>
          <w:sz w:val="24"/>
          <w:szCs w:val="24"/>
          <w:rtl/>
        </w:rPr>
        <w:t>נקל באשת איש?</w:t>
      </w:r>
      <w:r w:rsidRPr="00FA2F10">
        <w:rPr>
          <w:rFonts w:asciiTheme="majorBidi" w:hAnsiTheme="majorBidi" w:cstheme="majorBidi"/>
          <w:sz w:val="24"/>
          <w:szCs w:val="24"/>
          <w:rtl/>
        </w:rPr>
        <w:t xml:space="preserve"> א"ל רבא לרב נתן בר אמי: חוש לה</w:t>
      </w:r>
      <w:r>
        <w:rPr>
          <w:rStyle w:val="a6"/>
          <w:rFonts w:asciiTheme="majorBidi" w:hAnsiTheme="majorBidi" w:cstheme="majorBidi"/>
          <w:sz w:val="24"/>
          <w:szCs w:val="24"/>
          <w:rtl/>
        </w:rPr>
        <w:footnoteReference w:id="27"/>
      </w:r>
      <w:r>
        <w:rPr>
          <w:rFonts w:asciiTheme="majorBidi" w:hAnsiTheme="majorBidi" w:cstheme="majorBidi" w:hint="cs"/>
          <w:sz w:val="24"/>
          <w:szCs w:val="24"/>
          <w:rtl/>
        </w:rPr>
        <w:t>"</w:t>
      </w:r>
      <w:r w:rsidRPr="00FA2F10">
        <w:rPr>
          <w:rFonts w:asciiTheme="majorBidi" w:hAnsiTheme="majorBidi" w:cstheme="majorBidi"/>
          <w:sz w:val="24"/>
          <w:szCs w:val="24"/>
          <w:rtl/>
        </w:rPr>
        <w:t>.</w:t>
      </w:r>
    </w:p>
    <w:p w14:paraId="487D1DD5" w14:textId="77777777" w:rsidR="00D57DE3" w:rsidRDefault="00AB3153" w:rsidP="00D57DE3">
      <w:pPr>
        <w:spacing w:after="0" w:line="360" w:lineRule="auto"/>
        <w:rPr>
          <w:rFonts w:ascii="David" w:hAnsi="David" w:cs="David"/>
          <w:sz w:val="24"/>
          <w:szCs w:val="24"/>
          <w:rtl/>
        </w:rPr>
      </w:pPr>
      <w:r w:rsidRPr="001528D5">
        <w:rPr>
          <w:rFonts w:ascii="David" w:hAnsi="David" w:cs="David"/>
          <w:sz w:val="24"/>
          <w:szCs w:val="24"/>
          <w:rtl/>
        </w:rPr>
        <w:t>הרי מבואר</w:t>
      </w:r>
      <w:r>
        <w:rPr>
          <w:rFonts w:ascii="David" w:hAnsi="David" w:cs="David" w:hint="cs"/>
          <w:sz w:val="24"/>
          <w:szCs w:val="24"/>
          <w:rtl/>
        </w:rPr>
        <w:t xml:space="preserve">.. </w:t>
      </w:r>
      <w:r w:rsidRPr="001528D5">
        <w:rPr>
          <w:rFonts w:ascii="David" w:hAnsi="David" w:cs="David"/>
          <w:sz w:val="24"/>
          <w:szCs w:val="24"/>
          <w:rtl/>
        </w:rPr>
        <w:t>שאיסור יבמה לשוק איסור אישות הוא</w:t>
      </w:r>
      <w:r w:rsidR="00F70C9D">
        <w:rPr>
          <w:rFonts w:ascii="David" w:hAnsi="David" w:cs="David" w:hint="cs"/>
          <w:sz w:val="24"/>
          <w:szCs w:val="24"/>
          <w:rtl/>
        </w:rPr>
        <w:t xml:space="preserve">, </w:t>
      </w:r>
      <w:r w:rsidRPr="001528D5">
        <w:rPr>
          <w:rFonts w:ascii="David" w:hAnsi="David" w:cs="David"/>
          <w:sz w:val="24"/>
          <w:szCs w:val="24"/>
          <w:rtl/>
        </w:rPr>
        <w:t xml:space="preserve">ושלא נסתלק עדיין אישות הבעל רק נקלש ממיתה ללאו: </w:t>
      </w:r>
    </w:p>
    <w:p w14:paraId="222A2BB1" w14:textId="255A04C8" w:rsidR="00D57DE3" w:rsidRDefault="00D57DE3" w:rsidP="00D57DE3">
      <w:pPr>
        <w:spacing w:after="0" w:line="360" w:lineRule="auto"/>
        <w:rPr>
          <w:rFonts w:ascii="David" w:hAnsi="David" w:cs="David"/>
          <w:sz w:val="24"/>
          <w:szCs w:val="24"/>
          <w:rtl/>
        </w:rPr>
      </w:pPr>
      <w:r>
        <w:rPr>
          <w:rFonts w:ascii="David" w:hAnsi="David" w:cs="David" w:hint="cs"/>
          <w:sz w:val="24"/>
          <w:szCs w:val="24"/>
          <w:rtl/>
        </w:rPr>
        <w:t>"</w:t>
      </w:r>
      <w:r w:rsidRPr="001528D5">
        <w:rPr>
          <w:rFonts w:ascii="David" w:hAnsi="David" w:cs="David"/>
          <w:sz w:val="24"/>
          <w:szCs w:val="24"/>
          <w:rtl/>
        </w:rPr>
        <w:t>מה שנסתפקתי</w:t>
      </w:r>
      <w:r>
        <w:rPr>
          <w:rFonts w:ascii="David" w:hAnsi="David" w:cs="David" w:hint="cs"/>
          <w:sz w:val="24"/>
          <w:szCs w:val="24"/>
          <w:rtl/>
        </w:rPr>
        <w:t xml:space="preserve">.. </w:t>
      </w:r>
      <w:r w:rsidRPr="001528D5">
        <w:rPr>
          <w:rFonts w:ascii="David" w:hAnsi="David" w:cs="David"/>
          <w:sz w:val="24"/>
          <w:szCs w:val="24"/>
          <w:rtl/>
        </w:rPr>
        <w:t>אם איסור יבמה לשוק איסור ביאה בעלמא הוא או הוא מכח אישות</w:t>
      </w:r>
      <w:r w:rsidR="008632B6">
        <w:rPr>
          <w:rFonts w:ascii="David" w:hAnsi="David" w:cs="David" w:hint="cs"/>
          <w:sz w:val="24"/>
          <w:szCs w:val="24"/>
          <w:rtl/>
        </w:rPr>
        <w:t>,</w:t>
      </w:r>
      <w:r w:rsidRPr="001528D5">
        <w:rPr>
          <w:rFonts w:ascii="David" w:hAnsi="David" w:cs="David"/>
          <w:sz w:val="24"/>
          <w:szCs w:val="24"/>
          <w:rtl/>
        </w:rPr>
        <w:t xml:space="preserve"> דבר זה יש בו נפקותא לדינא </w:t>
      </w:r>
      <w:r w:rsidRPr="00CC6BA6">
        <w:rPr>
          <w:rFonts w:ascii="David" w:hAnsi="David" w:cs="David"/>
          <w:b/>
          <w:bCs/>
          <w:sz w:val="24"/>
          <w:szCs w:val="24"/>
          <w:rtl/>
        </w:rPr>
        <w:t>לענין יהרג ואל יעבור</w:t>
      </w:r>
      <w:r w:rsidR="008632B6">
        <w:rPr>
          <w:rFonts w:ascii="David" w:hAnsi="David" w:cs="David" w:hint="cs"/>
          <w:b/>
          <w:bCs/>
          <w:sz w:val="24"/>
          <w:szCs w:val="24"/>
          <w:rtl/>
        </w:rPr>
        <w:t>,</w:t>
      </w:r>
      <w:r w:rsidRPr="00CC6BA6">
        <w:rPr>
          <w:rFonts w:ascii="David" w:hAnsi="David" w:cs="David"/>
          <w:b/>
          <w:bCs/>
          <w:sz w:val="24"/>
          <w:szCs w:val="24"/>
          <w:rtl/>
        </w:rPr>
        <w:t xml:space="preserve"> ולענין אין דשב"ע פחות משנים</w:t>
      </w:r>
      <w:r w:rsidR="008632B6">
        <w:rPr>
          <w:rFonts w:ascii="David" w:hAnsi="David" w:cs="David" w:hint="cs"/>
          <w:b/>
          <w:bCs/>
          <w:sz w:val="24"/>
          <w:szCs w:val="24"/>
          <w:rtl/>
        </w:rPr>
        <w:t>.</w:t>
      </w:r>
      <w:r w:rsidRPr="001528D5">
        <w:rPr>
          <w:rFonts w:ascii="David" w:hAnsi="David" w:cs="David"/>
          <w:sz w:val="24"/>
          <w:szCs w:val="24"/>
          <w:rtl/>
        </w:rPr>
        <w:t xml:space="preserve"> דאי נימא דאיסור יבמה לשוק מכח אישות הוא </w:t>
      </w:r>
      <w:r>
        <w:rPr>
          <w:rFonts w:ascii="David" w:hAnsi="David" w:cs="David" w:hint="cs"/>
          <w:sz w:val="24"/>
          <w:szCs w:val="24"/>
          <w:rtl/>
        </w:rPr>
        <w:t>-</w:t>
      </w:r>
      <w:r w:rsidRPr="001528D5">
        <w:rPr>
          <w:rFonts w:ascii="David" w:hAnsi="David" w:cs="David"/>
          <w:sz w:val="24"/>
          <w:szCs w:val="24"/>
          <w:rtl/>
        </w:rPr>
        <w:t>י"ל דאיסורה איסור ערוה</w:t>
      </w:r>
      <w:r>
        <w:rPr>
          <w:rFonts w:ascii="David" w:hAnsi="David" w:cs="David" w:hint="cs"/>
          <w:sz w:val="24"/>
          <w:szCs w:val="24"/>
          <w:rtl/>
        </w:rPr>
        <w:t xml:space="preserve">... </w:t>
      </w:r>
      <w:r w:rsidRPr="001528D5">
        <w:rPr>
          <w:rFonts w:ascii="David" w:hAnsi="David" w:cs="David"/>
          <w:sz w:val="24"/>
          <w:szCs w:val="24"/>
          <w:rtl/>
        </w:rPr>
        <w:t xml:space="preserve"> דינה שפיר כשאר עריות לענין יהרג </w:t>
      </w:r>
      <w:r w:rsidRPr="001528D5">
        <w:rPr>
          <w:rFonts w:ascii="David" w:hAnsi="David" w:cs="David"/>
          <w:sz w:val="24"/>
          <w:szCs w:val="24"/>
          <w:rtl/>
        </w:rPr>
        <w:lastRenderedPageBreak/>
        <w:t>ואל יעבור ולענין אין דשב"ע וכו'</w:t>
      </w:r>
      <w:r w:rsidR="008632B6">
        <w:rPr>
          <w:rFonts w:ascii="David" w:hAnsi="David" w:cs="David" w:hint="cs"/>
          <w:sz w:val="24"/>
          <w:szCs w:val="24"/>
          <w:rtl/>
        </w:rPr>
        <w:t>.</w:t>
      </w:r>
      <w:r w:rsidRPr="001528D5">
        <w:rPr>
          <w:rFonts w:ascii="David" w:hAnsi="David" w:cs="David"/>
          <w:sz w:val="24"/>
          <w:szCs w:val="24"/>
          <w:rtl/>
        </w:rPr>
        <w:t xml:space="preserve"> אבל אם איסורה איסור ביאה בעלמא הוא לא מחמת אישות </w:t>
      </w:r>
      <w:r w:rsidR="008632B6">
        <w:rPr>
          <w:rFonts w:ascii="David" w:hAnsi="David" w:cs="David" w:hint="cs"/>
          <w:sz w:val="24"/>
          <w:szCs w:val="24"/>
          <w:rtl/>
        </w:rPr>
        <w:t>-</w:t>
      </w:r>
      <w:r w:rsidRPr="001528D5">
        <w:rPr>
          <w:rFonts w:ascii="David" w:hAnsi="David" w:cs="David"/>
          <w:sz w:val="24"/>
          <w:szCs w:val="24"/>
          <w:rtl/>
        </w:rPr>
        <w:t>ה"ל איסור גרידא ואין בו דין ערוה כלל</w:t>
      </w:r>
      <w:r>
        <w:rPr>
          <w:rStyle w:val="a6"/>
          <w:rFonts w:ascii="David" w:hAnsi="David" w:cs="David"/>
          <w:sz w:val="24"/>
          <w:szCs w:val="24"/>
          <w:rtl/>
        </w:rPr>
        <w:footnoteReference w:id="28"/>
      </w:r>
      <w:r w:rsidRPr="001528D5">
        <w:rPr>
          <w:rFonts w:ascii="David" w:hAnsi="David" w:cs="David"/>
          <w:sz w:val="24"/>
          <w:szCs w:val="24"/>
          <w:rtl/>
        </w:rPr>
        <w:t xml:space="preserve"> </w:t>
      </w:r>
    </w:p>
    <w:p w14:paraId="7111893B" w14:textId="77777777" w:rsidR="00D57DE3" w:rsidRDefault="00D57DE3" w:rsidP="00D57DE3">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אמנם החתם סופר סבר, שאפילו לפי הגמרא בבבא בתרא </w:t>
      </w:r>
      <w:r>
        <w:rPr>
          <w:rFonts w:ascii="David" w:hAnsi="David" w:cs="David" w:hint="cs"/>
          <w:sz w:val="24"/>
          <w:szCs w:val="24"/>
          <w:rtl/>
        </w:rPr>
        <w:t>"</w:t>
      </w:r>
      <w:r w:rsidRPr="00D57DE3">
        <w:rPr>
          <w:rFonts w:ascii="David" w:hAnsi="David" w:cs="David"/>
          <w:sz w:val="24"/>
          <w:szCs w:val="24"/>
          <w:rtl/>
        </w:rPr>
        <w:t>מ"מ לכלל ערוה לא הגיע</w:t>
      </w:r>
      <w:r>
        <w:rPr>
          <w:rFonts w:ascii="David" w:hAnsi="David" w:cs="David" w:hint="cs"/>
          <w:sz w:val="24"/>
          <w:szCs w:val="24"/>
          <w:rtl/>
        </w:rPr>
        <w:t xml:space="preserve">" </w:t>
      </w:r>
      <w:r>
        <w:rPr>
          <w:rFonts w:asciiTheme="majorBidi" w:hAnsiTheme="majorBidi" w:cstheme="majorBidi" w:hint="cs"/>
          <w:sz w:val="24"/>
          <w:szCs w:val="24"/>
          <w:rtl/>
        </w:rPr>
        <w:t>והתיר במקרה של פיקוח נפש</w:t>
      </w:r>
      <w:r>
        <w:rPr>
          <w:rStyle w:val="a6"/>
          <w:rFonts w:asciiTheme="majorBidi" w:hAnsiTheme="majorBidi" w:cstheme="majorBidi"/>
          <w:sz w:val="24"/>
          <w:szCs w:val="24"/>
          <w:rtl/>
        </w:rPr>
        <w:footnoteReference w:id="29"/>
      </w:r>
      <w:r>
        <w:rPr>
          <w:rFonts w:asciiTheme="majorBidi" w:hAnsiTheme="majorBidi" w:cstheme="majorBidi" w:hint="cs"/>
          <w:sz w:val="24"/>
          <w:szCs w:val="24"/>
          <w:rtl/>
        </w:rPr>
        <w:t xml:space="preserve">.              </w:t>
      </w:r>
    </w:p>
    <w:p w14:paraId="6F436CC2" w14:textId="14652265" w:rsidR="001A391B" w:rsidRPr="00D57DE3" w:rsidRDefault="00AB3153" w:rsidP="00D57DE3">
      <w:pPr>
        <w:spacing w:after="0" w:line="360" w:lineRule="auto"/>
        <w:rPr>
          <w:rFonts w:asciiTheme="majorBidi" w:hAnsiTheme="majorBidi" w:cstheme="majorBidi"/>
          <w:sz w:val="24"/>
          <w:szCs w:val="24"/>
          <w:rtl/>
        </w:rPr>
      </w:pPr>
      <w:r>
        <w:rPr>
          <w:rFonts w:asciiTheme="majorBidi" w:hAnsiTheme="majorBidi" w:cstheme="majorBidi" w:hint="cs"/>
          <w:sz w:val="24"/>
          <w:szCs w:val="24"/>
          <w:rtl/>
        </w:rPr>
        <w:t xml:space="preserve">הגמרא </w:t>
      </w:r>
      <w:r w:rsidR="00D57DE3">
        <w:rPr>
          <w:rFonts w:asciiTheme="majorBidi" w:hAnsiTheme="majorBidi" w:cstheme="majorBidi" w:hint="cs"/>
          <w:sz w:val="24"/>
          <w:szCs w:val="24"/>
          <w:rtl/>
        </w:rPr>
        <w:t xml:space="preserve">בסוגייתנו </w:t>
      </w:r>
      <w:r>
        <w:rPr>
          <w:rFonts w:asciiTheme="majorBidi" w:hAnsiTheme="majorBidi" w:cstheme="majorBidi" w:hint="cs"/>
          <w:sz w:val="24"/>
          <w:szCs w:val="24"/>
          <w:rtl/>
        </w:rPr>
        <w:t>מציעה שמחלוקת רב ושמואל</w:t>
      </w:r>
      <w:r w:rsidR="006B0B1C">
        <w:rPr>
          <w:rFonts w:asciiTheme="majorBidi" w:hAnsiTheme="majorBidi" w:cstheme="majorBidi" w:hint="cs"/>
          <w:sz w:val="24"/>
          <w:szCs w:val="24"/>
          <w:rtl/>
        </w:rPr>
        <w:t xml:space="preserve">, אם יבמה נפסלת בזנות, תלויה בדברי רב המנונא, שסבר שיבמה היא כאשת איש. </w:t>
      </w:r>
      <w:r w:rsidR="008632B6">
        <w:rPr>
          <w:rFonts w:asciiTheme="majorBidi" w:hAnsiTheme="majorBidi" w:cstheme="majorBidi" w:hint="cs"/>
          <w:sz w:val="24"/>
          <w:szCs w:val="24"/>
          <w:rtl/>
        </w:rPr>
        <w:t>"</w:t>
      </w:r>
      <w:r w:rsidR="001A391B" w:rsidRPr="001528D5">
        <w:rPr>
          <w:rFonts w:ascii="David" w:hAnsi="David" w:cs="David"/>
          <w:sz w:val="24"/>
          <w:szCs w:val="24"/>
          <w:rtl/>
        </w:rPr>
        <w:t>לכאורה למה לא פליגי רב ושמואל בהדיא אי מיפסלא בזנות</w:t>
      </w:r>
      <w:r w:rsidR="008632B6">
        <w:rPr>
          <w:rFonts w:ascii="David" w:hAnsi="David" w:cs="David" w:hint="cs"/>
          <w:sz w:val="24"/>
          <w:szCs w:val="24"/>
          <w:rtl/>
        </w:rPr>
        <w:t>,</w:t>
      </w:r>
      <w:r w:rsidR="001A391B" w:rsidRPr="001528D5">
        <w:rPr>
          <w:rFonts w:ascii="David" w:hAnsi="David" w:cs="David"/>
          <w:sz w:val="24"/>
          <w:szCs w:val="24"/>
          <w:rtl/>
        </w:rPr>
        <w:t xml:space="preserve"> ורק תלו אותה בהא אי הרי היא כאשת איש או לא</w:t>
      </w:r>
      <w:r w:rsidR="001A391B">
        <w:rPr>
          <w:rFonts w:ascii="David" w:hAnsi="David" w:cs="David" w:hint="cs"/>
          <w:sz w:val="24"/>
          <w:szCs w:val="24"/>
          <w:rtl/>
        </w:rPr>
        <w:t>?</w:t>
      </w:r>
      <w:r w:rsidR="001A391B" w:rsidRPr="001528D5">
        <w:rPr>
          <w:rFonts w:ascii="David" w:hAnsi="David" w:cs="David"/>
          <w:sz w:val="24"/>
          <w:szCs w:val="24"/>
          <w:rtl/>
        </w:rPr>
        <w:t xml:space="preserve"> וע"כ נראה קצת</w:t>
      </w:r>
      <w:r w:rsidR="001A391B">
        <w:rPr>
          <w:rFonts w:ascii="David" w:hAnsi="David" w:cs="David" w:hint="cs"/>
          <w:sz w:val="24"/>
          <w:szCs w:val="24"/>
          <w:rtl/>
        </w:rPr>
        <w:t>,</w:t>
      </w:r>
      <w:r w:rsidR="001A391B" w:rsidRPr="001528D5">
        <w:rPr>
          <w:rFonts w:ascii="David" w:hAnsi="David" w:cs="David"/>
          <w:sz w:val="24"/>
          <w:szCs w:val="24"/>
          <w:rtl/>
        </w:rPr>
        <w:t xml:space="preserve"> דבספק הנ"ל פליגי</w:t>
      </w:r>
      <w:r w:rsidR="001A391B">
        <w:rPr>
          <w:rFonts w:ascii="David" w:hAnsi="David" w:cs="David" w:hint="cs"/>
          <w:sz w:val="24"/>
          <w:szCs w:val="24"/>
          <w:rtl/>
        </w:rPr>
        <w:t>.</w:t>
      </w:r>
      <w:r w:rsidR="001A391B" w:rsidRPr="001528D5">
        <w:rPr>
          <w:rFonts w:ascii="David" w:hAnsi="David" w:cs="David"/>
          <w:sz w:val="24"/>
          <w:szCs w:val="24"/>
          <w:rtl/>
        </w:rPr>
        <w:t xml:space="preserve"> דרב ס"ל דאיסור יבמה לשוק מחמת אישות שיש בינה ובין היבם הוא</w:t>
      </w:r>
      <w:r w:rsidR="001A391B">
        <w:rPr>
          <w:rFonts w:ascii="David" w:hAnsi="David" w:cs="David" w:hint="cs"/>
          <w:sz w:val="24"/>
          <w:szCs w:val="24"/>
          <w:rtl/>
        </w:rPr>
        <w:t>,</w:t>
      </w:r>
      <w:r w:rsidR="001A391B" w:rsidRPr="001528D5">
        <w:rPr>
          <w:rFonts w:ascii="David" w:hAnsi="David" w:cs="David"/>
          <w:sz w:val="24"/>
          <w:szCs w:val="24"/>
          <w:rtl/>
        </w:rPr>
        <w:t xml:space="preserve"> וע"כ מיפסלא בזנות</w:t>
      </w:r>
      <w:r w:rsidR="001A391B">
        <w:rPr>
          <w:rFonts w:ascii="David" w:hAnsi="David" w:cs="David" w:hint="cs"/>
          <w:sz w:val="24"/>
          <w:szCs w:val="24"/>
          <w:rtl/>
        </w:rPr>
        <w:t>,</w:t>
      </w:r>
      <w:r w:rsidR="001A391B" w:rsidRPr="001528D5">
        <w:rPr>
          <w:rFonts w:ascii="David" w:hAnsi="David" w:cs="David"/>
          <w:sz w:val="24"/>
          <w:szCs w:val="24"/>
          <w:rtl/>
        </w:rPr>
        <w:t xml:space="preserve"> שהרי בענין אישות הזנות אוסרת וכמו שאוסרת באשת איש ממש</w:t>
      </w:r>
      <w:r w:rsidR="001A391B">
        <w:rPr>
          <w:rFonts w:ascii="David" w:hAnsi="David" w:cs="David" w:hint="cs"/>
          <w:sz w:val="24"/>
          <w:szCs w:val="24"/>
          <w:rtl/>
        </w:rPr>
        <w:t>.</w:t>
      </w:r>
      <w:r w:rsidR="001A391B" w:rsidRPr="001528D5">
        <w:rPr>
          <w:rFonts w:ascii="David" w:hAnsi="David" w:cs="David"/>
          <w:sz w:val="24"/>
          <w:szCs w:val="24"/>
          <w:rtl/>
        </w:rPr>
        <w:t xml:space="preserve"> ושמואל ס"ל דאיסור יבמה לשוק איסור ביאה גרידא הוא</w:t>
      </w:r>
      <w:r w:rsidR="001A391B">
        <w:rPr>
          <w:rFonts w:ascii="David" w:hAnsi="David" w:cs="David" w:hint="cs"/>
          <w:sz w:val="24"/>
          <w:szCs w:val="24"/>
          <w:rtl/>
        </w:rPr>
        <w:t>,</w:t>
      </w:r>
      <w:r w:rsidR="001A391B" w:rsidRPr="001528D5">
        <w:rPr>
          <w:rFonts w:ascii="David" w:hAnsi="David" w:cs="David"/>
          <w:sz w:val="24"/>
          <w:szCs w:val="24"/>
          <w:rtl/>
        </w:rPr>
        <w:t xml:space="preserve"> ולא מחמת עניין אישות כלל</w:t>
      </w:r>
      <w:r w:rsidR="001A391B">
        <w:rPr>
          <w:rFonts w:ascii="David" w:hAnsi="David" w:cs="David" w:hint="cs"/>
          <w:sz w:val="24"/>
          <w:szCs w:val="24"/>
          <w:rtl/>
        </w:rPr>
        <w:t xml:space="preserve">.. </w:t>
      </w:r>
      <w:r w:rsidR="001A391B" w:rsidRPr="001528D5">
        <w:rPr>
          <w:rFonts w:ascii="David" w:hAnsi="David" w:cs="David"/>
          <w:sz w:val="24"/>
          <w:szCs w:val="24"/>
          <w:rtl/>
        </w:rPr>
        <w:t>וע"כ אין כאן שום טעם שתיאסר בזנותה ליבם</w:t>
      </w:r>
      <w:r w:rsidR="001A391B">
        <w:rPr>
          <w:rFonts w:ascii="David" w:hAnsi="David" w:cs="David" w:hint="cs"/>
          <w:sz w:val="24"/>
          <w:szCs w:val="24"/>
          <w:rtl/>
        </w:rPr>
        <w:t>.</w:t>
      </w:r>
      <w:r w:rsidR="001A391B" w:rsidRPr="001528D5">
        <w:rPr>
          <w:rFonts w:ascii="David" w:hAnsi="David" w:cs="David"/>
          <w:sz w:val="24"/>
          <w:szCs w:val="24"/>
          <w:rtl/>
        </w:rPr>
        <w:t xml:space="preserve"> ושפיר נקטו לישנא ד</w:t>
      </w:r>
      <w:r w:rsidR="001A391B">
        <w:rPr>
          <w:rFonts w:ascii="David" w:hAnsi="David" w:cs="David" w:hint="cs"/>
          <w:sz w:val="24"/>
          <w:szCs w:val="24"/>
          <w:rtl/>
        </w:rPr>
        <w:t>'</w:t>
      </w:r>
      <w:r w:rsidR="001A391B" w:rsidRPr="001528D5">
        <w:rPr>
          <w:rFonts w:ascii="David" w:hAnsi="David" w:cs="David"/>
          <w:sz w:val="24"/>
          <w:szCs w:val="24"/>
          <w:rtl/>
        </w:rPr>
        <w:t>הרי היא כאשת איש ואינה כאשת איש</w:t>
      </w:r>
      <w:r w:rsidR="001A391B">
        <w:rPr>
          <w:rFonts w:ascii="David" w:hAnsi="David" w:cs="David" w:hint="cs"/>
          <w:sz w:val="24"/>
          <w:szCs w:val="24"/>
          <w:rtl/>
        </w:rPr>
        <w:t>',</w:t>
      </w:r>
      <w:r w:rsidR="001A391B" w:rsidRPr="001528D5">
        <w:rPr>
          <w:rFonts w:ascii="David" w:hAnsi="David" w:cs="David"/>
          <w:sz w:val="24"/>
          <w:szCs w:val="24"/>
          <w:rtl/>
        </w:rPr>
        <w:t xml:space="preserve"> דזהו עיקר פלוגתתם</w:t>
      </w:r>
      <w:r w:rsidR="001A391B">
        <w:rPr>
          <w:rFonts w:ascii="David" w:hAnsi="David" w:cs="David" w:hint="cs"/>
          <w:sz w:val="24"/>
          <w:szCs w:val="24"/>
          <w:rtl/>
        </w:rPr>
        <w:t xml:space="preserve">.. </w:t>
      </w:r>
      <w:r w:rsidR="001A391B" w:rsidRPr="001528D5">
        <w:rPr>
          <w:rFonts w:ascii="David" w:hAnsi="David" w:cs="David"/>
          <w:sz w:val="24"/>
          <w:szCs w:val="24"/>
          <w:rtl/>
        </w:rPr>
        <w:t xml:space="preserve">ועי"ל בהסברת פלוגתת רב ושמואל הנ"ל דפליגי בשני הסברות הנזכרות בש"ס </w:t>
      </w:r>
      <w:r w:rsidR="001A391B" w:rsidRPr="001A391B">
        <w:rPr>
          <w:rFonts w:ascii="David" w:hAnsi="David" w:cs="David"/>
          <w:sz w:val="18"/>
          <w:szCs w:val="18"/>
          <w:rtl/>
        </w:rPr>
        <w:t>קידושין י"ד א' וגיטין פ"ג ב'</w:t>
      </w:r>
      <w:r w:rsidR="001A391B" w:rsidRPr="001A391B">
        <w:rPr>
          <w:rFonts w:ascii="David" w:hAnsi="David" w:cs="David" w:hint="cs"/>
          <w:sz w:val="18"/>
          <w:szCs w:val="18"/>
          <w:rtl/>
        </w:rPr>
        <w:t>..</w:t>
      </w:r>
      <w:r w:rsidR="001A391B">
        <w:rPr>
          <w:rFonts w:ascii="David" w:hAnsi="David" w:cs="David" w:hint="cs"/>
          <w:sz w:val="24"/>
          <w:szCs w:val="24"/>
          <w:rtl/>
        </w:rPr>
        <w:t xml:space="preserve"> </w:t>
      </w:r>
      <w:r w:rsidR="001A391B" w:rsidRPr="001528D5">
        <w:rPr>
          <w:rFonts w:ascii="David" w:hAnsi="David" w:cs="David"/>
          <w:sz w:val="24"/>
          <w:szCs w:val="24"/>
          <w:rtl/>
        </w:rPr>
        <w:t>דמצינו שם ב' סברות בענין איסור יבמה לשוק</w:t>
      </w:r>
      <w:r w:rsidR="00820D19">
        <w:rPr>
          <w:rFonts w:ascii="David" w:hAnsi="David" w:cs="David" w:hint="cs"/>
          <w:sz w:val="24"/>
          <w:szCs w:val="24"/>
          <w:rtl/>
        </w:rPr>
        <w:t>:</w:t>
      </w:r>
      <w:r w:rsidR="001A391B" w:rsidRPr="001528D5">
        <w:rPr>
          <w:rFonts w:ascii="David" w:hAnsi="David" w:cs="David"/>
          <w:sz w:val="24"/>
          <w:szCs w:val="24"/>
          <w:rtl/>
        </w:rPr>
        <w:t xml:space="preserve"> א' שאישות הבעל עדיין לא נסתלקה לגמרי ואיסורה עדיין מכח הבעל</w:t>
      </w:r>
      <w:r w:rsidR="00820D19">
        <w:rPr>
          <w:rFonts w:ascii="David" w:hAnsi="David" w:cs="David" w:hint="cs"/>
          <w:sz w:val="24"/>
          <w:szCs w:val="24"/>
          <w:rtl/>
        </w:rPr>
        <w:t>,</w:t>
      </w:r>
      <w:r w:rsidR="001A391B" w:rsidRPr="001528D5">
        <w:rPr>
          <w:rFonts w:ascii="David" w:hAnsi="David" w:cs="David"/>
          <w:sz w:val="24"/>
          <w:szCs w:val="24"/>
          <w:rtl/>
        </w:rPr>
        <w:t xml:space="preserve"> ב' </w:t>
      </w:r>
      <w:r w:rsidR="00820D19">
        <w:rPr>
          <w:rFonts w:ascii="David" w:hAnsi="David" w:cs="David" w:hint="cs"/>
          <w:sz w:val="24"/>
          <w:szCs w:val="24"/>
          <w:rtl/>
        </w:rPr>
        <w:t xml:space="preserve">- </w:t>
      </w:r>
      <w:r w:rsidR="001A391B" w:rsidRPr="001528D5">
        <w:rPr>
          <w:rFonts w:ascii="David" w:hAnsi="David" w:cs="David"/>
          <w:sz w:val="24"/>
          <w:szCs w:val="24"/>
          <w:rtl/>
        </w:rPr>
        <w:t>שאין איסורה עתה מכח הבעל</w:t>
      </w:r>
      <w:r w:rsidR="00820D19">
        <w:rPr>
          <w:rFonts w:ascii="David" w:hAnsi="David" w:cs="David" w:hint="cs"/>
          <w:sz w:val="24"/>
          <w:szCs w:val="24"/>
          <w:rtl/>
        </w:rPr>
        <w:t>,</w:t>
      </w:r>
      <w:r w:rsidR="001A391B" w:rsidRPr="001528D5">
        <w:rPr>
          <w:rFonts w:ascii="David" w:hAnsi="David" w:cs="David"/>
          <w:sz w:val="24"/>
          <w:szCs w:val="24"/>
          <w:rtl/>
        </w:rPr>
        <w:t xml:space="preserve"> כ"א שהיבם הוא האוסר</w:t>
      </w:r>
      <w:r w:rsidR="00820D19">
        <w:rPr>
          <w:rFonts w:ascii="David" w:hAnsi="David" w:cs="David" w:hint="cs"/>
          <w:sz w:val="24"/>
          <w:szCs w:val="24"/>
          <w:rtl/>
        </w:rPr>
        <w:t>.</w:t>
      </w:r>
      <w:r w:rsidR="001A391B" w:rsidRPr="001528D5">
        <w:rPr>
          <w:rFonts w:ascii="David" w:hAnsi="David" w:cs="David"/>
          <w:sz w:val="24"/>
          <w:szCs w:val="24"/>
          <w:rtl/>
        </w:rPr>
        <w:t xml:space="preserve"> וכמו שבארתי למעלה בהא דס"ל להמקשן בסוגיות דקידושין ודגיטין הנ"ל שאין היבם האוסר</w:t>
      </w:r>
      <w:r w:rsidR="00820D19">
        <w:rPr>
          <w:rFonts w:ascii="David" w:hAnsi="David" w:cs="David" w:hint="cs"/>
          <w:sz w:val="24"/>
          <w:szCs w:val="24"/>
          <w:rtl/>
        </w:rPr>
        <w:t>,</w:t>
      </w:r>
      <w:r w:rsidR="001A391B" w:rsidRPr="001528D5">
        <w:rPr>
          <w:rFonts w:ascii="David" w:hAnsi="David" w:cs="David"/>
          <w:sz w:val="24"/>
          <w:szCs w:val="24"/>
          <w:rtl/>
        </w:rPr>
        <w:t xml:space="preserve"> והתרצן חידש דהיבם אסר והיבם שרי לה</w:t>
      </w:r>
      <w:r w:rsidR="001A391B">
        <w:rPr>
          <w:rFonts w:ascii="David" w:hAnsi="David" w:cs="David" w:hint="cs"/>
          <w:sz w:val="24"/>
          <w:szCs w:val="24"/>
          <w:rtl/>
        </w:rPr>
        <w:t xml:space="preserve">..   </w:t>
      </w:r>
      <w:r w:rsidR="001A391B" w:rsidRPr="001528D5">
        <w:rPr>
          <w:rFonts w:ascii="David" w:hAnsi="David" w:cs="David"/>
          <w:sz w:val="24"/>
          <w:szCs w:val="24"/>
          <w:rtl/>
        </w:rPr>
        <w:t>ס"ל לרב דיש אישות בינה ובין היבם ומכח היבם היא אסורה לעלמא</w:t>
      </w:r>
      <w:r w:rsidR="001A391B">
        <w:rPr>
          <w:rFonts w:ascii="David" w:hAnsi="David" w:cs="David" w:hint="cs"/>
          <w:sz w:val="24"/>
          <w:szCs w:val="24"/>
          <w:rtl/>
        </w:rPr>
        <w:t>.</w:t>
      </w:r>
      <w:r w:rsidR="001A391B" w:rsidRPr="001528D5">
        <w:rPr>
          <w:rFonts w:ascii="David" w:hAnsi="David" w:cs="David"/>
          <w:sz w:val="24"/>
          <w:szCs w:val="24"/>
          <w:rtl/>
        </w:rPr>
        <w:t xml:space="preserve"> וע"כ כיון שהיבם אוסר</w:t>
      </w:r>
      <w:r w:rsidR="00820D19">
        <w:rPr>
          <w:rFonts w:ascii="David" w:hAnsi="David" w:cs="David" w:hint="cs"/>
          <w:sz w:val="24"/>
          <w:szCs w:val="24"/>
          <w:rtl/>
        </w:rPr>
        <w:t>-</w:t>
      </w:r>
      <w:r w:rsidR="001A391B" w:rsidRPr="001528D5">
        <w:rPr>
          <w:rFonts w:ascii="David" w:hAnsi="David" w:cs="David"/>
          <w:sz w:val="24"/>
          <w:szCs w:val="24"/>
          <w:rtl/>
        </w:rPr>
        <w:t xml:space="preserve"> לכן הוא ג"כ נאסר</w:t>
      </w:r>
      <w:r w:rsidR="00820D19">
        <w:rPr>
          <w:rFonts w:ascii="David" w:hAnsi="David" w:cs="David" w:hint="cs"/>
          <w:sz w:val="24"/>
          <w:szCs w:val="24"/>
          <w:rtl/>
        </w:rPr>
        <w:t>.</w:t>
      </w:r>
      <w:r w:rsidR="001A391B" w:rsidRPr="001528D5">
        <w:rPr>
          <w:rFonts w:ascii="David" w:hAnsi="David" w:cs="David"/>
          <w:sz w:val="24"/>
          <w:szCs w:val="24"/>
          <w:rtl/>
        </w:rPr>
        <w:t xml:space="preserve"> וע"כ שומרת יבם שזינתה אסורה ליבמה</w:t>
      </w:r>
      <w:r w:rsidR="001A391B">
        <w:rPr>
          <w:rFonts w:ascii="David" w:hAnsi="David" w:cs="David" w:hint="cs"/>
          <w:sz w:val="24"/>
          <w:szCs w:val="24"/>
          <w:rtl/>
        </w:rPr>
        <w:t>.</w:t>
      </w:r>
      <w:r w:rsidR="001A391B" w:rsidRPr="001528D5">
        <w:rPr>
          <w:rFonts w:ascii="David" w:hAnsi="David" w:cs="David"/>
          <w:sz w:val="24"/>
          <w:szCs w:val="24"/>
          <w:rtl/>
        </w:rPr>
        <w:t xml:space="preserve"> ושמואל ס"ל שאיסורה עדיין מכח הבעל</w:t>
      </w:r>
      <w:r w:rsidR="00820D19">
        <w:rPr>
          <w:rFonts w:ascii="David" w:hAnsi="David" w:cs="David" w:hint="cs"/>
          <w:sz w:val="24"/>
          <w:szCs w:val="24"/>
          <w:rtl/>
        </w:rPr>
        <w:t>,</w:t>
      </w:r>
      <w:r w:rsidR="001A391B" w:rsidRPr="001528D5">
        <w:rPr>
          <w:rFonts w:ascii="David" w:hAnsi="David" w:cs="David"/>
          <w:sz w:val="24"/>
          <w:szCs w:val="24"/>
          <w:rtl/>
        </w:rPr>
        <w:t xml:space="preserve"> לא מכח היבם</w:t>
      </w:r>
      <w:r w:rsidR="00820D19">
        <w:rPr>
          <w:rFonts w:ascii="David" w:hAnsi="David" w:cs="David" w:hint="cs"/>
          <w:sz w:val="24"/>
          <w:szCs w:val="24"/>
          <w:rtl/>
        </w:rPr>
        <w:t>.</w:t>
      </w:r>
      <w:r w:rsidR="001A391B" w:rsidRPr="001528D5">
        <w:rPr>
          <w:rFonts w:ascii="David" w:hAnsi="David" w:cs="David"/>
          <w:sz w:val="24"/>
          <w:szCs w:val="24"/>
          <w:rtl/>
        </w:rPr>
        <w:t xml:space="preserve"> וא"כ אין היבם האוסר וממילא ג"כ אין נאסר</w:t>
      </w:r>
      <w:r w:rsidR="00820D19">
        <w:rPr>
          <w:rFonts w:ascii="David" w:hAnsi="David" w:cs="David" w:hint="cs"/>
          <w:sz w:val="24"/>
          <w:szCs w:val="24"/>
          <w:rtl/>
        </w:rPr>
        <w:t>,</w:t>
      </w:r>
      <w:r w:rsidR="001A391B" w:rsidRPr="001528D5">
        <w:rPr>
          <w:rFonts w:ascii="David" w:hAnsi="David" w:cs="David"/>
          <w:sz w:val="24"/>
          <w:szCs w:val="24"/>
          <w:rtl/>
        </w:rPr>
        <w:t xml:space="preserve"> וע"כ אינה נאסרת ליבם ע"י ביאת זנות</w:t>
      </w:r>
      <w:r w:rsidR="001A391B">
        <w:rPr>
          <w:rFonts w:ascii="David" w:hAnsi="David" w:cs="David" w:hint="cs"/>
          <w:sz w:val="24"/>
          <w:szCs w:val="24"/>
          <w:rtl/>
        </w:rPr>
        <w:t>.</w:t>
      </w:r>
    </w:p>
    <w:p w14:paraId="08B0488A" w14:textId="7FCBC1ED" w:rsidR="001A391B" w:rsidRDefault="001A391B" w:rsidP="001A391B">
      <w:pPr>
        <w:spacing w:after="0" w:line="360" w:lineRule="auto"/>
        <w:rPr>
          <w:rFonts w:ascii="David" w:hAnsi="David" w:cs="David"/>
          <w:sz w:val="24"/>
          <w:szCs w:val="24"/>
          <w:rtl/>
        </w:rPr>
      </w:pPr>
      <w:r w:rsidRPr="001528D5">
        <w:rPr>
          <w:rFonts w:ascii="David" w:hAnsi="David" w:cs="David"/>
          <w:sz w:val="24"/>
          <w:szCs w:val="24"/>
          <w:rtl/>
        </w:rPr>
        <w:t xml:space="preserve"> אולם</w:t>
      </w:r>
      <w:r>
        <w:rPr>
          <w:rFonts w:ascii="David" w:hAnsi="David" w:cs="David" w:hint="cs"/>
          <w:sz w:val="24"/>
          <w:szCs w:val="24"/>
          <w:rtl/>
        </w:rPr>
        <w:t xml:space="preserve">... </w:t>
      </w:r>
      <w:r w:rsidRPr="001528D5">
        <w:rPr>
          <w:rFonts w:ascii="David" w:hAnsi="David" w:cs="David"/>
          <w:sz w:val="24"/>
          <w:szCs w:val="24"/>
          <w:rtl/>
        </w:rPr>
        <w:t xml:space="preserve">מדאמרו סתם הרי היא כא"א ואינה כא"א מוכח </w:t>
      </w:r>
      <w:r w:rsidRPr="006B0B1C">
        <w:rPr>
          <w:rFonts w:ascii="David" w:hAnsi="David" w:cs="David"/>
          <w:b/>
          <w:bCs/>
          <w:sz w:val="24"/>
          <w:szCs w:val="24"/>
          <w:rtl/>
        </w:rPr>
        <w:t>דלרב איסורה מכח אישות</w:t>
      </w:r>
      <w:r w:rsidR="007378D3">
        <w:rPr>
          <w:rStyle w:val="a6"/>
          <w:rFonts w:ascii="David" w:hAnsi="David" w:cs="David"/>
          <w:b/>
          <w:bCs/>
          <w:sz w:val="24"/>
          <w:szCs w:val="24"/>
          <w:rtl/>
        </w:rPr>
        <w:footnoteReference w:id="30"/>
      </w:r>
      <w:r w:rsidRPr="006B0B1C">
        <w:rPr>
          <w:rFonts w:ascii="David" w:hAnsi="David" w:cs="David"/>
          <w:b/>
          <w:bCs/>
          <w:sz w:val="24"/>
          <w:szCs w:val="24"/>
          <w:rtl/>
        </w:rPr>
        <w:t xml:space="preserve"> ולשמואל איסורה איסור ביאה גרידא הוא ולא מכח עניין אישות כלל</w:t>
      </w:r>
      <w:r w:rsidRPr="001528D5">
        <w:rPr>
          <w:rFonts w:ascii="David" w:hAnsi="David" w:cs="David"/>
          <w:sz w:val="24"/>
          <w:szCs w:val="24"/>
          <w:rtl/>
        </w:rPr>
        <w:t xml:space="preserve"> וכמו שכתבתי ראשונה</w:t>
      </w:r>
      <w:r>
        <w:rPr>
          <w:rFonts w:ascii="David" w:hAnsi="David" w:cs="David" w:hint="cs"/>
          <w:sz w:val="24"/>
          <w:szCs w:val="24"/>
          <w:rtl/>
        </w:rPr>
        <w:t>...</w:t>
      </w:r>
      <w:r w:rsidRPr="001528D5">
        <w:rPr>
          <w:rFonts w:ascii="David" w:hAnsi="David" w:cs="David"/>
          <w:sz w:val="24"/>
          <w:szCs w:val="24"/>
          <w:rtl/>
        </w:rPr>
        <w:t xml:space="preserve"> </w:t>
      </w:r>
    </w:p>
    <w:p w14:paraId="0BA52475" w14:textId="2532E83B" w:rsidR="00AB3153" w:rsidRPr="001A391B" w:rsidRDefault="001A391B" w:rsidP="00820D19">
      <w:pPr>
        <w:spacing w:after="0" w:line="360" w:lineRule="auto"/>
        <w:rPr>
          <w:rFonts w:ascii="David" w:hAnsi="David" w:cs="David"/>
          <w:sz w:val="24"/>
          <w:szCs w:val="24"/>
        </w:rPr>
      </w:pPr>
      <w:r w:rsidRPr="001528D5">
        <w:rPr>
          <w:rFonts w:ascii="David" w:hAnsi="David" w:cs="David"/>
          <w:sz w:val="24"/>
          <w:szCs w:val="24"/>
          <w:rtl/>
        </w:rPr>
        <w:t>אולם לענין איסור עריות הנאסרות ע"י קידושין כגון אשת אב וכדומה</w:t>
      </w:r>
      <w:r w:rsidR="00820D19">
        <w:rPr>
          <w:rFonts w:ascii="David" w:hAnsi="David" w:cs="David" w:hint="cs"/>
          <w:sz w:val="24"/>
          <w:szCs w:val="24"/>
          <w:rtl/>
        </w:rPr>
        <w:t>,</w:t>
      </w:r>
      <w:r w:rsidRPr="001528D5">
        <w:rPr>
          <w:rFonts w:ascii="David" w:hAnsi="David" w:cs="David"/>
          <w:sz w:val="24"/>
          <w:szCs w:val="24"/>
          <w:rtl/>
        </w:rPr>
        <w:t xml:space="preserve"> דאסירי אפי' לאחר מיתה</w:t>
      </w:r>
      <w:r w:rsidR="00820D19">
        <w:rPr>
          <w:rFonts w:ascii="David" w:hAnsi="David" w:cs="David" w:hint="cs"/>
          <w:sz w:val="24"/>
          <w:szCs w:val="24"/>
          <w:rtl/>
        </w:rPr>
        <w:t>,</w:t>
      </w:r>
      <w:r w:rsidRPr="001528D5">
        <w:rPr>
          <w:rFonts w:ascii="David" w:hAnsi="David" w:cs="David"/>
          <w:sz w:val="24"/>
          <w:szCs w:val="24"/>
          <w:rtl/>
        </w:rPr>
        <w:t xml:space="preserve"> יש להסתפק באמת אם טעם האיסור לפי שגם אחרי מיתת הבעל אכתי היא אשתו לעניין שתיאסר בקרוביו</w:t>
      </w:r>
      <w:r w:rsidR="00820D19">
        <w:rPr>
          <w:rFonts w:ascii="David" w:hAnsi="David" w:cs="David" w:hint="cs"/>
          <w:sz w:val="24"/>
          <w:szCs w:val="24"/>
          <w:rtl/>
        </w:rPr>
        <w:t>,</w:t>
      </w:r>
      <w:r w:rsidRPr="001528D5">
        <w:rPr>
          <w:rFonts w:ascii="David" w:hAnsi="David" w:cs="David"/>
          <w:sz w:val="24"/>
          <w:szCs w:val="24"/>
          <w:rtl/>
        </w:rPr>
        <w:t xml:space="preserve"> או דילמא האיסור הוא רק מפאת שהית' פעם אחת אשתו</w:t>
      </w:r>
      <w:r w:rsidR="00820D19">
        <w:rPr>
          <w:rFonts w:ascii="David" w:hAnsi="David" w:cs="David" w:hint="cs"/>
          <w:sz w:val="24"/>
          <w:szCs w:val="24"/>
          <w:rtl/>
        </w:rPr>
        <w:t>,</w:t>
      </w:r>
      <w:r w:rsidRPr="001528D5">
        <w:rPr>
          <w:rFonts w:ascii="David" w:hAnsi="David" w:cs="David"/>
          <w:sz w:val="24"/>
          <w:szCs w:val="24"/>
          <w:rtl/>
        </w:rPr>
        <w:t xml:space="preserve"> אבל עתה באמת אין עוד שום אישות כלל בינו לבינה</w:t>
      </w:r>
      <w:r>
        <w:rPr>
          <w:rStyle w:val="a6"/>
          <w:rFonts w:ascii="David" w:hAnsi="David" w:cs="David"/>
          <w:sz w:val="24"/>
          <w:szCs w:val="24"/>
          <w:rtl/>
        </w:rPr>
        <w:footnoteReference w:id="31"/>
      </w:r>
      <w:r w:rsidR="00820D19">
        <w:rPr>
          <w:rFonts w:ascii="David" w:hAnsi="David" w:cs="David" w:hint="cs"/>
          <w:sz w:val="24"/>
          <w:szCs w:val="24"/>
          <w:rtl/>
        </w:rPr>
        <w:t xml:space="preserve">.. </w:t>
      </w:r>
      <w:r w:rsidRPr="001528D5">
        <w:rPr>
          <w:rFonts w:ascii="David" w:hAnsi="David" w:cs="David"/>
          <w:sz w:val="24"/>
          <w:szCs w:val="24"/>
          <w:rtl/>
        </w:rPr>
        <w:t xml:space="preserve"> מהא דקרובות הנאסרות ע"י קידושין הם אסורות גם אחרי שנתגרשו מוכח להדיא</w:t>
      </w:r>
      <w:r w:rsidR="00820D19">
        <w:rPr>
          <w:rFonts w:ascii="David" w:hAnsi="David" w:cs="David" w:hint="cs"/>
          <w:sz w:val="24"/>
          <w:szCs w:val="24"/>
          <w:rtl/>
        </w:rPr>
        <w:t xml:space="preserve">.. </w:t>
      </w:r>
      <w:r w:rsidRPr="001528D5">
        <w:rPr>
          <w:rFonts w:ascii="David" w:hAnsi="David" w:cs="David"/>
          <w:sz w:val="24"/>
          <w:szCs w:val="24"/>
          <w:rtl/>
        </w:rPr>
        <w:t>דאין האיסור מפאת שיש עדיין אישות</w:t>
      </w:r>
      <w:r w:rsidR="00820D19">
        <w:rPr>
          <w:rFonts w:ascii="David" w:hAnsi="David" w:cs="David" w:hint="cs"/>
          <w:sz w:val="24"/>
          <w:szCs w:val="24"/>
          <w:rtl/>
        </w:rPr>
        <w:t>,</w:t>
      </w:r>
      <w:r w:rsidRPr="001528D5">
        <w:rPr>
          <w:rFonts w:ascii="David" w:hAnsi="David" w:cs="David"/>
          <w:sz w:val="24"/>
          <w:szCs w:val="24"/>
          <w:rtl/>
        </w:rPr>
        <w:t xml:space="preserve"> רק </w:t>
      </w:r>
      <w:r w:rsidRPr="00820D19">
        <w:rPr>
          <w:rFonts w:ascii="David" w:hAnsi="David" w:cs="David"/>
          <w:b/>
          <w:bCs/>
          <w:sz w:val="24"/>
          <w:szCs w:val="24"/>
          <w:rtl/>
        </w:rPr>
        <w:t>מפאת האישות שהי' כבר</w:t>
      </w:r>
      <w:r w:rsidR="00820D19">
        <w:rPr>
          <w:rFonts w:ascii="David" w:hAnsi="David" w:cs="David" w:hint="cs"/>
          <w:b/>
          <w:bCs/>
          <w:sz w:val="24"/>
          <w:szCs w:val="24"/>
          <w:rtl/>
        </w:rPr>
        <w:t>.</w:t>
      </w:r>
      <w:r w:rsidRPr="001528D5">
        <w:rPr>
          <w:rFonts w:ascii="David" w:hAnsi="David" w:cs="David"/>
          <w:sz w:val="24"/>
          <w:szCs w:val="24"/>
          <w:rtl/>
        </w:rPr>
        <w:t xml:space="preserve"> דהרי בנתגרשה </w:t>
      </w:r>
      <w:r w:rsidR="00820D19">
        <w:rPr>
          <w:rFonts w:ascii="David" w:hAnsi="David" w:cs="David" w:hint="cs"/>
          <w:sz w:val="24"/>
          <w:szCs w:val="24"/>
          <w:rtl/>
        </w:rPr>
        <w:t>,</w:t>
      </w:r>
      <w:r w:rsidRPr="001528D5">
        <w:rPr>
          <w:rFonts w:ascii="David" w:hAnsi="David" w:cs="David"/>
          <w:sz w:val="24"/>
          <w:szCs w:val="24"/>
          <w:rtl/>
        </w:rPr>
        <w:t>א"א שישאר איזה עניין אישות בינה לבינו</w:t>
      </w:r>
      <w:r w:rsidR="00820D19">
        <w:rPr>
          <w:rFonts w:ascii="David" w:hAnsi="David" w:cs="David" w:hint="cs"/>
          <w:sz w:val="24"/>
          <w:szCs w:val="24"/>
          <w:rtl/>
        </w:rPr>
        <w:t>-</w:t>
      </w:r>
      <w:r w:rsidRPr="001528D5">
        <w:rPr>
          <w:rFonts w:ascii="David" w:hAnsi="David" w:cs="David"/>
          <w:sz w:val="24"/>
          <w:szCs w:val="24"/>
          <w:rtl/>
        </w:rPr>
        <w:t xml:space="preserve"> דא"כ היאך היא ניתרת לעלמא ע"י הגט</w:t>
      </w:r>
      <w:r w:rsidR="00820D19">
        <w:rPr>
          <w:rFonts w:ascii="David" w:hAnsi="David" w:cs="David" w:hint="cs"/>
          <w:sz w:val="24"/>
          <w:szCs w:val="24"/>
          <w:rtl/>
        </w:rPr>
        <w:t>?</w:t>
      </w:r>
      <w:r w:rsidRPr="001528D5">
        <w:rPr>
          <w:rFonts w:ascii="David" w:hAnsi="David" w:cs="David"/>
          <w:sz w:val="24"/>
          <w:szCs w:val="24"/>
          <w:rtl/>
        </w:rPr>
        <w:t xml:space="preserve"> הרי מבואר בגיטין </w:t>
      </w:r>
      <w:r w:rsidRPr="00820D19">
        <w:rPr>
          <w:rFonts w:ascii="David" w:hAnsi="David" w:cs="David"/>
          <w:sz w:val="18"/>
          <w:szCs w:val="18"/>
          <w:rtl/>
        </w:rPr>
        <w:t>ר"פ המגרש</w:t>
      </w:r>
      <w:r w:rsidRPr="001528D5">
        <w:rPr>
          <w:rFonts w:ascii="David" w:hAnsi="David" w:cs="David"/>
          <w:sz w:val="24"/>
          <w:szCs w:val="24"/>
          <w:rtl/>
        </w:rPr>
        <w:t xml:space="preserve"> דכל שיש שיור מה בגט</w:t>
      </w:r>
      <w:r w:rsidR="00820D19">
        <w:rPr>
          <w:rFonts w:ascii="David" w:hAnsi="David" w:cs="David" w:hint="cs"/>
          <w:sz w:val="24"/>
          <w:szCs w:val="24"/>
          <w:rtl/>
        </w:rPr>
        <w:t>,</w:t>
      </w:r>
      <w:r w:rsidRPr="001528D5">
        <w:rPr>
          <w:rFonts w:ascii="David" w:hAnsi="David" w:cs="David"/>
          <w:sz w:val="24"/>
          <w:szCs w:val="24"/>
          <w:rtl/>
        </w:rPr>
        <w:t xml:space="preserve"> אז אין הגט מתיר</w:t>
      </w:r>
      <w:r w:rsidR="00820D19">
        <w:rPr>
          <w:rFonts w:ascii="David" w:hAnsi="David" w:cs="David" w:hint="cs"/>
          <w:sz w:val="24"/>
          <w:szCs w:val="24"/>
          <w:rtl/>
        </w:rPr>
        <w:t>,</w:t>
      </w:r>
      <w:r w:rsidRPr="001528D5">
        <w:rPr>
          <w:rFonts w:ascii="David" w:hAnsi="David" w:cs="David"/>
          <w:sz w:val="24"/>
          <w:szCs w:val="24"/>
          <w:rtl/>
        </w:rPr>
        <w:t xml:space="preserve"> משום דלא הוי כריתות</w:t>
      </w:r>
      <w:r>
        <w:rPr>
          <w:rFonts w:ascii="David" w:hAnsi="David" w:cs="David" w:hint="cs"/>
          <w:sz w:val="24"/>
          <w:szCs w:val="24"/>
          <w:rtl/>
        </w:rPr>
        <w:t>.</w:t>
      </w:r>
      <w:r w:rsidRPr="001528D5">
        <w:rPr>
          <w:rFonts w:ascii="David" w:hAnsi="David" w:cs="David"/>
          <w:sz w:val="24"/>
          <w:szCs w:val="24"/>
          <w:rtl/>
        </w:rPr>
        <w:t xml:space="preserve"> ועוד</w:t>
      </w:r>
      <w:r w:rsidR="00820D19">
        <w:rPr>
          <w:rFonts w:ascii="David" w:hAnsi="David" w:cs="David" w:hint="cs"/>
          <w:sz w:val="24"/>
          <w:szCs w:val="24"/>
          <w:rtl/>
        </w:rPr>
        <w:t xml:space="preserve">... </w:t>
      </w:r>
      <w:r w:rsidRPr="001528D5">
        <w:rPr>
          <w:rFonts w:ascii="David" w:hAnsi="David" w:cs="David"/>
          <w:sz w:val="24"/>
          <w:szCs w:val="24"/>
          <w:rtl/>
        </w:rPr>
        <w:t>נישאת לאחר ונתאלמנה או נתגרשה מן האחר הי' ראוי שתהי' מותרת אז גם לקרובי הראשון</w:t>
      </w:r>
      <w:r w:rsidR="00820D19">
        <w:rPr>
          <w:rFonts w:ascii="David" w:hAnsi="David" w:cs="David" w:hint="cs"/>
          <w:sz w:val="24"/>
          <w:szCs w:val="24"/>
          <w:rtl/>
        </w:rPr>
        <w:t>,</w:t>
      </w:r>
      <w:r w:rsidRPr="001528D5">
        <w:rPr>
          <w:rFonts w:ascii="David" w:hAnsi="David" w:cs="David"/>
          <w:sz w:val="24"/>
          <w:szCs w:val="24"/>
          <w:rtl/>
        </w:rPr>
        <w:t xml:space="preserve"> שהרי כשנישאת לאחר אז וודאי דפקע אישות הראשון לגמרי ע"י קידושי האחר ולא </w:t>
      </w:r>
      <w:r w:rsidRPr="001528D5">
        <w:rPr>
          <w:rFonts w:ascii="David" w:hAnsi="David" w:cs="David"/>
          <w:sz w:val="24"/>
          <w:szCs w:val="24"/>
          <w:rtl/>
        </w:rPr>
        <w:lastRenderedPageBreak/>
        <w:t>נשאר ממנו כלום</w:t>
      </w:r>
      <w:r>
        <w:rPr>
          <w:rFonts w:ascii="David" w:hAnsi="David" w:cs="David" w:hint="cs"/>
          <w:sz w:val="24"/>
          <w:szCs w:val="24"/>
          <w:rtl/>
        </w:rPr>
        <w:t xml:space="preserve">.. </w:t>
      </w:r>
      <w:r w:rsidRPr="001528D5">
        <w:rPr>
          <w:rFonts w:ascii="David" w:hAnsi="David" w:cs="David"/>
          <w:sz w:val="24"/>
          <w:szCs w:val="24"/>
          <w:rtl/>
        </w:rPr>
        <w:t>וא"כ על כרחך לומר דאיסורה לקרובי הבעל גם אז איננו מפאת אישות שישנו אז</w:t>
      </w:r>
      <w:r w:rsidR="00820D19">
        <w:rPr>
          <w:rFonts w:ascii="David" w:hAnsi="David" w:cs="David" w:hint="cs"/>
          <w:sz w:val="24"/>
          <w:szCs w:val="24"/>
          <w:rtl/>
        </w:rPr>
        <w:t>,</w:t>
      </w:r>
      <w:r w:rsidRPr="001528D5">
        <w:rPr>
          <w:rFonts w:ascii="David" w:hAnsi="David" w:cs="David"/>
          <w:sz w:val="24"/>
          <w:szCs w:val="24"/>
          <w:rtl/>
        </w:rPr>
        <w:t xml:space="preserve"> כ"א מפאת אישות דמעיקרא</w:t>
      </w:r>
      <w:r>
        <w:rPr>
          <w:rFonts w:ascii="David" w:hAnsi="David" w:cs="David" w:hint="cs"/>
          <w:sz w:val="24"/>
          <w:szCs w:val="24"/>
          <w:rtl/>
        </w:rPr>
        <w:t xml:space="preserve">, </w:t>
      </w:r>
      <w:r w:rsidRPr="001528D5">
        <w:rPr>
          <w:rFonts w:ascii="David" w:hAnsi="David" w:cs="David"/>
          <w:sz w:val="24"/>
          <w:szCs w:val="24"/>
          <w:rtl/>
        </w:rPr>
        <w:t>וא"כ ה"ה דמיד אחרי מיתת בעלה או גירושי' יש לנו לומר כן דפקע אישות הבעל לגמרי</w:t>
      </w:r>
      <w:r w:rsidR="00820D19">
        <w:rPr>
          <w:rFonts w:ascii="David" w:hAnsi="David" w:cs="David" w:hint="cs"/>
          <w:sz w:val="24"/>
          <w:szCs w:val="24"/>
          <w:rtl/>
        </w:rPr>
        <w:t>,</w:t>
      </w:r>
      <w:r w:rsidRPr="001528D5">
        <w:rPr>
          <w:rFonts w:ascii="David" w:hAnsi="David" w:cs="David"/>
          <w:sz w:val="24"/>
          <w:szCs w:val="24"/>
          <w:rtl/>
        </w:rPr>
        <w:t xml:space="preserve"> ואיסורה לקרוביו הוא רק מפאת שהית</w:t>
      </w:r>
      <w:r>
        <w:rPr>
          <w:rFonts w:ascii="David" w:hAnsi="David" w:cs="David" w:hint="cs"/>
          <w:sz w:val="24"/>
          <w:szCs w:val="24"/>
          <w:rtl/>
        </w:rPr>
        <w:t>ה</w:t>
      </w:r>
      <w:r w:rsidRPr="001528D5">
        <w:rPr>
          <w:rFonts w:ascii="David" w:hAnsi="David" w:cs="David"/>
          <w:sz w:val="24"/>
          <w:szCs w:val="24"/>
          <w:rtl/>
        </w:rPr>
        <w:t xml:space="preserve"> פעם אשתו</w:t>
      </w:r>
      <w:r w:rsidR="008632B6">
        <w:rPr>
          <w:rFonts w:ascii="David" w:hAnsi="David" w:cs="David" w:hint="cs"/>
          <w:sz w:val="24"/>
          <w:szCs w:val="24"/>
          <w:rtl/>
        </w:rPr>
        <w:t>"</w:t>
      </w:r>
      <w:r>
        <w:rPr>
          <w:rFonts w:ascii="David" w:hAnsi="David" w:cs="David" w:hint="cs"/>
          <w:sz w:val="24"/>
          <w:szCs w:val="24"/>
          <w:rtl/>
        </w:rPr>
        <w:t>.</w:t>
      </w:r>
    </w:p>
    <w:p w14:paraId="18A17D93" w14:textId="14E0B5A4" w:rsidR="00EE1258" w:rsidRPr="00FA2F10" w:rsidRDefault="00336893" w:rsidP="00FA2F10">
      <w:pPr>
        <w:pStyle w:val="a7"/>
        <w:numPr>
          <w:ilvl w:val="0"/>
          <w:numId w:val="4"/>
        </w:numPr>
        <w:spacing w:after="0" w:line="360" w:lineRule="auto"/>
        <w:rPr>
          <w:rFonts w:asciiTheme="majorBidi" w:hAnsiTheme="majorBidi" w:cstheme="majorBidi"/>
          <w:sz w:val="24"/>
          <w:szCs w:val="24"/>
          <w:rtl/>
        </w:rPr>
      </w:pPr>
      <w:r w:rsidRPr="00FA2F10">
        <w:rPr>
          <w:rFonts w:asciiTheme="majorBidi" w:hAnsiTheme="majorBidi" w:cstheme="majorBidi"/>
          <w:sz w:val="24"/>
          <w:szCs w:val="24"/>
          <w:rtl/>
        </w:rPr>
        <w:t>ההוא גיטא דאשתכח בי דינא דרב הונא, דהוה כתיב ביה: בשוירי מתא דעל רכיס נהרא. אמר רב הונא:</w:t>
      </w:r>
      <w:r w:rsidRPr="00FA2F10">
        <w:rPr>
          <w:rFonts w:asciiTheme="majorBidi" w:hAnsiTheme="majorBidi" w:cstheme="majorBidi" w:hint="cs"/>
          <w:sz w:val="24"/>
          <w:szCs w:val="24"/>
          <w:rtl/>
        </w:rPr>
        <w:t xml:space="preserve"> </w:t>
      </w:r>
      <w:r w:rsidRPr="00FA2F10">
        <w:rPr>
          <w:rFonts w:asciiTheme="majorBidi" w:hAnsiTheme="majorBidi" w:cs="Times New Roman"/>
          <w:sz w:val="24"/>
          <w:szCs w:val="24"/>
          <w:rtl/>
        </w:rPr>
        <w:t xml:space="preserve">חיישינן לשני שוירי. אמר ליה רב חסדא לרבה: פוק עיין, דלאורתא בעי לה רב הונא מינך. נפק דק ואשכח, דתנן: כל מעשה בית דין הרי זה יחזיר. אמר ליה רב עמרם לרבה: היכי פשיט מר איסורא מממונא? - אמר ליה: תרדא! </w:t>
      </w:r>
      <w:r w:rsidRPr="00FA2F10">
        <w:rPr>
          <w:rFonts w:asciiTheme="majorBidi" w:hAnsiTheme="majorBidi" w:cs="Times New Roman"/>
          <w:b/>
          <w:bCs/>
          <w:sz w:val="24"/>
          <w:szCs w:val="24"/>
          <w:rtl/>
        </w:rPr>
        <w:t xml:space="preserve">שטרי חליצה </w:t>
      </w:r>
      <w:r w:rsidRPr="00FA2F10">
        <w:rPr>
          <w:rFonts w:asciiTheme="majorBidi" w:hAnsiTheme="majorBidi" w:cs="Times New Roman"/>
          <w:sz w:val="24"/>
          <w:szCs w:val="24"/>
          <w:rtl/>
        </w:rPr>
        <w:t>ומיאונין</w:t>
      </w:r>
      <w:r w:rsidRPr="00FA2F10">
        <w:rPr>
          <w:rFonts w:asciiTheme="majorBidi" w:hAnsiTheme="majorBidi" w:cs="Times New Roman"/>
          <w:b/>
          <w:bCs/>
          <w:sz w:val="24"/>
          <w:szCs w:val="24"/>
          <w:rtl/>
        </w:rPr>
        <w:t xml:space="preserve"> תנן</w:t>
      </w:r>
      <w:r w:rsidR="00FA2F10">
        <w:rPr>
          <w:rStyle w:val="a6"/>
          <w:rFonts w:asciiTheme="majorBidi" w:hAnsiTheme="majorBidi" w:cs="Times New Roman"/>
          <w:b/>
          <w:bCs/>
          <w:sz w:val="24"/>
          <w:szCs w:val="24"/>
          <w:rtl/>
        </w:rPr>
        <w:footnoteReference w:id="32"/>
      </w:r>
      <w:r w:rsidR="00FA2F10" w:rsidRPr="00FA2F10">
        <w:rPr>
          <w:rFonts w:asciiTheme="majorBidi" w:hAnsiTheme="majorBidi" w:cs="Times New Roman" w:hint="cs"/>
          <w:b/>
          <w:bCs/>
          <w:sz w:val="24"/>
          <w:szCs w:val="24"/>
          <w:rtl/>
        </w:rPr>
        <w:t>"</w:t>
      </w:r>
      <w:r w:rsidRPr="00FA2F10">
        <w:rPr>
          <w:rFonts w:asciiTheme="majorBidi" w:hAnsiTheme="majorBidi" w:cs="Times New Roman"/>
          <w:b/>
          <w:bCs/>
          <w:sz w:val="24"/>
          <w:szCs w:val="24"/>
          <w:rtl/>
        </w:rPr>
        <w:t>.</w:t>
      </w:r>
    </w:p>
    <w:p w14:paraId="324586CE" w14:textId="1477829C" w:rsidR="001528D5" w:rsidRDefault="001528D5" w:rsidP="001528D5">
      <w:pPr>
        <w:spacing w:after="0" w:line="360" w:lineRule="auto"/>
        <w:rPr>
          <w:rFonts w:ascii="David" w:hAnsi="David" w:cs="David"/>
          <w:sz w:val="24"/>
          <w:szCs w:val="24"/>
          <w:rtl/>
        </w:rPr>
      </w:pPr>
      <w:r w:rsidRPr="001528D5">
        <w:rPr>
          <w:rFonts w:ascii="David" w:hAnsi="David" w:cs="David"/>
          <w:sz w:val="24"/>
          <w:szCs w:val="24"/>
          <w:rtl/>
        </w:rPr>
        <w:t>מוכח להדיא דאיסור יבמה לשוק יש בה חומר אשת איש</w:t>
      </w:r>
      <w:r w:rsidR="008632B6">
        <w:rPr>
          <w:rFonts w:ascii="David" w:hAnsi="David" w:cs="David" w:hint="cs"/>
          <w:sz w:val="24"/>
          <w:szCs w:val="24"/>
          <w:rtl/>
        </w:rPr>
        <w:t>,</w:t>
      </w:r>
      <w:r w:rsidRPr="001528D5">
        <w:rPr>
          <w:rFonts w:ascii="David" w:hAnsi="David" w:cs="David"/>
          <w:sz w:val="24"/>
          <w:szCs w:val="24"/>
          <w:rtl/>
        </w:rPr>
        <w:t xml:space="preserve"> דאל"כ אכתי איך פשיט אגט דאית בי' חומר אשת איש</w:t>
      </w:r>
      <w:r w:rsidR="005E0FE9">
        <w:rPr>
          <w:rFonts w:ascii="David" w:hAnsi="David" w:cs="David" w:hint="cs"/>
          <w:sz w:val="24"/>
          <w:szCs w:val="24"/>
          <w:rtl/>
        </w:rPr>
        <w:t>,</w:t>
      </w:r>
      <w:r w:rsidRPr="001528D5">
        <w:rPr>
          <w:rFonts w:ascii="David" w:hAnsi="David" w:cs="David"/>
          <w:sz w:val="24"/>
          <w:szCs w:val="24"/>
          <w:rtl/>
        </w:rPr>
        <w:t xml:space="preserve"> משטרי חליצה דהוא רק איסור יבמה לשוק</w:t>
      </w:r>
      <w:r w:rsidR="005E0FE9">
        <w:rPr>
          <w:rFonts w:ascii="David" w:hAnsi="David" w:cs="David" w:hint="cs"/>
          <w:sz w:val="24"/>
          <w:szCs w:val="24"/>
          <w:rtl/>
        </w:rPr>
        <w:t>".</w:t>
      </w:r>
      <w:r w:rsidRPr="001528D5">
        <w:rPr>
          <w:rFonts w:ascii="David" w:hAnsi="David" w:cs="David"/>
          <w:sz w:val="24"/>
          <w:szCs w:val="24"/>
          <w:rtl/>
        </w:rPr>
        <w:t xml:space="preserve"> </w:t>
      </w:r>
    </w:p>
    <w:p w14:paraId="79C9B057" w14:textId="312C5CFA" w:rsidR="005C4DB6" w:rsidRPr="00AB3153" w:rsidRDefault="005C4DB6" w:rsidP="00AB3153">
      <w:pPr>
        <w:pStyle w:val="a7"/>
        <w:numPr>
          <w:ilvl w:val="0"/>
          <w:numId w:val="4"/>
        </w:numPr>
        <w:spacing w:after="0" w:line="360" w:lineRule="auto"/>
        <w:rPr>
          <w:rFonts w:asciiTheme="majorBidi" w:hAnsiTheme="majorBidi" w:cs="Times New Roman"/>
          <w:sz w:val="24"/>
          <w:szCs w:val="24"/>
          <w:rtl/>
        </w:rPr>
      </w:pPr>
      <w:r w:rsidRPr="00AB3153">
        <w:rPr>
          <w:rFonts w:asciiTheme="majorBidi" w:hAnsiTheme="majorBidi" w:cs="Times New Roman" w:hint="cs"/>
          <w:sz w:val="24"/>
          <w:szCs w:val="24"/>
          <w:rtl/>
        </w:rPr>
        <w:t>"</w:t>
      </w:r>
      <w:r w:rsidR="00E3638F" w:rsidRPr="00AB3153">
        <w:rPr>
          <w:rFonts w:asciiTheme="majorBidi" w:hAnsiTheme="majorBidi" w:cs="Times New Roman"/>
          <w:sz w:val="24"/>
          <w:szCs w:val="24"/>
          <w:rtl/>
        </w:rPr>
        <w:t>ת"ר: יבמה שחלצו לה אחים בתוך שלשה - צריכה להמתין שלשה חדשים</w:t>
      </w:r>
      <w:r w:rsidR="00E3638F" w:rsidRPr="00AB3153">
        <w:rPr>
          <w:rFonts w:asciiTheme="majorBidi" w:hAnsiTheme="majorBidi" w:cs="Times New Roman" w:hint="cs"/>
          <w:sz w:val="24"/>
          <w:szCs w:val="24"/>
          <w:rtl/>
        </w:rPr>
        <w:t>..</w:t>
      </w:r>
      <w:r w:rsidRPr="005C4DB6">
        <w:rPr>
          <w:rtl/>
        </w:rPr>
        <w:t xml:space="preserve"> </w:t>
      </w:r>
    </w:p>
    <w:p w14:paraId="1FCB748A" w14:textId="2B01CCA9" w:rsidR="00E3638F" w:rsidRDefault="005C4DB6" w:rsidP="005C4DB6">
      <w:pPr>
        <w:spacing w:after="0" w:line="360" w:lineRule="auto"/>
        <w:rPr>
          <w:rFonts w:asciiTheme="majorBidi" w:hAnsiTheme="majorBidi" w:cs="Times New Roman"/>
          <w:sz w:val="24"/>
          <w:szCs w:val="24"/>
          <w:rtl/>
        </w:rPr>
      </w:pPr>
      <w:r w:rsidRPr="005C4DB6">
        <w:rPr>
          <w:rFonts w:asciiTheme="majorBidi" w:hAnsiTheme="majorBidi" w:cs="Times New Roman"/>
          <w:sz w:val="24"/>
          <w:szCs w:val="24"/>
          <w:rtl/>
        </w:rPr>
        <w:t xml:space="preserve"> רבא אמר: גזירה שמא ישא את אחותו מאביו, וייבם אשת אחיו מאמו, ויוציא את אמו לשוק, ויפטור את יבמתו לשוק. מתיב רב חנניה: בכולן אני קורא בהן משום תקנת ערוה, וכאן משום תקנת ולד; ואם איתא, כולהו משום תקנת ערוה! האי משום תקנת ולד, דלא לפגע בהו ערוה</w:t>
      </w:r>
      <w:r>
        <w:rPr>
          <w:rStyle w:val="a6"/>
          <w:rFonts w:asciiTheme="majorBidi" w:hAnsiTheme="majorBidi" w:cs="Times New Roman"/>
          <w:sz w:val="24"/>
          <w:szCs w:val="24"/>
          <w:rtl/>
        </w:rPr>
        <w:footnoteReference w:id="33"/>
      </w:r>
      <w:r>
        <w:rPr>
          <w:rFonts w:asciiTheme="majorBidi" w:hAnsiTheme="majorBidi" w:cs="Times New Roman" w:hint="cs"/>
          <w:sz w:val="24"/>
          <w:szCs w:val="24"/>
          <w:rtl/>
        </w:rPr>
        <w:t>"</w:t>
      </w:r>
      <w:r w:rsidRPr="005C4DB6">
        <w:rPr>
          <w:rFonts w:asciiTheme="majorBidi" w:hAnsiTheme="majorBidi" w:cs="Times New Roman"/>
          <w:sz w:val="24"/>
          <w:szCs w:val="24"/>
          <w:rtl/>
        </w:rPr>
        <w:t>.</w:t>
      </w:r>
    </w:p>
    <w:p w14:paraId="3EFF1F75" w14:textId="23B58E2E" w:rsidR="001528D5" w:rsidRDefault="005C4DB6" w:rsidP="00AB3153">
      <w:pPr>
        <w:spacing w:after="0" w:line="360" w:lineRule="auto"/>
        <w:rPr>
          <w:rFonts w:asciiTheme="majorBidi" w:hAnsiTheme="majorBidi" w:cstheme="majorBidi"/>
          <w:sz w:val="24"/>
          <w:szCs w:val="24"/>
          <w:rtl/>
        </w:rPr>
      </w:pPr>
      <w:r>
        <w:rPr>
          <w:rFonts w:asciiTheme="majorBidi" w:hAnsiTheme="majorBidi" w:cs="Times New Roman" w:hint="cs"/>
          <w:sz w:val="24"/>
          <w:szCs w:val="24"/>
          <w:rtl/>
        </w:rPr>
        <w:t>כלומר, הקושיה הייתה לרבא, שלדבריו הכול תקנת ערווה, אולם שנינו שגזירת המתנה היא עבור הוולד, ורבא מתרץ שהכוונה היא שהוולד לא יפגע בערווה.</w:t>
      </w:r>
      <w:r w:rsidR="00AB3153">
        <w:rPr>
          <w:rFonts w:asciiTheme="majorBidi" w:hAnsiTheme="majorBidi" w:cstheme="majorBidi" w:hint="cs"/>
          <w:sz w:val="24"/>
          <w:szCs w:val="24"/>
          <w:rtl/>
        </w:rPr>
        <w:t xml:space="preserve">  </w:t>
      </w:r>
      <w:r w:rsidR="005E0FE9">
        <w:rPr>
          <w:rFonts w:ascii="David" w:hAnsi="David" w:cs="David" w:hint="cs"/>
          <w:sz w:val="24"/>
          <w:szCs w:val="24"/>
          <w:rtl/>
        </w:rPr>
        <w:t>"</w:t>
      </w:r>
      <w:r w:rsidR="001528D5" w:rsidRPr="001528D5">
        <w:rPr>
          <w:rFonts w:ascii="David" w:hAnsi="David" w:cs="David"/>
          <w:sz w:val="24"/>
          <w:szCs w:val="24"/>
          <w:rtl/>
        </w:rPr>
        <w:t>אם נאמר דאיסור יבמה לשוק איסור ערוה הוא</w:t>
      </w:r>
      <w:r w:rsidR="00AB3153">
        <w:rPr>
          <w:rFonts w:ascii="David" w:hAnsi="David" w:cs="David" w:hint="cs"/>
          <w:sz w:val="24"/>
          <w:szCs w:val="24"/>
          <w:rtl/>
        </w:rPr>
        <w:t>-</w:t>
      </w:r>
      <w:r w:rsidR="001528D5" w:rsidRPr="001528D5">
        <w:rPr>
          <w:rFonts w:ascii="David" w:hAnsi="David" w:cs="David"/>
          <w:sz w:val="24"/>
          <w:szCs w:val="24"/>
          <w:rtl/>
        </w:rPr>
        <w:t xml:space="preserve"> תיקשי טובא</w:t>
      </w:r>
      <w:r w:rsidR="00AB3153">
        <w:rPr>
          <w:rFonts w:ascii="David" w:hAnsi="David" w:cs="David" w:hint="cs"/>
          <w:sz w:val="24"/>
          <w:szCs w:val="24"/>
          <w:rtl/>
        </w:rPr>
        <w:t>,</w:t>
      </w:r>
      <w:r w:rsidR="001528D5" w:rsidRPr="001528D5">
        <w:rPr>
          <w:rFonts w:ascii="David" w:hAnsi="David" w:cs="David"/>
          <w:sz w:val="24"/>
          <w:szCs w:val="24"/>
          <w:rtl/>
        </w:rPr>
        <w:t xml:space="preserve"> שהרי רבא חייש נמי לשמא יוציא את אמו לשוק</w:t>
      </w:r>
      <w:r w:rsidR="00AB3153">
        <w:rPr>
          <w:rFonts w:ascii="David" w:hAnsi="David" w:cs="David" w:hint="cs"/>
          <w:sz w:val="24"/>
          <w:szCs w:val="24"/>
          <w:rtl/>
        </w:rPr>
        <w:t>,</w:t>
      </w:r>
      <w:r w:rsidR="001528D5" w:rsidRPr="001528D5">
        <w:rPr>
          <w:rFonts w:ascii="David" w:hAnsi="David" w:cs="David"/>
          <w:sz w:val="24"/>
          <w:szCs w:val="24"/>
          <w:rtl/>
        </w:rPr>
        <w:t xml:space="preserve"> דהיינו שהאשה עצמה הנישאת בלי הבחנת ג"ח שמא לא יהי' לה וולד משני</w:t>
      </w:r>
      <w:r w:rsidR="00AB3153">
        <w:rPr>
          <w:rFonts w:ascii="David" w:hAnsi="David" w:cs="David" w:hint="cs"/>
          <w:sz w:val="24"/>
          <w:szCs w:val="24"/>
          <w:rtl/>
        </w:rPr>
        <w:t>,</w:t>
      </w:r>
      <w:r w:rsidR="001528D5" w:rsidRPr="001528D5">
        <w:rPr>
          <w:rFonts w:ascii="David" w:hAnsi="David" w:cs="David"/>
          <w:sz w:val="24"/>
          <w:szCs w:val="24"/>
          <w:rtl/>
        </w:rPr>
        <w:t xml:space="preserve"> ותיזקק לייבום</w:t>
      </w:r>
      <w:r w:rsidR="00AB3153">
        <w:rPr>
          <w:rFonts w:ascii="David" w:hAnsi="David" w:cs="David" w:hint="cs"/>
          <w:sz w:val="24"/>
          <w:szCs w:val="24"/>
          <w:rtl/>
        </w:rPr>
        <w:t>.</w:t>
      </w:r>
      <w:r w:rsidR="001528D5" w:rsidRPr="001528D5">
        <w:rPr>
          <w:rFonts w:ascii="David" w:hAnsi="David" w:cs="David"/>
          <w:sz w:val="24"/>
          <w:szCs w:val="24"/>
          <w:rtl/>
        </w:rPr>
        <w:t xml:space="preserve"> והם יסברו שזה הספק הוא בנה משני ויפטרוה בלא חליצה ותעבור איסור יבמה לשוק</w:t>
      </w:r>
      <w:r w:rsidR="00AB3153">
        <w:rPr>
          <w:rFonts w:ascii="David" w:hAnsi="David" w:cs="David" w:hint="cs"/>
          <w:sz w:val="24"/>
          <w:szCs w:val="24"/>
          <w:rtl/>
        </w:rPr>
        <w:t>.</w:t>
      </w:r>
      <w:r w:rsidR="001528D5" w:rsidRPr="001528D5">
        <w:rPr>
          <w:rFonts w:ascii="David" w:hAnsi="David" w:cs="David"/>
          <w:sz w:val="24"/>
          <w:szCs w:val="24"/>
          <w:rtl/>
        </w:rPr>
        <w:t xml:space="preserve"> וא"כ יש חשש על הנישאת </w:t>
      </w:r>
      <w:r w:rsidR="001528D5" w:rsidRPr="00AB3153">
        <w:rPr>
          <w:rFonts w:ascii="David" w:hAnsi="David" w:cs="David"/>
          <w:b/>
          <w:bCs/>
          <w:sz w:val="24"/>
          <w:szCs w:val="24"/>
          <w:rtl/>
        </w:rPr>
        <w:t xml:space="preserve">עצמה </w:t>
      </w:r>
      <w:r w:rsidR="001528D5" w:rsidRPr="001528D5">
        <w:rPr>
          <w:rFonts w:ascii="David" w:hAnsi="David" w:cs="David"/>
          <w:sz w:val="24"/>
          <w:szCs w:val="24"/>
          <w:rtl/>
        </w:rPr>
        <w:t>שמא תבא לידי איסור ערוה</w:t>
      </w:r>
      <w:r w:rsidR="00AB3153">
        <w:rPr>
          <w:rFonts w:ascii="David" w:hAnsi="David" w:cs="David" w:hint="cs"/>
          <w:sz w:val="24"/>
          <w:szCs w:val="24"/>
          <w:rtl/>
        </w:rPr>
        <w:t>,</w:t>
      </w:r>
      <w:r w:rsidR="001528D5" w:rsidRPr="001528D5">
        <w:rPr>
          <w:rFonts w:ascii="David" w:hAnsi="David" w:cs="David"/>
          <w:sz w:val="24"/>
          <w:szCs w:val="24"/>
          <w:rtl/>
        </w:rPr>
        <w:t xml:space="preserve"> וא"כ מאי משני הש"ס דרק הוולד אפשר שיפגע בערוה ע"י נישואין בלי הבחנת ג"ח</w:t>
      </w:r>
      <w:r w:rsidR="00AB3153">
        <w:rPr>
          <w:rFonts w:ascii="David" w:hAnsi="David" w:cs="David" w:hint="cs"/>
          <w:sz w:val="24"/>
          <w:szCs w:val="24"/>
          <w:rtl/>
        </w:rPr>
        <w:t>,</w:t>
      </w:r>
      <w:r w:rsidR="001528D5" w:rsidRPr="001528D5">
        <w:rPr>
          <w:rFonts w:ascii="David" w:hAnsi="David" w:cs="David"/>
          <w:sz w:val="24"/>
          <w:szCs w:val="24"/>
          <w:rtl/>
        </w:rPr>
        <w:t xml:space="preserve"> ואינו דומה לשאר הנאסרות שיש תקנת האשה ובעל עצמו דלא ליפגעו בערוה</w:t>
      </w:r>
      <w:r w:rsidR="00AB3153">
        <w:rPr>
          <w:rFonts w:ascii="David" w:hAnsi="David" w:cs="David" w:hint="cs"/>
          <w:sz w:val="24"/>
          <w:szCs w:val="24"/>
          <w:rtl/>
        </w:rPr>
        <w:t xml:space="preserve">?.. </w:t>
      </w:r>
      <w:r w:rsidR="001528D5" w:rsidRPr="001528D5">
        <w:rPr>
          <w:rFonts w:ascii="David" w:hAnsi="David" w:cs="David"/>
          <w:sz w:val="24"/>
          <w:szCs w:val="24"/>
          <w:rtl/>
        </w:rPr>
        <w:t>הרי גם כאן יש תקנת האשה דלא תפגע בערוה</w:t>
      </w:r>
      <w:r w:rsidR="00AB3153">
        <w:rPr>
          <w:rFonts w:ascii="David" w:hAnsi="David" w:cs="David" w:hint="cs"/>
          <w:sz w:val="24"/>
          <w:szCs w:val="24"/>
          <w:rtl/>
        </w:rPr>
        <w:t xml:space="preserve">.. </w:t>
      </w:r>
      <w:r w:rsidR="001528D5" w:rsidRPr="001528D5">
        <w:rPr>
          <w:rFonts w:ascii="David" w:hAnsi="David" w:cs="David"/>
          <w:sz w:val="24"/>
          <w:szCs w:val="24"/>
          <w:rtl/>
        </w:rPr>
        <w:t xml:space="preserve">ועל כרחך לומר דיבמה לשוק אין בה איסור ערוה </w:t>
      </w:r>
      <w:r w:rsidR="005E0FE9">
        <w:rPr>
          <w:rFonts w:ascii="David" w:hAnsi="David" w:cs="David" w:hint="cs"/>
          <w:sz w:val="24"/>
          <w:szCs w:val="24"/>
          <w:rtl/>
        </w:rPr>
        <w:t xml:space="preserve">, </w:t>
      </w:r>
      <w:r w:rsidR="001528D5" w:rsidRPr="001528D5">
        <w:rPr>
          <w:rFonts w:ascii="David" w:hAnsi="David" w:cs="David"/>
          <w:sz w:val="24"/>
          <w:szCs w:val="24"/>
          <w:rtl/>
        </w:rPr>
        <w:t>וא"כ אם גם יוציא אמו לשוק לא יהי' בזה איסור ערוה</w:t>
      </w:r>
      <w:r w:rsidR="00AB3153">
        <w:rPr>
          <w:rFonts w:ascii="David" w:hAnsi="David" w:cs="David" w:hint="cs"/>
          <w:sz w:val="24"/>
          <w:szCs w:val="24"/>
          <w:rtl/>
        </w:rPr>
        <w:t>.</w:t>
      </w:r>
    </w:p>
    <w:p w14:paraId="071C4EA2" w14:textId="6401611C" w:rsidR="005E0FE9" w:rsidRDefault="005E0FE9" w:rsidP="00AB3153">
      <w:pPr>
        <w:spacing w:after="0" w:line="360" w:lineRule="auto"/>
        <w:rPr>
          <w:rFonts w:asciiTheme="majorBidi" w:hAnsiTheme="majorBidi" w:cstheme="majorBidi"/>
          <w:sz w:val="24"/>
          <w:szCs w:val="24"/>
          <w:rtl/>
        </w:rPr>
      </w:pPr>
    </w:p>
    <w:p w14:paraId="63734A55" w14:textId="77777777" w:rsidR="005E0FE9" w:rsidRDefault="005E0FE9" w:rsidP="005E0FE9">
      <w:pPr>
        <w:rPr>
          <w:rFonts w:asciiTheme="majorBidi" w:hAnsiTheme="majorBidi" w:cstheme="majorBidi"/>
          <w:sz w:val="24"/>
          <w:szCs w:val="24"/>
          <w:rtl/>
        </w:rPr>
      </w:pPr>
      <w:r>
        <w:rPr>
          <w:rFonts w:asciiTheme="majorBidi" w:hAnsiTheme="majorBidi" w:cstheme="majorBidi" w:hint="cs"/>
          <w:sz w:val="24"/>
          <w:szCs w:val="24"/>
          <w:rtl/>
        </w:rPr>
        <w:t>שיעור זה נכתב לראשונה עבור מגידי השיעור של מעלה</w:t>
      </w:r>
    </w:p>
    <w:p w14:paraId="1087B724" w14:textId="3B5B70EA" w:rsidR="00E02EB4" w:rsidRPr="001528D5" w:rsidRDefault="005E0FE9" w:rsidP="005E0FE9">
      <w:pPr>
        <w:spacing w:after="0" w:line="360" w:lineRule="auto"/>
        <w:rPr>
          <w:rFonts w:ascii="David" w:hAnsi="David" w:cs="David"/>
          <w:sz w:val="24"/>
          <w:szCs w:val="24"/>
          <w:rtl/>
        </w:rPr>
      </w:pPr>
      <w:r>
        <w:drawing>
          <wp:inline distT="0" distB="0" distL="0" distR="0" wp14:anchorId="71F51905" wp14:editId="2684DB8C">
            <wp:extent cx="2691994" cy="1990070"/>
            <wp:effectExtent l="0" t="0" r="0" b="0"/>
            <wp:docPr id="1"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706412" cy="2000728"/>
                    </a:xfrm>
                    <a:prstGeom prst="rect">
                      <a:avLst/>
                    </a:prstGeom>
                  </pic:spPr>
                </pic:pic>
              </a:graphicData>
            </a:graphic>
          </wp:inline>
        </w:drawing>
      </w:r>
    </w:p>
    <w:p w14:paraId="5752F038" w14:textId="77777777" w:rsidR="00E02EB4" w:rsidRPr="001528D5" w:rsidRDefault="00E02EB4" w:rsidP="001528D5">
      <w:pPr>
        <w:spacing w:after="0" w:line="360" w:lineRule="auto"/>
        <w:rPr>
          <w:rFonts w:ascii="David" w:hAnsi="David" w:cs="David"/>
          <w:sz w:val="24"/>
          <w:szCs w:val="24"/>
          <w:rtl/>
        </w:rPr>
      </w:pPr>
    </w:p>
    <w:p w14:paraId="52B2965D" w14:textId="76DE38C7" w:rsidR="00411E0F" w:rsidRPr="001528D5" w:rsidRDefault="00E02EB4" w:rsidP="001528D5">
      <w:pPr>
        <w:spacing w:after="0" w:line="360" w:lineRule="auto"/>
        <w:rPr>
          <w:rFonts w:ascii="David" w:hAnsi="David" w:cs="David"/>
          <w:sz w:val="24"/>
          <w:szCs w:val="24"/>
          <w:rtl/>
        </w:rPr>
      </w:pPr>
      <w:r w:rsidRPr="001528D5">
        <w:rPr>
          <w:rFonts w:ascii="David" w:hAnsi="David" w:cs="David"/>
          <w:sz w:val="24"/>
          <w:szCs w:val="24"/>
          <w:rtl/>
        </w:rPr>
        <w:t xml:space="preserve"> </w:t>
      </w:r>
    </w:p>
    <w:p w14:paraId="218E5590" w14:textId="55B9B858" w:rsidR="00411E0F" w:rsidRPr="001528D5" w:rsidRDefault="00E02EB4" w:rsidP="001528D5">
      <w:pPr>
        <w:spacing w:after="0" w:line="360" w:lineRule="auto"/>
        <w:rPr>
          <w:rFonts w:ascii="David" w:hAnsi="David" w:cs="David"/>
          <w:sz w:val="24"/>
          <w:szCs w:val="24"/>
          <w:rtl/>
        </w:rPr>
      </w:pPr>
      <w:r w:rsidRPr="001528D5">
        <w:rPr>
          <w:rFonts w:ascii="David" w:hAnsi="David" w:cs="David"/>
          <w:sz w:val="24"/>
          <w:szCs w:val="24"/>
          <w:rtl/>
        </w:rPr>
        <w:t xml:space="preserve"> </w:t>
      </w:r>
    </w:p>
    <w:p w14:paraId="4B9A6B42" w14:textId="7E119BFD" w:rsidR="00411E0F" w:rsidRPr="001528D5" w:rsidRDefault="00411E0F" w:rsidP="001528D5">
      <w:pPr>
        <w:spacing w:after="0" w:line="360" w:lineRule="auto"/>
        <w:rPr>
          <w:rFonts w:ascii="David" w:hAnsi="David" w:cs="David"/>
          <w:sz w:val="24"/>
          <w:szCs w:val="24"/>
          <w:rtl/>
        </w:rPr>
      </w:pPr>
    </w:p>
    <w:p w14:paraId="049A3106" w14:textId="7F954880" w:rsidR="00411E0F" w:rsidRPr="001528D5" w:rsidRDefault="00E02EB4" w:rsidP="001528D5">
      <w:pPr>
        <w:spacing w:after="0" w:line="360" w:lineRule="auto"/>
        <w:rPr>
          <w:rFonts w:ascii="David" w:hAnsi="David" w:cs="David"/>
          <w:sz w:val="24"/>
          <w:szCs w:val="24"/>
        </w:rPr>
      </w:pPr>
      <w:r w:rsidRPr="001528D5">
        <w:rPr>
          <w:rFonts w:ascii="David" w:hAnsi="David" w:cs="David"/>
          <w:sz w:val="24"/>
          <w:szCs w:val="24"/>
          <w:rtl/>
        </w:rPr>
        <w:t xml:space="preserve"> </w:t>
      </w:r>
    </w:p>
    <w:sectPr w:rsidR="00411E0F" w:rsidRPr="001528D5" w:rsidSect="00293330">
      <w:headerReference w:type="default" r:id="rId9"/>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9B4693" w14:textId="77777777" w:rsidR="00327F19" w:rsidRDefault="00327F19" w:rsidP="006818A6">
      <w:pPr>
        <w:spacing w:after="0" w:line="240" w:lineRule="auto"/>
      </w:pPr>
      <w:r>
        <w:separator/>
      </w:r>
    </w:p>
  </w:endnote>
  <w:endnote w:type="continuationSeparator" w:id="0">
    <w:p w14:paraId="4A7AD24C" w14:textId="77777777" w:rsidR="00327F19" w:rsidRDefault="00327F19" w:rsidP="006818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Guttman Yad-Brush">
    <w:panose1 w:val="02010401010101010101"/>
    <w:charset w:val="B1"/>
    <w:family w:val="auto"/>
    <w:pitch w:val="variable"/>
    <w:sig w:usb0="00000801" w:usb1="40000000" w:usb2="00000000" w:usb3="00000000" w:csb0="0000002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74DCE8" w14:textId="77777777" w:rsidR="00327F19" w:rsidRDefault="00327F19" w:rsidP="006818A6">
      <w:pPr>
        <w:spacing w:after="0" w:line="240" w:lineRule="auto"/>
      </w:pPr>
      <w:r>
        <w:separator/>
      </w:r>
    </w:p>
  </w:footnote>
  <w:footnote w:type="continuationSeparator" w:id="0">
    <w:p w14:paraId="373E2D1C" w14:textId="77777777" w:rsidR="00327F19" w:rsidRDefault="00327F19" w:rsidP="006818A6">
      <w:pPr>
        <w:spacing w:after="0" w:line="240" w:lineRule="auto"/>
      </w:pPr>
      <w:r>
        <w:continuationSeparator/>
      </w:r>
    </w:p>
  </w:footnote>
  <w:footnote w:id="1">
    <w:p w14:paraId="505AECA0" w14:textId="777159F4" w:rsidR="0071706D" w:rsidRDefault="0071706D">
      <w:pPr>
        <w:pStyle w:val="a4"/>
        <w:rPr>
          <w:rFonts w:asciiTheme="majorBidi" w:hAnsiTheme="majorBidi" w:cstheme="majorBidi"/>
          <w:rtl/>
        </w:rPr>
      </w:pPr>
      <w:r w:rsidRPr="003F7D00">
        <w:rPr>
          <w:rStyle w:val="a6"/>
          <w:rFonts w:asciiTheme="majorBidi" w:hAnsiTheme="majorBidi" w:cstheme="majorBidi"/>
        </w:rPr>
        <w:footnoteRef/>
      </w:r>
      <w:r w:rsidRPr="003F7D00">
        <w:rPr>
          <w:rFonts w:asciiTheme="majorBidi" w:hAnsiTheme="majorBidi" w:cstheme="majorBidi"/>
          <w:rtl/>
        </w:rPr>
        <w:t xml:space="preserve"> מספק. ריטב"א.</w:t>
      </w:r>
    </w:p>
    <w:p w14:paraId="5294D3EF" w14:textId="77777777" w:rsidR="00071EFD" w:rsidRPr="003F7D00" w:rsidRDefault="00071EFD">
      <w:pPr>
        <w:pStyle w:val="a4"/>
        <w:rPr>
          <w:rFonts w:asciiTheme="majorBidi" w:hAnsiTheme="majorBidi" w:cstheme="majorBidi"/>
          <w:rtl/>
        </w:rPr>
      </w:pPr>
    </w:p>
  </w:footnote>
  <w:footnote w:id="2">
    <w:p w14:paraId="52B573ED" w14:textId="3293600D" w:rsidR="00F1476B" w:rsidRDefault="00F1476B" w:rsidP="006B69DF">
      <w:pPr>
        <w:pStyle w:val="a4"/>
        <w:rPr>
          <w:rFonts w:asciiTheme="majorBidi" w:hAnsiTheme="majorBidi" w:cstheme="majorBidi"/>
          <w:rtl/>
        </w:rPr>
      </w:pPr>
      <w:r w:rsidRPr="006818A6">
        <w:rPr>
          <w:rStyle w:val="a6"/>
          <w:rFonts w:asciiTheme="majorBidi" w:hAnsiTheme="majorBidi" w:cstheme="majorBidi"/>
        </w:rPr>
        <w:footnoteRef/>
      </w:r>
      <w:r w:rsidRPr="006818A6">
        <w:rPr>
          <w:rFonts w:asciiTheme="majorBidi" w:hAnsiTheme="majorBidi" w:cstheme="majorBidi"/>
          <w:rtl/>
        </w:rPr>
        <w:t xml:space="preserve"> הסבר זה דוחה הגמרא בגלל קושי לשוני.</w:t>
      </w:r>
      <w:r>
        <w:rPr>
          <w:rFonts w:asciiTheme="majorBidi" w:hAnsiTheme="majorBidi" w:cstheme="majorBidi" w:hint="cs"/>
          <w:rtl/>
        </w:rPr>
        <w:t xml:space="preserve"> הסברה היא: </w:t>
      </w:r>
      <w:r>
        <w:rPr>
          <w:rFonts w:asciiTheme="majorBidi" w:hAnsiTheme="majorBidi" w:cs="Times New Roman" w:hint="cs"/>
          <w:rtl/>
        </w:rPr>
        <w:t>"</w:t>
      </w:r>
      <w:r w:rsidRPr="006B69DF">
        <w:rPr>
          <w:rFonts w:ascii="David" w:hAnsi="David" w:cs="David"/>
          <w:rtl/>
        </w:rPr>
        <w:t xml:space="preserve">כיון דאשתו מותרת לחזור לו לא נתן גט לאשת גיסו, שאילו נתן לה גט היתה אשתו אסורה משום דדמיא לאחות גרושתו, וכיון דלא נתן גט לאשת גיסו אינה אסורה על גיסו, דקס"ד דאשה שהלך בעלה למדה"י וכו' דקנסינן ליה </w:t>
      </w:r>
      <w:bookmarkStart w:id="1" w:name="_Hlk97807610"/>
      <w:r w:rsidRPr="006B69DF">
        <w:rPr>
          <w:rFonts w:ascii="David" w:hAnsi="David" w:cs="David"/>
          <w:rtl/>
        </w:rPr>
        <w:t>באיסור לבעלה ושצריכה גט מן השני, הא בהא תליא</w:t>
      </w:r>
      <w:bookmarkEnd w:id="1"/>
      <w:r w:rsidRPr="006B69DF">
        <w:rPr>
          <w:rFonts w:ascii="David" w:hAnsi="David" w:cs="David"/>
          <w:rtl/>
        </w:rPr>
        <w:t>" (</w:t>
      </w:r>
      <w:r>
        <w:rPr>
          <w:rFonts w:asciiTheme="majorBidi" w:hAnsiTheme="majorBidi" w:cs="Times New Roman" w:hint="cs"/>
          <w:rtl/>
        </w:rPr>
        <w:t xml:space="preserve">ריטב"א). </w:t>
      </w:r>
    </w:p>
    <w:p w14:paraId="5AD89F99" w14:textId="77777777" w:rsidR="00071EFD" w:rsidRPr="006818A6" w:rsidRDefault="00071EFD" w:rsidP="006B69DF">
      <w:pPr>
        <w:pStyle w:val="a4"/>
        <w:rPr>
          <w:rFonts w:asciiTheme="majorBidi" w:hAnsiTheme="majorBidi" w:cstheme="majorBidi"/>
        </w:rPr>
      </w:pPr>
    </w:p>
  </w:footnote>
  <w:footnote w:id="3">
    <w:p w14:paraId="519C84C2" w14:textId="14F8F6D0" w:rsidR="00CB137B" w:rsidRPr="00CB137B" w:rsidRDefault="00CB137B">
      <w:pPr>
        <w:pStyle w:val="a4"/>
        <w:rPr>
          <w:rFonts w:asciiTheme="majorBidi" w:hAnsiTheme="majorBidi" w:cstheme="majorBidi"/>
        </w:rPr>
      </w:pPr>
      <w:r>
        <w:rPr>
          <w:rStyle w:val="a6"/>
        </w:rPr>
        <w:footnoteRef/>
      </w:r>
      <w:r>
        <w:rPr>
          <w:rtl/>
        </w:rPr>
        <w:t xml:space="preserve"> </w:t>
      </w:r>
      <w:r>
        <w:rPr>
          <w:rFonts w:asciiTheme="majorBidi" w:hAnsiTheme="majorBidi" w:cstheme="majorBidi" w:hint="cs"/>
          <w:rtl/>
        </w:rPr>
        <w:t>מאחר שהיא צריכה גט (ריטב"א), או שמכיוון שהנישואין הועילו לאסור את גיסתו, מועילים להחשיבה כאשתו לפסול אחותה מדרבנן (רש"י ד"ה אלא).</w:t>
      </w:r>
    </w:p>
  </w:footnote>
  <w:footnote w:id="4">
    <w:p w14:paraId="4EEFD19F" w14:textId="693222CC" w:rsidR="00CB137B" w:rsidRPr="00402659" w:rsidRDefault="00CB137B">
      <w:pPr>
        <w:pStyle w:val="a4"/>
        <w:rPr>
          <w:rFonts w:asciiTheme="majorBidi" w:hAnsiTheme="majorBidi" w:cstheme="majorBidi"/>
        </w:rPr>
      </w:pPr>
      <w:r w:rsidRPr="00402659">
        <w:rPr>
          <w:rStyle w:val="a6"/>
          <w:rFonts w:asciiTheme="majorBidi" w:hAnsiTheme="majorBidi" w:cstheme="majorBidi"/>
        </w:rPr>
        <w:footnoteRef/>
      </w:r>
      <w:r w:rsidRPr="00402659">
        <w:rPr>
          <w:rFonts w:asciiTheme="majorBidi" w:hAnsiTheme="majorBidi" w:cstheme="majorBidi"/>
          <w:rtl/>
        </w:rPr>
        <w:t xml:space="preserve"> כפי שהסביר רב גידל בדעת רבי עקיבא, </w:t>
      </w:r>
      <w:r w:rsidR="00402659">
        <w:rPr>
          <w:rFonts w:asciiTheme="majorBidi" w:hAnsiTheme="majorBidi" w:cstheme="majorBidi" w:hint="cs"/>
          <w:rtl/>
        </w:rPr>
        <w:t>(</w:t>
      </w:r>
      <w:r w:rsidRPr="00402659">
        <w:rPr>
          <w:rFonts w:asciiTheme="majorBidi" w:hAnsiTheme="majorBidi" w:cstheme="majorBidi"/>
          <w:rtl/>
        </w:rPr>
        <w:t>דף צד עמוד ב</w:t>
      </w:r>
      <w:r w:rsidR="00402659">
        <w:rPr>
          <w:rFonts w:asciiTheme="majorBidi" w:hAnsiTheme="majorBidi" w:cstheme="majorBidi" w:hint="cs"/>
          <w:rtl/>
        </w:rPr>
        <w:t>)</w:t>
      </w:r>
      <w:r w:rsidRPr="00402659">
        <w:rPr>
          <w:rFonts w:asciiTheme="majorBidi" w:hAnsiTheme="majorBidi" w:cstheme="majorBidi"/>
          <w:rtl/>
        </w:rPr>
        <w:t xml:space="preserve">. </w:t>
      </w:r>
      <w:r w:rsidR="00402659" w:rsidRPr="00402659">
        <w:rPr>
          <w:rFonts w:asciiTheme="majorBidi" w:hAnsiTheme="majorBidi" w:cstheme="majorBidi"/>
          <w:rtl/>
        </w:rPr>
        <w:t>זו סיבה לפסוק כרבי עקיבא (מאירי).</w:t>
      </w:r>
    </w:p>
  </w:footnote>
  <w:footnote w:id="5">
    <w:p w14:paraId="15938E72" w14:textId="61BCE8E1" w:rsidR="003E67B0" w:rsidRPr="001528D5" w:rsidRDefault="003E67B0" w:rsidP="001528D5">
      <w:pPr>
        <w:pStyle w:val="a4"/>
        <w:spacing w:line="360" w:lineRule="auto"/>
        <w:rPr>
          <w:rFonts w:asciiTheme="majorBidi" w:hAnsiTheme="majorBidi" w:cstheme="majorBidi"/>
        </w:rPr>
      </w:pPr>
      <w:r w:rsidRPr="001528D5">
        <w:rPr>
          <w:rStyle w:val="a6"/>
          <w:rFonts w:asciiTheme="majorBidi" w:hAnsiTheme="majorBidi" w:cstheme="majorBidi"/>
        </w:rPr>
        <w:footnoteRef/>
      </w:r>
      <w:r w:rsidRPr="001528D5">
        <w:rPr>
          <w:rFonts w:asciiTheme="majorBidi" w:hAnsiTheme="majorBidi" w:cstheme="majorBidi"/>
          <w:rtl/>
        </w:rPr>
        <w:t xml:space="preserve"> דפים ל-לא מדפי הרי"ף.</w:t>
      </w:r>
    </w:p>
  </w:footnote>
  <w:footnote w:id="6">
    <w:p w14:paraId="05EE9C4F" w14:textId="01EEB478" w:rsidR="000803FE" w:rsidRPr="001528D5" w:rsidRDefault="000803FE" w:rsidP="001528D5">
      <w:pPr>
        <w:spacing w:after="0" w:line="360" w:lineRule="auto"/>
        <w:rPr>
          <w:rFonts w:asciiTheme="majorBidi" w:hAnsiTheme="majorBidi" w:cstheme="majorBidi"/>
          <w:sz w:val="20"/>
          <w:szCs w:val="20"/>
          <w:rtl/>
        </w:rPr>
      </w:pPr>
      <w:r w:rsidRPr="001528D5">
        <w:rPr>
          <w:rStyle w:val="a6"/>
          <w:rFonts w:asciiTheme="majorBidi" w:hAnsiTheme="majorBidi" w:cstheme="majorBidi"/>
          <w:sz w:val="20"/>
          <w:szCs w:val="20"/>
        </w:rPr>
        <w:footnoteRef/>
      </w:r>
      <w:r w:rsidRPr="001528D5">
        <w:rPr>
          <w:rFonts w:asciiTheme="majorBidi" w:hAnsiTheme="majorBidi" w:cstheme="majorBidi"/>
          <w:sz w:val="20"/>
          <w:szCs w:val="20"/>
          <w:rtl/>
        </w:rPr>
        <w:t xml:space="preserve"> רש"י דף צה עמוד ב ד"ה דלמא.</w:t>
      </w:r>
    </w:p>
  </w:footnote>
  <w:footnote w:id="7">
    <w:p w14:paraId="25A6F8EF" w14:textId="51A0ED18" w:rsidR="00E02EB4" w:rsidRPr="001528D5" w:rsidRDefault="00E02EB4" w:rsidP="001528D5">
      <w:pPr>
        <w:pStyle w:val="a4"/>
        <w:spacing w:line="360" w:lineRule="auto"/>
        <w:rPr>
          <w:rFonts w:asciiTheme="majorBidi" w:hAnsiTheme="majorBidi" w:cstheme="majorBidi"/>
        </w:rPr>
      </w:pPr>
      <w:r w:rsidRPr="001528D5">
        <w:rPr>
          <w:rStyle w:val="a6"/>
          <w:rFonts w:asciiTheme="majorBidi" w:hAnsiTheme="majorBidi" w:cstheme="majorBidi"/>
        </w:rPr>
        <w:footnoteRef/>
      </w:r>
      <w:r w:rsidRPr="001528D5">
        <w:rPr>
          <w:rFonts w:asciiTheme="majorBidi" w:hAnsiTheme="majorBidi" w:cstheme="majorBidi"/>
          <w:rtl/>
        </w:rPr>
        <w:t xml:space="preserve"> ושניהם חולקים על רב המנונא (ריטב"א).</w:t>
      </w:r>
    </w:p>
  </w:footnote>
  <w:footnote w:id="8">
    <w:p w14:paraId="011A62F3" w14:textId="4E040A79" w:rsidR="0071706D" w:rsidRPr="001528D5" w:rsidRDefault="0071706D" w:rsidP="001528D5">
      <w:pPr>
        <w:pStyle w:val="a4"/>
        <w:spacing w:line="360" w:lineRule="auto"/>
        <w:rPr>
          <w:rFonts w:asciiTheme="majorBidi" w:hAnsiTheme="majorBidi" w:cstheme="majorBidi"/>
        </w:rPr>
      </w:pPr>
      <w:r w:rsidRPr="001528D5">
        <w:rPr>
          <w:rStyle w:val="a6"/>
          <w:rFonts w:asciiTheme="majorBidi" w:hAnsiTheme="majorBidi" w:cstheme="majorBidi"/>
        </w:rPr>
        <w:footnoteRef/>
      </w:r>
      <w:r w:rsidRPr="001528D5">
        <w:rPr>
          <w:rFonts w:asciiTheme="majorBidi" w:hAnsiTheme="majorBidi" w:cstheme="majorBidi"/>
          <w:rtl/>
        </w:rPr>
        <w:t xml:space="preserve"> דף צו עמוד א ד"ה ודלמא.</w:t>
      </w:r>
    </w:p>
  </w:footnote>
  <w:footnote w:id="9">
    <w:p w14:paraId="3A6EF7A4" w14:textId="77777777" w:rsidR="003F7D00" w:rsidRPr="001528D5" w:rsidRDefault="003F7D00" w:rsidP="001528D5">
      <w:pPr>
        <w:pStyle w:val="a4"/>
        <w:spacing w:line="360" w:lineRule="auto"/>
        <w:rPr>
          <w:rFonts w:asciiTheme="majorBidi" w:hAnsiTheme="majorBidi" w:cstheme="majorBidi"/>
          <w:rtl/>
        </w:rPr>
      </w:pPr>
      <w:r w:rsidRPr="001528D5">
        <w:rPr>
          <w:rStyle w:val="a6"/>
          <w:rFonts w:asciiTheme="majorBidi" w:hAnsiTheme="majorBidi" w:cstheme="majorBidi"/>
        </w:rPr>
        <w:footnoteRef/>
      </w:r>
      <w:r w:rsidRPr="001528D5">
        <w:rPr>
          <w:rFonts w:asciiTheme="majorBidi" w:hAnsiTheme="majorBidi" w:cstheme="majorBidi"/>
          <w:rtl/>
        </w:rPr>
        <w:t xml:space="preserve"> פרק י סימן ו.</w:t>
      </w:r>
    </w:p>
  </w:footnote>
  <w:footnote w:id="10">
    <w:p w14:paraId="593A5145" w14:textId="24E38C56" w:rsidR="0071706D" w:rsidRPr="001528D5" w:rsidRDefault="0071706D" w:rsidP="001528D5">
      <w:pPr>
        <w:pStyle w:val="a4"/>
        <w:spacing w:line="360" w:lineRule="auto"/>
        <w:rPr>
          <w:rFonts w:asciiTheme="majorBidi" w:hAnsiTheme="majorBidi" w:cstheme="majorBidi"/>
          <w:rtl/>
        </w:rPr>
      </w:pPr>
      <w:r w:rsidRPr="001528D5">
        <w:rPr>
          <w:rStyle w:val="a6"/>
          <w:rFonts w:asciiTheme="majorBidi" w:hAnsiTheme="majorBidi" w:cstheme="majorBidi"/>
        </w:rPr>
        <w:footnoteRef/>
      </w:r>
      <w:r w:rsidRPr="001528D5">
        <w:rPr>
          <w:rFonts w:asciiTheme="majorBidi" w:hAnsiTheme="majorBidi" w:cstheme="majorBidi"/>
          <w:rtl/>
        </w:rPr>
        <w:t xml:space="preserve"> ריטב"א.</w:t>
      </w:r>
    </w:p>
  </w:footnote>
  <w:footnote w:id="11">
    <w:p w14:paraId="1260CD87" w14:textId="2AC16829" w:rsidR="00091F77" w:rsidRPr="001528D5" w:rsidRDefault="00091F77" w:rsidP="001528D5">
      <w:pPr>
        <w:spacing w:after="0" w:line="360" w:lineRule="auto"/>
        <w:rPr>
          <w:rFonts w:asciiTheme="majorBidi" w:hAnsiTheme="majorBidi" w:cstheme="majorBidi"/>
          <w:sz w:val="20"/>
          <w:szCs w:val="20"/>
        </w:rPr>
      </w:pPr>
      <w:r w:rsidRPr="001528D5">
        <w:rPr>
          <w:rStyle w:val="a6"/>
          <w:rFonts w:asciiTheme="majorBidi" w:hAnsiTheme="majorBidi" w:cstheme="majorBidi"/>
          <w:sz w:val="20"/>
          <w:szCs w:val="20"/>
        </w:rPr>
        <w:footnoteRef/>
      </w:r>
      <w:r w:rsidRPr="001528D5">
        <w:rPr>
          <w:rFonts w:asciiTheme="majorBidi" w:hAnsiTheme="majorBidi" w:cstheme="majorBidi"/>
          <w:sz w:val="20"/>
          <w:szCs w:val="20"/>
          <w:rtl/>
        </w:rPr>
        <w:t xml:space="preserve"> רמב"ם הלכות גירושין פרק י הלכות ח-י.</w:t>
      </w:r>
    </w:p>
  </w:footnote>
  <w:footnote w:id="12">
    <w:p w14:paraId="1856A288" w14:textId="6B2367EF" w:rsidR="00B4463A" w:rsidRPr="001528D5" w:rsidRDefault="00B4463A" w:rsidP="001528D5">
      <w:pPr>
        <w:spacing w:after="0" w:line="360" w:lineRule="auto"/>
        <w:rPr>
          <w:rFonts w:asciiTheme="majorBidi" w:hAnsiTheme="majorBidi" w:cstheme="majorBidi"/>
          <w:sz w:val="20"/>
          <w:szCs w:val="20"/>
        </w:rPr>
      </w:pPr>
      <w:r w:rsidRPr="001528D5">
        <w:rPr>
          <w:rStyle w:val="a6"/>
          <w:rFonts w:asciiTheme="majorBidi" w:hAnsiTheme="majorBidi" w:cstheme="majorBidi"/>
          <w:sz w:val="20"/>
          <w:szCs w:val="20"/>
        </w:rPr>
        <w:footnoteRef/>
      </w:r>
      <w:r w:rsidRPr="001528D5">
        <w:rPr>
          <w:rFonts w:asciiTheme="majorBidi" w:hAnsiTheme="majorBidi" w:cstheme="majorBidi"/>
          <w:sz w:val="20"/>
          <w:szCs w:val="20"/>
          <w:rtl/>
        </w:rPr>
        <w:t xml:space="preserve"> רמב"ם הלכות איסורי ביאה פרק ב הלכה י.</w:t>
      </w:r>
    </w:p>
  </w:footnote>
  <w:footnote w:id="13">
    <w:p w14:paraId="4EA5FA7F" w14:textId="77777777" w:rsidR="00B4463A" w:rsidRPr="001528D5" w:rsidRDefault="00B4463A" w:rsidP="001528D5">
      <w:pPr>
        <w:pStyle w:val="a4"/>
        <w:spacing w:line="360" w:lineRule="auto"/>
        <w:rPr>
          <w:rFonts w:asciiTheme="majorBidi" w:hAnsiTheme="majorBidi" w:cstheme="majorBidi"/>
        </w:rPr>
      </w:pPr>
      <w:r w:rsidRPr="001528D5">
        <w:rPr>
          <w:rStyle w:val="a6"/>
          <w:rFonts w:asciiTheme="majorBidi" w:hAnsiTheme="majorBidi" w:cstheme="majorBidi"/>
        </w:rPr>
        <w:footnoteRef/>
      </w:r>
      <w:r w:rsidRPr="001528D5">
        <w:rPr>
          <w:rFonts w:asciiTheme="majorBidi" w:hAnsiTheme="majorBidi" w:cstheme="majorBidi"/>
          <w:rtl/>
        </w:rPr>
        <w:t xml:space="preserve"> מגיד משנה.</w:t>
      </w:r>
    </w:p>
  </w:footnote>
  <w:footnote w:id="14">
    <w:p w14:paraId="6C4D78DB" w14:textId="77777777" w:rsidR="00E43C3A" w:rsidRPr="001528D5" w:rsidRDefault="00E43C3A" w:rsidP="001528D5">
      <w:pPr>
        <w:pStyle w:val="a4"/>
        <w:spacing w:line="360" w:lineRule="auto"/>
        <w:rPr>
          <w:rFonts w:asciiTheme="majorBidi" w:hAnsiTheme="majorBidi" w:cstheme="majorBidi"/>
          <w:rtl/>
        </w:rPr>
      </w:pPr>
      <w:r w:rsidRPr="001528D5">
        <w:rPr>
          <w:rStyle w:val="a6"/>
          <w:rFonts w:asciiTheme="majorBidi" w:hAnsiTheme="majorBidi" w:cstheme="majorBidi"/>
        </w:rPr>
        <w:footnoteRef/>
      </w:r>
      <w:r w:rsidRPr="001528D5">
        <w:rPr>
          <w:rFonts w:asciiTheme="majorBidi" w:hAnsiTheme="majorBidi" w:cstheme="majorBidi"/>
          <w:rtl/>
        </w:rPr>
        <w:t xml:space="preserve"> שם. הלכות ח-ט.</w:t>
      </w:r>
    </w:p>
  </w:footnote>
  <w:footnote w:id="15">
    <w:p w14:paraId="6624AAF4" w14:textId="52470B07" w:rsidR="00E43C3A" w:rsidRPr="001528D5" w:rsidRDefault="00E43C3A" w:rsidP="001528D5">
      <w:pPr>
        <w:pStyle w:val="a4"/>
        <w:spacing w:line="360" w:lineRule="auto"/>
        <w:rPr>
          <w:rFonts w:asciiTheme="majorBidi" w:hAnsiTheme="majorBidi" w:cstheme="majorBidi"/>
        </w:rPr>
      </w:pPr>
      <w:r w:rsidRPr="001528D5">
        <w:rPr>
          <w:rStyle w:val="a6"/>
          <w:rFonts w:asciiTheme="majorBidi" w:hAnsiTheme="majorBidi" w:cstheme="majorBidi"/>
        </w:rPr>
        <w:footnoteRef/>
      </w:r>
      <w:r w:rsidRPr="001528D5">
        <w:rPr>
          <w:rFonts w:asciiTheme="majorBidi" w:hAnsiTheme="majorBidi" w:cstheme="majorBidi"/>
          <w:rtl/>
        </w:rPr>
        <w:t xml:space="preserve"> בדק הבית סימן קנט ד"ה נתייבמה בטעות.</w:t>
      </w:r>
    </w:p>
  </w:footnote>
  <w:footnote w:id="16">
    <w:p w14:paraId="76196684" w14:textId="2AC3035C" w:rsidR="00E43C3A" w:rsidRPr="001528D5" w:rsidRDefault="00E43C3A" w:rsidP="001528D5">
      <w:pPr>
        <w:pStyle w:val="a4"/>
        <w:spacing w:line="360" w:lineRule="auto"/>
        <w:rPr>
          <w:rFonts w:asciiTheme="majorBidi" w:hAnsiTheme="majorBidi" w:cstheme="majorBidi"/>
        </w:rPr>
      </w:pPr>
      <w:r w:rsidRPr="001528D5">
        <w:rPr>
          <w:rStyle w:val="a6"/>
          <w:rFonts w:asciiTheme="majorBidi" w:hAnsiTheme="majorBidi" w:cstheme="majorBidi"/>
        </w:rPr>
        <w:footnoteRef/>
      </w:r>
      <w:r w:rsidRPr="001528D5">
        <w:rPr>
          <w:rFonts w:asciiTheme="majorBidi" w:hAnsiTheme="majorBidi" w:cstheme="majorBidi"/>
          <w:rtl/>
        </w:rPr>
        <w:t xml:space="preserve"> </w:t>
      </w:r>
      <w:r w:rsidR="00BD345C" w:rsidRPr="001528D5">
        <w:rPr>
          <w:rFonts w:asciiTheme="majorBidi" w:hAnsiTheme="majorBidi" w:cstheme="majorBidi"/>
          <w:rtl/>
        </w:rPr>
        <w:t>שולחן ערוך אבן העזר הלכות אישות סימן טו סעיף כח.</w:t>
      </w:r>
    </w:p>
  </w:footnote>
  <w:footnote w:id="17">
    <w:p w14:paraId="356A0F1F" w14:textId="0E633C4E" w:rsidR="00BD345C" w:rsidRPr="001528D5" w:rsidRDefault="00BD345C" w:rsidP="00D53AEB">
      <w:pPr>
        <w:spacing w:after="0" w:line="360" w:lineRule="auto"/>
        <w:rPr>
          <w:rFonts w:asciiTheme="majorBidi" w:hAnsiTheme="majorBidi" w:cstheme="majorBidi"/>
          <w:sz w:val="20"/>
          <w:szCs w:val="20"/>
        </w:rPr>
      </w:pPr>
      <w:r w:rsidRPr="001528D5">
        <w:rPr>
          <w:rStyle w:val="a6"/>
          <w:rFonts w:asciiTheme="majorBidi" w:hAnsiTheme="majorBidi" w:cstheme="majorBidi"/>
          <w:sz w:val="20"/>
          <w:szCs w:val="20"/>
        </w:rPr>
        <w:footnoteRef/>
      </w:r>
      <w:r w:rsidRPr="001528D5">
        <w:rPr>
          <w:rFonts w:asciiTheme="majorBidi" w:hAnsiTheme="majorBidi" w:cstheme="majorBidi"/>
          <w:sz w:val="20"/>
          <w:szCs w:val="20"/>
          <w:rtl/>
        </w:rPr>
        <w:t xml:space="preserve"> שולחן ערוך אבן העזר הלכות יבום סימן קנט סעיף ד.</w:t>
      </w:r>
    </w:p>
  </w:footnote>
  <w:footnote w:id="18">
    <w:p w14:paraId="6847DEE7" w14:textId="47F864E3" w:rsidR="001528D5" w:rsidRPr="00071EFD" w:rsidRDefault="001528D5" w:rsidP="00071EFD">
      <w:pPr>
        <w:pStyle w:val="a4"/>
        <w:spacing w:line="360" w:lineRule="auto"/>
        <w:rPr>
          <w:rFonts w:asciiTheme="majorBidi" w:hAnsiTheme="majorBidi" w:cstheme="majorBidi"/>
        </w:rPr>
      </w:pPr>
      <w:r w:rsidRPr="00071EFD">
        <w:rPr>
          <w:rStyle w:val="a6"/>
          <w:rFonts w:asciiTheme="majorBidi" w:hAnsiTheme="majorBidi" w:cstheme="majorBidi"/>
        </w:rPr>
        <w:footnoteRef/>
      </w:r>
      <w:r w:rsidRPr="00071EFD">
        <w:rPr>
          <w:rFonts w:asciiTheme="majorBidi" w:hAnsiTheme="majorBidi" w:cstheme="majorBidi"/>
          <w:rtl/>
        </w:rPr>
        <w:t xml:space="preserve"> אתוון דאורייתא כלל ח.</w:t>
      </w:r>
      <w:r w:rsidR="00D53AEB" w:rsidRPr="00071EFD">
        <w:rPr>
          <w:rFonts w:asciiTheme="majorBidi" w:hAnsiTheme="majorBidi" w:cstheme="majorBidi"/>
          <w:rtl/>
        </w:rPr>
        <w:t xml:space="preserve"> מכאן ואילך סתם ציטוט הוא מדבריו. </w:t>
      </w:r>
    </w:p>
  </w:footnote>
  <w:footnote w:id="19">
    <w:p w14:paraId="362BB7D0" w14:textId="7274E043" w:rsidR="00D53AEB" w:rsidRPr="00071EFD" w:rsidRDefault="00D53AEB" w:rsidP="00071EFD">
      <w:pPr>
        <w:pStyle w:val="a4"/>
        <w:spacing w:line="360" w:lineRule="auto"/>
        <w:rPr>
          <w:rFonts w:asciiTheme="majorBidi" w:hAnsiTheme="majorBidi" w:cstheme="majorBidi"/>
          <w:rtl/>
        </w:rPr>
      </w:pPr>
      <w:r w:rsidRPr="00071EFD">
        <w:rPr>
          <w:rStyle w:val="a6"/>
          <w:rFonts w:asciiTheme="majorBidi" w:hAnsiTheme="majorBidi" w:cstheme="majorBidi"/>
        </w:rPr>
        <w:footnoteRef/>
      </w:r>
      <w:r w:rsidRPr="00071EFD">
        <w:rPr>
          <w:rFonts w:asciiTheme="majorBidi" w:hAnsiTheme="majorBidi" w:cstheme="majorBidi"/>
          <w:rtl/>
        </w:rPr>
        <w:t xml:space="preserve"> מסכת קידושין דף יג עמוד ב.</w:t>
      </w:r>
    </w:p>
  </w:footnote>
  <w:footnote w:id="20">
    <w:p w14:paraId="1B273933" w14:textId="22254B96" w:rsidR="000716DE" w:rsidRPr="00071EFD" w:rsidRDefault="000716DE" w:rsidP="00531CC1">
      <w:pPr>
        <w:spacing w:after="0" w:line="240" w:lineRule="auto"/>
        <w:rPr>
          <w:rFonts w:asciiTheme="majorBidi" w:hAnsiTheme="majorBidi" w:cstheme="majorBidi"/>
          <w:sz w:val="20"/>
          <w:szCs w:val="20"/>
        </w:rPr>
      </w:pPr>
      <w:r w:rsidRPr="00071EFD">
        <w:rPr>
          <w:rStyle w:val="a6"/>
          <w:rFonts w:asciiTheme="majorBidi" w:hAnsiTheme="majorBidi" w:cstheme="majorBidi"/>
          <w:sz w:val="20"/>
          <w:szCs w:val="20"/>
        </w:rPr>
        <w:footnoteRef/>
      </w:r>
      <w:r w:rsidRPr="00531CC1">
        <w:rPr>
          <w:rFonts w:asciiTheme="majorBidi" w:hAnsiTheme="majorBidi" w:cstheme="majorBidi"/>
          <w:sz w:val="20"/>
          <w:szCs w:val="20"/>
          <w:rtl/>
        </w:rPr>
        <w:t xml:space="preserve"> כאופן הראשון.</w:t>
      </w:r>
      <w:r w:rsidR="00531CC1" w:rsidRPr="00531CC1">
        <w:rPr>
          <w:rFonts w:asciiTheme="majorBidi" w:hAnsiTheme="majorBidi" w:cstheme="majorBidi" w:hint="cs"/>
          <w:rtl/>
        </w:rPr>
        <w:t xml:space="preserve"> </w:t>
      </w:r>
      <w:r w:rsidR="00531CC1" w:rsidRPr="00531CC1">
        <w:rPr>
          <w:rFonts w:asciiTheme="majorBidi" w:hAnsiTheme="majorBidi" w:cs="Times New Roman" w:hint="cs"/>
          <w:sz w:val="20"/>
          <w:szCs w:val="20"/>
          <w:rtl/>
        </w:rPr>
        <w:t xml:space="preserve">אמנם למסקנה נאמר שם: </w:t>
      </w:r>
      <w:r w:rsidR="00531CC1" w:rsidRPr="00531CC1">
        <w:rPr>
          <w:rFonts w:asciiTheme="majorBidi" w:hAnsiTheme="majorBidi" w:cs="Times New Roman"/>
          <w:sz w:val="20"/>
          <w:szCs w:val="20"/>
          <w:rtl/>
        </w:rPr>
        <w:t xml:space="preserve">א"ר אשי, ב' תשובות בדבר: חדא, דיבם לא איקרי אחר; ועוד, כתיב: ושנאה האיש האחרון וכתב לה ספר כריתות או כי ימות האיש האחרון, ואיתקש מיתה לגירושין, מה גירושין שריא וגומרת, </w:t>
      </w:r>
      <w:r w:rsidR="00531CC1" w:rsidRPr="00531CC1">
        <w:rPr>
          <w:rFonts w:asciiTheme="majorBidi" w:hAnsiTheme="majorBidi" w:cs="Times New Roman"/>
          <w:b/>
          <w:bCs/>
          <w:sz w:val="20"/>
          <w:szCs w:val="20"/>
          <w:rtl/>
        </w:rPr>
        <w:t>אף מיתה שריא וגומרת</w:t>
      </w:r>
      <w:r w:rsidR="00531CC1" w:rsidRPr="00531CC1">
        <w:rPr>
          <w:rFonts w:asciiTheme="majorBidi" w:hAnsiTheme="majorBidi" w:cstheme="majorBidi" w:hint="cs"/>
          <w:sz w:val="20"/>
          <w:szCs w:val="20"/>
          <w:rtl/>
        </w:rPr>
        <w:t>. לפי זה נראה שלא נותר דבר מאישות הבעל הראשון.</w:t>
      </w:r>
    </w:p>
  </w:footnote>
  <w:footnote w:id="21">
    <w:p w14:paraId="5130E97C" w14:textId="7D69D514" w:rsidR="000716DE" w:rsidRPr="00531CC1" w:rsidRDefault="000716DE" w:rsidP="00531CC1">
      <w:pPr>
        <w:pStyle w:val="a4"/>
        <w:spacing w:line="360" w:lineRule="auto"/>
        <w:rPr>
          <w:rFonts w:asciiTheme="majorBidi" w:hAnsiTheme="majorBidi" w:cstheme="majorBidi"/>
        </w:rPr>
      </w:pPr>
      <w:r w:rsidRPr="00531CC1">
        <w:rPr>
          <w:rStyle w:val="a6"/>
          <w:rFonts w:asciiTheme="majorBidi" w:hAnsiTheme="majorBidi" w:cstheme="majorBidi"/>
        </w:rPr>
        <w:footnoteRef/>
      </w:r>
      <w:r w:rsidRPr="00531CC1">
        <w:rPr>
          <w:rFonts w:asciiTheme="majorBidi" w:hAnsiTheme="majorBidi" w:cstheme="majorBidi"/>
          <w:rtl/>
        </w:rPr>
        <w:t xml:space="preserve"> מסכת יבמות דף יט עמוד א.</w:t>
      </w:r>
    </w:p>
  </w:footnote>
  <w:footnote w:id="22">
    <w:p w14:paraId="748105CE" w14:textId="3B90BA3B" w:rsidR="00E82106" w:rsidRPr="00531CC1" w:rsidRDefault="00E82106" w:rsidP="00531CC1">
      <w:pPr>
        <w:pStyle w:val="a4"/>
        <w:spacing w:line="360" w:lineRule="auto"/>
        <w:rPr>
          <w:rFonts w:asciiTheme="majorBidi" w:hAnsiTheme="majorBidi" w:cstheme="majorBidi"/>
        </w:rPr>
      </w:pPr>
      <w:r w:rsidRPr="00531CC1">
        <w:rPr>
          <w:rStyle w:val="a6"/>
          <w:rFonts w:asciiTheme="majorBidi" w:hAnsiTheme="majorBidi" w:cstheme="majorBidi"/>
        </w:rPr>
        <w:footnoteRef/>
      </w:r>
      <w:r w:rsidRPr="00531CC1">
        <w:rPr>
          <w:rFonts w:asciiTheme="majorBidi" w:hAnsiTheme="majorBidi" w:cstheme="majorBidi"/>
          <w:rtl/>
        </w:rPr>
        <w:t xml:space="preserve"> כאופן השני.</w:t>
      </w:r>
    </w:p>
  </w:footnote>
  <w:footnote w:id="23">
    <w:p w14:paraId="032FA069" w14:textId="24306F76" w:rsidR="00E82106" w:rsidRPr="00531CC1" w:rsidRDefault="00E82106" w:rsidP="00531CC1">
      <w:pPr>
        <w:pStyle w:val="a4"/>
        <w:spacing w:line="360" w:lineRule="auto"/>
        <w:rPr>
          <w:rFonts w:asciiTheme="majorBidi" w:hAnsiTheme="majorBidi" w:cstheme="majorBidi"/>
        </w:rPr>
      </w:pPr>
      <w:r w:rsidRPr="00531CC1">
        <w:rPr>
          <w:rStyle w:val="a6"/>
          <w:rFonts w:asciiTheme="majorBidi" w:hAnsiTheme="majorBidi" w:cstheme="majorBidi"/>
        </w:rPr>
        <w:footnoteRef/>
      </w:r>
      <w:r w:rsidRPr="00531CC1">
        <w:rPr>
          <w:rFonts w:asciiTheme="majorBidi" w:hAnsiTheme="majorBidi" w:cstheme="majorBidi"/>
          <w:rtl/>
        </w:rPr>
        <w:t xml:space="preserve"> מסכת קידושין דף יד עמוד א.</w:t>
      </w:r>
    </w:p>
  </w:footnote>
  <w:footnote w:id="24">
    <w:p w14:paraId="1E96507C" w14:textId="1E52F32E" w:rsidR="00E82106" w:rsidRPr="00531CC1" w:rsidRDefault="00E82106" w:rsidP="00531CC1">
      <w:pPr>
        <w:pStyle w:val="a4"/>
        <w:spacing w:line="360" w:lineRule="auto"/>
        <w:rPr>
          <w:rFonts w:asciiTheme="majorBidi" w:hAnsiTheme="majorBidi" w:cstheme="majorBidi"/>
        </w:rPr>
      </w:pPr>
      <w:r w:rsidRPr="00531CC1">
        <w:rPr>
          <w:rStyle w:val="a6"/>
          <w:rFonts w:asciiTheme="majorBidi" w:hAnsiTheme="majorBidi" w:cstheme="majorBidi"/>
        </w:rPr>
        <w:footnoteRef/>
      </w:r>
      <w:r w:rsidRPr="00531CC1">
        <w:rPr>
          <w:rFonts w:asciiTheme="majorBidi" w:hAnsiTheme="majorBidi" w:cstheme="majorBidi"/>
          <w:rtl/>
        </w:rPr>
        <w:t xml:space="preserve"> מסכת גיטין דף פג עמוד ב.</w:t>
      </w:r>
    </w:p>
  </w:footnote>
  <w:footnote w:id="25">
    <w:p w14:paraId="35BAF862" w14:textId="65DE58F1" w:rsidR="00CC6BA6" w:rsidRPr="00531CC1" w:rsidRDefault="00CC6BA6" w:rsidP="00531CC1">
      <w:pPr>
        <w:pStyle w:val="a4"/>
        <w:spacing w:line="360" w:lineRule="auto"/>
        <w:rPr>
          <w:rFonts w:asciiTheme="majorBidi" w:hAnsiTheme="majorBidi" w:cstheme="majorBidi"/>
          <w:rtl/>
        </w:rPr>
      </w:pPr>
      <w:r w:rsidRPr="00531CC1">
        <w:rPr>
          <w:rStyle w:val="a6"/>
          <w:rFonts w:asciiTheme="majorBidi" w:hAnsiTheme="majorBidi" w:cstheme="majorBidi"/>
        </w:rPr>
        <w:footnoteRef/>
      </w:r>
      <w:r w:rsidRPr="00531CC1">
        <w:rPr>
          <w:rFonts w:asciiTheme="majorBidi" w:hAnsiTheme="majorBidi" w:cstheme="majorBidi"/>
          <w:rtl/>
        </w:rPr>
        <w:t xml:space="preserve"> תוספות מסכת קידושין סוף דף ד עמוד ב.</w:t>
      </w:r>
    </w:p>
  </w:footnote>
  <w:footnote w:id="26">
    <w:p w14:paraId="228EDBC2" w14:textId="000EAA84" w:rsidR="00CC6BA6" w:rsidRDefault="00CC6BA6" w:rsidP="00531CC1">
      <w:pPr>
        <w:pStyle w:val="a4"/>
        <w:rPr>
          <w:rFonts w:asciiTheme="majorBidi" w:hAnsiTheme="majorBidi" w:cstheme="majorBidi"/>
          <w:rtl/>
        </w:rPr>
      </w:pPr>
      <w:r w:rsidRPr="00531CC1">
        <w:rPr>
          <w:rStyle w:val="a6"/>
          <w:rFonts w:asciiTheme="majorBidi" w:hAnsiTheme="majorBidi" w:cstheme="majorBidi"/>
        </w:rPr>
        <w:footnoteRef/>
      </w:r>
      <w:r w:rsidRPr="00531CC1">
        <w:rPr>
          <w:rFonts w:asciiTheme="majorBidi" w:hAnsiTheme="majorBidi" w:cstheme="majorBidi"/>
          <w:rtl/>
        </w:rPr>
        <w:t xml:space="preserve"> אמנם יש להעיר, שמדובר בהסבר של דיחויא בעלמא, המסביר מדוע אין ללמוד קדושי ביאה באישה מיבמה. למסקנה שיש קדושי ביאה באישה, אפשר להציע לענ"ד שהסברה משתנה.</w:t>
      </w:r>
    </w:p>
    <w:p w14:paraId="4DB027C6" w14:textId="77777777" w:rsidR="00531CC1" w:rsidRPr="00531CC1" w:rsidRDefault="00531CC1" w:rsidP="00531CC1">
      <w:pPr>
        <w:pStyle w:val="a4"/>
        <w:rPr>
          <w:rFonts w:asciiTheme="majorBidi" w:hAnsiTheme="majorBidi" w:cstheme="majorBidi"/>
        </w:rPr>
      </w:pPr>
    </w:p>
  </w:footnote>
  <w:footnote w:id="27">
    <w:p w14:paraId="54EC938A" w14:textId="0BA7BA53" w:rsidR="00AB3153" w:rsidRPr="00D57DE3" w:rsidRDefault="00AB3153" w:rsidP="00D57DE3">
      <w:pPr>
        <w:spacing w:after="0" w:line="360" w:lineRule="auto"/>
        <w:rPr>
          <w:rFonts w:asciiTheme="majorBidi" w:hAnsiTheme="majorBidi" w:cstheme="majorBidi"/>
          <w:sz w:val="20"/>
          <w:szCs w:val="20"/>
        </w:rPr>
      </w:pPr>
      <w:r w:rsidRPr="00AB3153">
        <w:rPr>
          <w:rStyle w:val="a6"/>
          <w:sz w:val="20"/>
          <w:szCs w:val="20"/>
        </w:rPr>
        <w:footnoteRef/>
      </w:r>
      <w:r w:rsidRPr="00AB3153">
        <w:rPr>
          <w:sz w:val="20"/>
          <w:szCs w:val="20"/>
          <w:rtl/>
        </w:rPr>
        <w:t xml:space="preserve"> </w:t>
      </w:r>
      <w:r w:rsidRPr="00AB3153">
        <w:rPr>
          <w:rFonts w:asciiTheme="majorBidi" w:hAnsiTheme="majorBidi" w:cstheme="majorBidi"/>
          <w:sz w:val="20"/>
          <w:szCs w:val="20"/>
          <w:rtl/>
        </w:rPr>
        <w:t>מסכת בבא בתרא דף קלה עמוד א</w:t>
      </w:r>
      <w:r w:rsidRPr="00AB3153">
        <w:rPr>
          <w:rFonts w:asciiTheme="majorBidi" w:hAnsiTheme="majorBidi" w:cstheme="majorBidi" w:hint="cs"/>
          <w:sz w:val="20"/>
          <w:szCs w:val="20"/>
          <w:rtl/>
        </w:rPr>
        <w:t>.</w:t>
      </w:r>
    </w:p>
  </w:footnote>
  <w:footnote w:id="28">
    <w:p w14:paraId="56842767" w14:textId="77777777" w:rsidR="00D57DE3" w:rsidRDefault="00D57DE3" w:rsidP="00D57DE3">
      <w:pPr>
        <w:pStyle w:val="a4"/>
        <w:rPr>
          <w:rFonts w:asciiTheme="majorBidi" w:hAnsiTheme="majorBidi" w:cstheme="majorBidi"/>
          <w:rtl/>
        </w:rPr>
      </w:pPr>
      <w:r w:rsidRPr="00531CC1">
        <w:rPr>
          <w:rStyle w:val="a6"/>
          <w:rFonts w:asciiTheme="majorBidi" w:hAnsiTheme="majorBidi" w:cstheme="majorBidi"/>
        </w:rPr>
        <w:footnoteRef/>
      </w:r>
      <w:r w:rsidRPr="00531CC1">
        <w:rPr>
          <w:rFonts w:asciiTheme="majorBidi" w:hAnsiTheme="majorBidi" w:cstheme="majorBidi"/>
          <w:rtl/>
        </w:rPr>
        <w:t xml:space="preserve"> כאן מביא אתוון דאורייתא תוספות ביבמות דף לו עמוד ב, המחלק בין כללי היתר יבמה להיתר אשת איש. לגבי אשת איש הוא נוקט: </w:t>
      </w:r>
      <w:r>
        <w:rPr>
          <w:rFonts w:asciiTheme="majorBidi" w:hAnsiTheme="majorBidi" w:cstheme="majorBidi" w:hint="cs"/>
          <w:rtl/>
        </w:rPr>
        <w:t>'</w:t>
      </w:r>
      <w:r w:rsidRPr="00531CC1">
        <w:rPr>
          <w:rFonts w:asciiTheme="majorBidi" w:hAnsiTheme="majorBidi" w:cstheme="majorBidi"/>
          <w:rtl/>
        </w:rPr>
        <w:t>משום ערוה החמירו'. ומוכח להדיא דאיסור יבמה לשוק אין בו משום ערוה.</w:t>
      </w:r>
      <w:r>
        <w:rPr>
          <w:rFonts w:asciiTheme="majorBidi" w:hAnsiTheme="majorBidi" w:cstheme="majorBidi" w:hint="cs"/>
          <w:rtl/>
        </w:rPr>
        <w:t xml:space="preserve"> (</w:t>
      </w:r>
      <w:r w:rsidRPr="00531CC1">
        <w:rPr>
          <w:rFonts w:asciiTheme="majorBidi" w:hAnsiTheme="majorBidi" w:cstheme="majorBidi"/>
          <w:rtl/>
        </w:rPr>
        <w:t>תוספות מסכת יבמות דף לו עמוד ב</w:t>
      </w:r>
      <w:r>
        <w:rPr>
          <w:rFonts w:asciiTheme="majorBidi" w:hAnsiTheme="majorBidi" w:cstheme="majorBidi" w:hint="cs"/>
          <w:rtl/>
        </w:rPr>
        <w:t>).</w:t>
      </w:r>
    </w:p>
    <w:p w14:paraId="26E870BD" w14:textId="77777777" w:rsidR="00D57DE3" w:rsidRPr="00531CC1" w:rsidRDefault="00D57DE3" w:rsidP="00D57DE3">
      <w:pPr>
        <w:pStyle w:val="a4"/>
        <w:rPr>
          <w:rFonts w:asciiTheme="majorBidi" w:hAnsiTheme="majorBidi" w:cstheme="majorBidi"/>
        </w:rPr>
      </w:pPr>
    </w:p>
  </w:footnote>
  <w:footnote w:id="29">
    <w:p w14:paraId="38EEB03C" w14:textId="5972BFBF" w:rsidR="00D57DE3" w:rsidRDefault="00D57DE3">
      <w:pPr>
        <w:pStyle w:val="a4"/>
      </w:pPr>
      <w:r w:rsidRPr="00D57DE3">
        <w:rPr>
          <w:rStyle w:val="a6"/>
          <w:rFonts w:asciiTheme="majorBidi" w:hAnsiTheme="majorBidi" w:cstheme="majorBidi"/>
        </w:rPr>
        <w:footnoteRef/>
      </w:r>
      <w:r w:rsidRPr="00D57DE3">
        <w:rPr>
          <w:rFonts w:asciiTheme="majorBidi" w:hAnsiTheme="majorBidi" w:cstheme="majorBidi"/>
          <w:rtl/>
        </w:rPr>
        <w:t xml:space="preserve"> אך נשמר מלמהר ולהגדיר פיקוח נפש, ביבמה שטענה שלא תוכל לחכות ליבם קטן. (שו"ת חתם סופר חלק ד (אבן העזר ב) סימן פב</w:t>
      </w:r>
      <w:r>
        <w:rPr>
          <w:rFonts w:asciiTheme="majorBidi" w:hAnsiTheme="majorBidi" w:cstheme="majorBidi" w:hint="cs"/>
          <w:rtl/>
        </w:rPr>
        <w:t>).</w:t>
      </w:r>
    </w:p>
  </w:footnote>
  <w:footnote w:id="30">
    <w:p w14:paraId="46DBA964" w14:textId="06E5491F" w:rsidR="007378D3" w:rsidRDefault="007378D3" w:rsidP="00980E91">
      <w:pPr>
        <w:pStyle w:val="a4"/>
        <w:rPr>
          <w:rFonts w:asciiTheme="majorBidi" w:hAnsiTheme="majorBidi" w:cstheme="majorBidi"/>
          <w:rtl/>
        </w:rPr>
      </w:pPr>
      <w:r>
        <w:rPr>
          <w:rStyle w:val="a6"/>
        </w:rPr>
        <w:footnoteRef/>
      </w:r>
      <w:r w:rsidRPr="007378D3">
        <w:rPr>
          <w:rFonts w:asciiTheme="majorBidi" w:hAnsiTheme="majorBidi" w:cstheme="majorBidi"/>
          <w:rtl/>
        </w:rPr>
        <w:t xml:space="preserve"> הנודע ביהודה סבר בזה אחרת</w:t>
      </w:r>
      <w:r w:rsidR="00980E91">
        <w:rPr>
          <w:rFonts w:asciiTheme="majorBidi" w:hAnsiTheme="majorBidi" w:cstheme="majorBidi" w:hint="cs"/>
          <w:rtl/>
        </w:rPr>
        <w:t xml:space="preserve">. הוא תמה על דברי מרדכי שכתב:  </w:t>
      </w:r>
      <w:r w:rsidR="00980E91" w:rsidRPr="00980E91">
        <w:rPr>
          <w:rFonts w:ascii="David" w:hAnsi="David" w:cs="David"/>
          <w:rtl/>
        </w:rPr>
        <w:t>"היתר יבמה לשוק היא ערוה".</w:t>
      </w:r>
      <w:r w:rsidR="00980E91">
        <w:rPr>
          <w:rFonts w:asciiTheme="majorBidi" w:hAnsiTheme="majorBidi" w:cstheme="majorBidi" w:hint="cs"/>
          <w:rtl/>
        </w:rPr>
        <w:t xml:space="preserve"> </w:t>
      </w:r>
      <w:r w:rsidR="00980E91">
        <w:rPr>
          <w:rFonts w:asciiTheme="majorBidi" w:hAnsiTheme="majorBidi" w:cstheme="majorBidi" w:hint="cs"/>
          <w:rtl/>
        </w:rPr>
        <w:t xml:space="preserve">לדעתו </w:t>
      </w:r>
      <w:r w:rsidR="00980E91">
        <w:rPr>
          <w:rFonts w:ascii="David" w:hAnsi="David" w:cs="David" w:hint="cs"/>
          <w:rtl/>
        </w:rPr>
        <w:t>"</w:t>
      </w:r>
      <w:r w:rsidR="00980E91" w:rsidRPr="00980E91">
        <w:rPr>
          <w:rFonts w:ascii="David" w:hAnsi="David" w:cs="David"/>
          <w:rtl/>
        </w:rPr>
        <w:t xml:space="preserve">אף לרב שאין קידושין תופסין </w:t>
      </w:r>
      <w:r w:rsidR="008632B6">
        <w:rPr>
          <w:rFonts w:ascii="David" w:hAnsi="David" w:cs="David" w:hint="cs"/>
          <w:rtl/>
        </w:rPr>
        <w:t>-</w:t>
      </w:r>
      <w:r w:rsidR="00980E91" w:rsidRPr="00980E91">
        <w:rPr>
          <w:rFonts w:ascii="David" w:hAnsi="David" w:cs="David"/>
          <w:rtl/>
        </w:rPr>
        <w:t>היינו מגזירת הכתוב לא תהיה אשת המת וכו' מ"מ כיון שאין הולד ממזר אינה כערוה</w:t>
      </w:r>
      <w:r w:rsidR="00980E91">
        <w:rPr>
          <w:rFonts w:ascii="David" w:hAnsi="David" w:cs="David" w:hint="cs"/>
          <w:rtl/>
        </w:rPr>
        <w:t xml:space="preserve">" </w:t>
      </w:r>
      <w:r w:rsidR="00980E91">
        <w:rPr>
          <w:rFonts w:asciiTheme="majorBidi" w:hAnsiTheme="majorBidi" w:cs="Times New Roman" w:hint="cs"/>
          <w:rtl/>
        </w:rPr>
        <w:t>(</w:t>
      </w:r>
      <w:r w:rsidR="00980E91" w:rsidRPr="00980E91">
        <w:rPr>
          <w:rFonts w:asciiTheme="majorBidi" w:hAnsiTheme="majorBidi" w:cs="Times New Roman"/>
          <w:rtl/>
        </w:rPr>
        <w:t>שו"ת נודע ביהודה מהדורא קמא - אבן העזר סימן נד</w:t>
      </w:r>
      <w:r w:rsidR="00980E91">
        <w:rPr>
          <w:rFonts w:asciiTheme="majorBidi" w:hAnsiTheme="majorBidi" w:cstheme="majorBidi" w:hint="cs"/>
          <w:rtl/>
        </w:rPr>
        <w:t>).</w:t>
      </w:r>
    </w:p>
    <w:p w14:paraId="4460C1D2" w14:textId="77777777" w:rsidR="00980E91" w:rsidRPr="00980E91" w:rsidRDefault="00980E91" w:rsidP="00980E91">
      <w:pPr>
        <w:pStyle w:val="a4"/>
        <w:rPr>
          <w:rFonts w:asciiTheme="majorBidi" w:hAnsiTheme="majorBidi" w:cstheme="majorBidi"/>
        </w:rPr>
      </w:pPr>
    </w:p>
  </w:footnote>
  <w:footnote w:id="31">
    <w:p w14:paraId="607FFD21" w14:textId="77777777" w:rsidR="001A391B" w:rsidRPr="001A391B" w:rsidRDefault="001A391B" w:rsidP="001A391B">
      <w:pPr>
        <w:spacing w:after="0" w:line="240" w:lineRule="auto"/>
        <w:rPr>
          <w:rFonts w:ascii="David" w:hAnsi="David" w:cs="David"/>
          <w:sz w:val="20"/>
          <w:szCs w:val="20"/>
          <w:rtl/>
        </w:rPr>
      </w:pPr>
      <w:r w:rsidRPr="001A391B">
        <w:rPr>
          <w:rStyle w:val="a6"/>
          <w:rFonts w:ascii="David" w:hAnsi="David" w:cs="David"/>
          <w:sz w:val="20"/>
          <w:szCs w:val="20"/>
        </w:rPr>
        <w:footnoteRef/>
      </w:r>
      <w:r w:rsidRPr="001A391B">
        <w:rPr>
          <w:rFonts w:ascii="David" w:hAnsi="David" w:cs="David"/>
          <w:sz w:val="20"/>
          <w:szCs w:val="20"/>
          <w:rtl/>
        </w:rPr>
        <w:t xml:space="preserve"> ואם נאמר כן</w:t>
      </w:r>
      <w:r>
        <w:rPr>
          <w:rFonts w:ascii="David" w:hAnsi="David" w:cs="David" w:hint="cs"/>
          <w:sz w:val="20"/>
          <w:szCs w:val="20"/>
          <w:rtl/>
        </w:rPr>
        <w:t xml:space="preserve">, </w:t>
      </w:r>
      <w:r w:rsidRPr="001A391B">
        <w:rPr>
          <w:rFonts w:ascii="David" w:hAnsi="David" w:cs="David"/>
          <w:sz w:val="20"/>
          <w:szCs w:val="20"/>
          <w:rtl/>
        </w:rPr>
        <w:t xml:space="preserve">אזי שפיר ראוי לפטור מכיבוד אשת אב לאחר מיתת האב כיון שעתה איננה עוד אשתו לשום דבר שמה שאסורה לבניו משום אשת אב הוא רק מפאת שהית' מתחלה אשת אב אבל לא מפאת אישות דהשתא... </w:t>
      </w:r>
    </w:p>
    <w:p w14:paraId="291ECD7B" w14:textId="77777777" w:rsidR="001A391B" w:rsidRPr="001A391B" w:rsidRDefault="001A391B" w:rsidP="001A391B">
      <w:pPr>
        <w:pStyle w:val="a4"/>
        <w:rPr>
          <w:rFonts w:ascii="David" w:hAnsi="David" w:cs="David"/>
          <w:rtl/>
        </w:rPr>
      </w:pPr>
    </w:p>
  </w:footnote>
  <w:footnote w:id="32">
    <w:p w14:paraId="4A1ECF7F" w14:textId="017ED46B" w:rsidR="00FA2F10" w:rsidRPr="005E0FE9" w:rsidRDefault="00FA2F10" w:rsidP="005E0FE9">
      <w:pPr>
        <w:spacing w:after="0" w:line="360" w:lineRule="auto"/>
        <w:rPr>
          <w:rFonts w:asciiTheme="majorBidi" w:hAnsiTheme="majorBidi" w:cstheme="majorBidi"/>
          <w:sz w:val="20"/>
          <w:szCs w:val="20"/>
          <w:rtl/>
        </w:rPr>
      </w:pPr>
      <w:r w:rsidRPr="00531CC1">
        <w:rPr>
          <w:rStyle w:val="a6"/>
          <w:rFonts w:asciiTheme="majorBidi" w:hAnsiTheme="majorBidi" w:cstheme="majorBidi"/>
          <w:sz w:val="20"/>
          <w:szCs w:val="20"/>
        </w:rPr>
        <w:footnoteRef/>
      </w:r>
      <w:r w:rsidRPr="00531CC1">
        <w:rPr>
          <w:rFonts w:asciiTheme="majorBidi" w:hAnsiTheme="majorBidi" w:cstheme="majorBidi"/>
          <w:sz w:val="20"/>
          <w:szCs w:val="20"/>
          <w:rtl/>
        </w:rPr>
        <w:t xml:space="preserve">   </w:t>
      </w:r>
      <w:r w:rsidRPr="00531CC1">
        <w:rPr>
          <w:rFonts w:asciiTheme="majorBidi" w:hAnsiTheme="majorBidi" w:cstheme="majorBidi"/>
          <w:sz w:val="20"/>
          <w:szCs w:val="20"/>
          <w:rtl/>
        </w:rPr>
        <w:t>מסכת בבא מציעא דף כ.</w:t>
      </w:r>
    </w:p>
  </w:footnote>
  <w:footnote w:id="33">
    <w:p w14:paraId="3254DA93" w14:textId="71FE571C" w:rsidR="005C4DB6" w:rsidRPr="006E0983" w:rsidRDefault="005C4DB6" w:rsidP="005E0FE9">
      <w:pPr>
        <w:spacing w:after="0" w:line="360" w:lineRule="auto"/>
        <w:rPr>
          <w:rFonts w:asciiTheme="majorBidi" w:hAnsiTheme="majorBidi" w:cstheme="majorBidi"/>
          <w:sz w:val="20"/>
          <w:szCs w:val="20"/>
          <w:rtl/>
        </w:rPr>
      </w:pPr>
      <w:r w:rsidRPr="006E0983">
        <w:rPr>
          <w:rStyle w:val="a6"/>
          <w:sz w:val="20"/>
          <w:szCs w:val="20"/>
        </w:rPr>
        <w:footnoteRef/>
      </w:r>
      <w:r w:rsidRPr="006E0983">
        <w:rPr>
          <w:sz w:val="20"/>
          <w:szCs w:val="20"/>
          <w:rtl/>
        </w:rPr>
        <w:t xml:space="preserve"> </w:t>
      </w:r>
      <w:r w:rsidRPr="006E0983">
        <w:rPr>
          <w:rFonts w:asciiTheme="majorBidi" w:hAnsiTheme="majorBidi" w:cs="Times New Roman" w:hint="cs"/>
          <w:sz w:val="20"/>
          <w:szCs w:val="20"/>
          <w:rtl/>
        </w:rPr>
        <w:t xml:space="preserve"> </w:t>
      </w:r>
      <w:r w:rsidRPr="006E0983">
        <w:rPr>
          <w:rFonts w:asciiTheme="majorBidi" w:hAnsiTheme="majorBidi" w:cs="Times New Roman"/>
          <w:sz w:val="20"/>
          <w:szCs w:val="20"/>
          <w:rtl/>
        </w:rPr>
        <w:t xml:space="preserve"> </w:t>
      </w:r>
      <w:r w:rsidRPr="006E0983">
        <w:rPr>
          <w:rFonts w:asciiTheme="majorBidi" w:hAnsiTheme="majorBidi" w:cs="Times New Roman"/>
          <w:sz w:val="20"/>
          <w:szCs w:val="20"/>
          <w:rtl/>
        </w:rPr>
        <w:t>מסכת יבמות ד</w:t>
      </w:r>
      <w:r w:rsidRPr="006E0983">
        <w:rPr>
          <w:rFonts w:asciiTheme="majorBidi" w:hAnsiTheme="majorBidi" w:cs="Times New Roman" w:hint="cs"/>
          <w:sz w:val="20"/>
          <w:szCs w:val="20"/>
          <w:rtl/>
        </w:rPr>
        <w:t>פים</w:t>
      </w:r>
      <w:r w:rsidRPr="006E0983">
        <w:rPr>
          <w:rFonts w:asciiTheme="majorBidi" w:hAnsiTheme="majorBidi" w:cs="Times New Roman"/>
          <w:sz w:val="20"/>
          <w:szCs w:val="20"/>
          <w:rtl/>
        </w:rPr>
        <w:t xml:space="preserve"> מא</w:t>
      </w:r>
      <w:r w:rsidRPr="006E0983">
        <w:rPr>
          <w:rFonts w:asciiTheme="majorBidi" w:hAnsiTheme="majorBidi" w:cs="Times New Roman" w:hint="cs"/>
          <w:sz w:val="20"/>
          <w:szCs w:val="20"/>
          <w:rtl/>
        </w:rPr>
        <w:t>-מב</w:t>
      </w:r>
      <w:r w:rsidRPr="006E0983">
        <w:rPr>
          <w:rFonts w:asciiTheme="majorBidi" w:hAnsiTheme="majorBidi" w:cstheme="majorBidi" w:hint="cs"/>
          <w:sz w:val="20"/>
          <w:szCs w:val="20"/>
          <w:rtl/>
        </w:rPr>
        <w:t>.</w:t>
      </w:r>
    </w:p>
    <w:p w14:paraId="344A4F77" w14:textId="7C5207B3" w:rsidR="005C4DB6" w:rsidRDefault="005C4DB6">
      <w:pPr>
        <w:pStyle w:val="a4"/>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tl/>
      </w:rPr>
      <w:id w:val="-1566185561"/>
      <w:docPartObj>
        <w:docPartGallery w:val="Page Numbers (Top of Page)"/>
        <w:docPartUnique/>
      </w:docPartObj>
    </w:sdtPr>
    <w:sdtEndPr/>
    <w:sdtContent>
      <w:p w14:paraId="1EB4E3DB" w14:textId="4511A77B" w:rsidR="00800C63" w:rsidRDefault="00800C63">
        <w:pPr>
          <w:pStyle w:val="a8"/>
        </w:pPr>
        <w:r>
          <w:fldChar w:fldCharType="begin"/>
        </w:r>
        <w:r>
          <w:instrText>PAGE   \* MERGEFORMAT</w:instrText>
        </w:r>
        <w:r>
          <w:fldChar w:fldCharType="separate"/>
        </w:r>
        <w:r>
          <w:rPr>
            <w:rtl/>
            <w:lang w:val="he-IL"/>
          </w:rPr>
          <w:t>2</w:t>
        </w:r>
        <w:r>
          <w:fldChar w:fldCharType="end"/>
        </w:r>
      </w:p>
    </w:sdtContent>
  </w:sdt>
  <w:p w14:paraId="08A6F91A" w14:textId="77777777" w:rsidR="00800C63" w:rsidRDefault="00800C63">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0506F55"/>
    <w:multiLevelType w:val="hybridMultilevel"/>
    <w:tmpl w:val="CCA42550"/>
    <w:lvl w:ilvl="0" w:tplc="353CB29E">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F1D1510"/>
    <w:multiLevelType w:val="hybridMultilevel"/>
    <w:tmpl w:val="11681148"/>
    <w:lvl w:ilvl="0" w:tplc="57B2B5DA">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6C943265"/>
    <w:multiLevelType w:val="hybridMultilevel"/>
    <w:tmpl w:val="018E028C"/>
    <w:lvl w:ilvl="0" w:tplc="1BC0F992">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E6D6754"/>
    <w:multiLevelType w:val="hybridMultilevel"/>
    <w:tmpl w:val="0420A01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05383512">
    <w:abstractNumId w:val="3"/>
  </w:num>
  <w:num w:numId="2" w16cid:durableId="1115061565">
    <w:abstractNumId w:val="1"/>
  </w:num>
  <w:num w:numId="3" w16cid:durableId="1321419166">
    <w:abstractNumId w:val="0"/>
  </w:num>
  <w:num w:numId="4" w16cid:durableId="184755536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7CDA"/>
    <w:rsid w:val="00003D2E"/>
    <w:rsid w:val="000716DE"/>
    <w:rsid w:val="000719F1"/>
    <w:rsid w:val="00071EFD"/>
    <w:rsid w:val="000803FE"/>
    <w:rsid w:val="00091F77"/>
    <w:rsid w:val="001528D5"/>
    <w:rsid w:val="001A391B"/>
    <w:rsid w:val="001A5690"/>
    <w:rsid w:val="001E73B5"/>
    <w:rsid w:val="00266207"/>
    <w:rsid w:val="00293330"/>
    <w:rsid w:val="00327F19"/>
    <w:rsid w:val="00336893"/>
    <w:rsid w:val="003D7C67"/>
    <w:rsid w:val="003E67B0"/>
    <w:rsid w:val="003F7D00"/>
    <w:rsid w:val="00402659"/>
    <w:rsid w:val="00411E0F"/>
    <w:rsid w:val="00485836"/>
    <w:rsid w:val="004D557A"/>
    <w:rsid w:val="004F033D"/>
    <w:rsid w:val="00531CC1"/>
    <w:rsid w:val="005A7CDA"/>
    <w:rsid w:val="005C4DB6"/>
    <w:rsid w:val="005E0FE9"/>
    <w:rsid w:val="006818A6"/>
    <w:rsid w:val="006B0B1C"/>
    <w:rsid w:val="006B69DF"/>
    <w:rsid w:val="006E0983"/>
    <w:rsid w:val="0071706D"/>
    <w:rsid w:val="007378D3"/>
    <w:rsid w:val="00757C2D"/>
    <w:rsid w:val="00764689"/>
    <w:rsid w:val="007C3293"/>
    <w:rsid w:val="00800C63"/>
    <w:rsid w:val="00815681"/>
    <w:rsid w:val="00820D19"/>
    <w:rsid w:val="008632B6"/>
    <w:rsid w:val="00940DBF"/>
    <w:rsid w:val="00954250"/>
    <w:rsid w:val="00966A70"/>
    <w:rsid w:val="00980E91"/>
    <w:rsid w:val="0099718D"/>
    <w:rsid w:val="00A82CF4"/>
    <w:rsid w:val="00AB3153"/>
    <w:rsid w:val="00AE1F0D"/>
    <w:rsid w:val="00B4463A"/>
    <w:rsid w:val="00BD345C"/>
    <w:rsid w:val="00BF34A5"/>
    <w:rsid w:val="00C55CD2"/>
    <w:rsid w:val="00CB137B"/>
    <w:rsid w:val="00CC6BA6"/>
    <w:rsid w:val="00CE64B6"/>
    <w:rsid w:val="00D36273"/>
    <w:rsid w:val="00D53AEB"/>
    <w:rsid w:val="00D57DE3"/>
    <w:rsid w:val="00D74A52"/>
    <w:rsid w:val="00DA00E4"/>
    <w:rsid w:val="00E02EB4"/>
    <w:rsid w:val="00E3638F"/>
    <w:rsid w:val="00E43C3A"/>
    <w:rsid w:val="00E82106"/>
    <w:rsid w:val="00EE1258"/>
    <w:rsid w:val="00F1476B"/>
    <w:rsid w:val="00F70C9D"/>
    <w:rsid w:val="00FA2F1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7E1C4F"/>
  <w15:chartTrackingRefBased/>
  <w15:docId w15:val="{390DEC90-81B2-46F7-AF58-B38E429B8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bidi/>
    </w:pPr>
    <w:rPr>
      <w:noProo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F033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note text"/>
    <w:basedOn w:val="a"/>
    <w:link w:val="a5"/>
    <w:uiPriority w:val="99"/>
    <w:semiHidden/>
    <w:unhideWhenUsed/>
    <w:rsid w:val="006818A6"/>
    <w:pPr>
      <w:spacing w:after="0" w:line="240" w:lineRule="auto"/>
    </w:pPr>
    <w:rPr>
      <w:sz w:val="20"/>
      <w:szCs w:val="20"/>
    </w:rPr>
  </w:style>
  <w:style w:type="character" w:customStyle="1" w:styleId="a5">
    <w:name w:val="טקסט הערת שוליים תו"/>
    <w:basedOn w:val="a0"/>
    <w:link w:val="a4"/>
    <w:uiPriority w:val="99"/>
    <w:semiHidden/>
    <w:rsid w:val="006818A6"/>
    <w:rPr>
      <w:noProof/>
      <w:sz w:val="20"/>
      <w:szCs w:val="20"/>
    </w:rPr>
  </w:style>
  <w:style w:type="character" w:styleId="a6">
    <w:name w:val="footnote reference"/>
    <w:basedOn w:val="a0"/>
    <w:uiPriority w:val="99"/>
    <w:semiHidden/>
    <w:unhideWhenUsed/>
    <w:rsid w:val="006818A6"/>
    <w:rPr>
      <w:vertAlign w:val="superscript"/>
    </w:rPr>
  </w:style>
  <w:style w:type="paragraph" w:styleId="a7">
    <w:name w:val="List Paragraph"/>
    <w:basedOn w:val="a"/>
    <w:uiPriority w:val="34"/>
    <w:qFormat/>
    <w:rsid w:val="00BF34A5"/>
    <w:pPr>
      <w:ind w:left="720"/>
      <w:contextualSpacing/>
    </w:pPr>
  </w:style>
  <w:style w:type="paragraph" w:styleId="a8">
    <w:name w:val="header"/>
    <w:basedOn w:val="a"/>
    <w:link w:val="a9"/>
    <w:uiPriority w:val="99"/>
    <w:unhideWhenUsed/>
    <w:rsid w:val="00800C63"/>
    <w:pPr>
      <w:tabs>
        <w:tab w:val="center" w:pos="4153"/>
        <w:tab w:val="right" w:pos="8306"/>
      </w:tabs>
      <w:spacing w:after="0" w:line="240" w:lineRule="auto"/>
    </w:pPr>
  </w:style>
  <w:style w:type="character" w:customStyle="1" w:styleId="a9">
    <w:name w:val="כותרת עליונה תו"/>
    <w:basedOn w:val="a0"/>
    <w:link w:val="a8"/>
    <w:uiPriority w:val="99"/>
    <w:rsid w:val="00800C63"/>
    <w:rPr>
      <w:noProof/>
    </w:rPr>
  </w:style>
  <w:style w:type="paragraph" w:styleId="aa">
    <w:name w:val="footer"/>
    <w:basedOn w:val="a"/>
    <w:link w:val="ab"/>
    <w:uiPriority w:val="99"/>
    <w:unhideWhenUsed/>
    <w:rsid w:val="00800C63"/>
    <w:pPr>
      <w:tabs>
        <w:tab w:val="center" w:pos="4153"/>
        <w:tab w:val="right" w:pos="8306"/>
      </w:tabs>
      <w:spacing w:after="0" w:line="240" w:lineRule="auto"/>
    </w:pPr>
  </w:style>
  <w:style w:type="character" w:customStyle="1" w:styleId="ab">
    <w:name w:val="כותרת תחתונה תו"/>
    <w:basedOn w:val="a0"/>
    <w:link w:val="aa"/>
    <w:uiPriority w:val="99"/>
    <w:rsid w:val="00800C63"/>
    <w:rPr>
      <w:noProo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97867-843B-44F0-A843-E1309E7484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8</Pages>
  <Words>2274</Words>
  <Characters>11371</Characters>
  <Application>Microsoft Office Word</Application>
  <DocSecurity>0</DocSecurity>
  <Lines>94</Lines>
  <Paragraphs>27</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13618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paz peleg</dc:creator>
  <cp:keywords/>
  <dc:description/>
  <cp:lastModifiedBy>paz peleg</cp:lastModifiedBy>
  <cp:revision>6</cp:revision>
  <dcterms:created xsi:type="dcterms:W3CDTF">2022-03-06T06:34:00Z</dcterms:created>
  <dcterms:modified xsi:type="dcterms:W3CDTF">2022-05-22T11:53:00Z</dcterms:modified>
</cp:coreProperties>
</file>