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F063" w14:textId="77777777" w:rsidR="00A85822" w:rsidRPr="00A85822" w:rsidRDefault="00A85822" w:rsidP="00A85822">
      <w:pPr>
        <w:spacing w:after="0" w:line="360" w:lineRule="auto"/>
        <w:rPr>
          <w:rFonts w:asciiTheme="majorBidi" w:hAnsiTheme="majorBidi" w:cs="Times New Roman"/>
          <w:sz w:val="24"/>
          <w:szCs w:val="24"/>
          <w:rtl/>
        </w:rPr>
      </w:pPr>
      <w:r w:rsidRPr="00A85822">
        <w:rPr>
          <w:rFonts w:asciiTheme="majorBidi" w:hAnsiTheme="majorBidi" w:cs="Times New Roman"/>
          <w:sz w:val="24"/>
          <w:szCs w:val="24"/>
          <w:rtl/>
        </w:rPr>
        <w:t>משנה מסכת כתובות פרק ב</w:t>
      </w:r>
    </w:p>
    <w:p w14:paraId="186AD8A2" w14:textId="359C9D39" w:rsidR="00A85822" w:rsidRDefault="00A85822" w:rsidP="00A85822">
      <w:pPr>
        <w:spacing w:after="0" w:line="360" w:lineRule="auto"/>
        <w:rPr>
          <w:rFonts w:asciiTheme="majorBidi" w:hAnsiTheme="majorBidi" w:cs="Times New Roman"/>
          <w:sz w:val="24"/>
          <w:szCs w:val="24"/>
          <w:rtl/>
        </w:rPr>
      </w:pPr>
      <w:r w:rsidRPr="00A85822">
        <w:rPr>
          <w:rFonts w:asciiTheme="majorBidi" w:hAnsiTheme="majorBidi" w:cs="Times New Roman"/>
          <w:sz w:val="24"/>
          <w:szCs w:val="24"/>
          <w:rtl/>
        </w:rPr>
        <w:t>האשה שנחבשה בידי גוים על ידי ממון מותרת לבעלה</w:t>
      </w:r>
      <w:r>
        <w:rPr>
          <w:rFonts w:asciiTheme="majorBidi" w:hAnsiTheme="majorBidi" w:cs="Times New Roman" w:hint="cs"/>
          <w:sz w:val="24"/>
          <w:szCs w:val="24"/>
          <w:rtl/>
        </w:rPr>
        <w:t>.</w:t>
      </w:r>
      <w:r w:rsidRPr="00A85822">
        <w:rPr>
          <w:rFonts w:asciiTheme="majorBidi" w:hAnsiTheme="majorBidi" w:cs="Times New Roman"/>
          <w:sz w:val="24"/>
          <w:szCs w:val="24"/>
          <w:rtl/>
        </w:rPr>
        <w:t xml:space="preserve"> על ידי נפשות</w:t>
      </w:r>
      <w:r>
        <w:rPr>
          <w:rFonts w:asciiTheme="majorBidi" w:hAnsiTheme="majorBidi" w:cs="Times New Roman" w:hint="cs"/>
          <w:sz w:val="24"/>
          <w:szCs w:val="24"/>
          <w:rtl/>
        </w:rPr>
        <w:t>-</w:t>
      </w:r>
      <w:r w:rsidRPr="00A85822">
        <w:rPr>
          <w:rFonts w:asciiTheme="majorBidi" w:hAnsiTheme="majorBidi" w:cs="Times New Roman"/>
          <w:sz w:val="24"/>
          <w:szCs w:val="24"/>
          <w:rtl/>
        </w:rPr>
        <w:t xml:space="preserve"> אסורה לבעלה</w:t>
      </w:r>
      <w:r>
        <w:rPr>
          <w:rFonts w:asciiTheme="majorBidi" w:hAnsiTheme="majorBidi" w:cs="Times New Roman" w:hint="cs"/>
          <w:sz w:val="24"/>
          <w:szCs w:val="24"/>
          <w:rtl/>
        </w:rPr>
        <w:t>.</w:t>
      </w:r>
      <w:r w:rsidRPr="00A85822">
        <w:rPr>
          <w:rFonts w:asciiTheme="majorBidi" w:hAnsiTheme="majorBidi" w:cs="Times New Roman"/>
          <w:sz w:val="24"/>
          <w:szCs w:val="24"/>
          <w:rtl/>
        </w:rPr>
        <w:t xml:space="preserve"> עיר שכבשה כרכום </w:t>
      </w:r>
      <w:r w:rsidR="00F82817">
        <w:rPr>
          <w:rFonts w:asciiTheme="majorBidi" w:hAnsiTheme="majorBidi" w:cs="Times New Roman" w:hint="cs"/>
          <w:sz w:val="24"/>
          <w:szCs w:val="24"/>
          <w:rtl/>
        </w:rPr>
        <w:t xml:space="preserve">- </w:t>
      </w:r>
      <w:r w:rsidRPr="00A85822">
        <w:rPr>
          <w:rFonts w:asciiTheme="majorBidi" w:hAnsiTheme="majorBidi" w:cs="Times New Roman"/>
          <w:sz w:val="24"/>
          <w:szCs w:val="24"/>
          <w:rtl/>
        </w:rPr>
        <w:t>כל כהנות שנמצאו בתוכה פסולות</w:t>
      </w:r>
      <w:r w:rsidR="00F82817">
        <w:rPr>
          <w:rFonts w:asciiTheme="majorBidi" w:hAnsiTheme="majorBidi" w:cs="Times New Roman" w:hint="cs"/>
          <w:sz w:val="24"/>
          <w:szCs w:val="24"/>
          <w:rtl/>
        </w:rPr>
        <w:t>.</w:t>
      </w:r>
      <w:r w:rsidRPr="00A85822">
        <w:rPr>
          <w:rFonts w:asciiTheme="majorBidi" w:hAnsiTheme="majorBidi" w:cs="Times New Roman"/>
          <w:sz w:val="24"/>
          <w:szCs w:val="24"/>
          <w:rtl/>
        </w:rPr>
        <w:t xml:space="preserve"> ואם יש להן עדים אפילו עבד אפילו שפחה הרי אלו נאמנין ואין נאמן אדם על ידי עצמו</w:t>
      </w:r>
      <w:r>
        <w:rPr>
          <w:rFonts w:asciiTheme="majorBidi" w:hAnsiTheme="majorBidi" w:cs="Times New Roman" w:hint="cs"/>
          <w:sz w:val="24"/>
          <w:szCs w:val="24"/>
          <w:rtl/>
        </w:rPr>
        <w:t>.</w:t>
      </w:r>
      <w:r w:rsidRPr="00A85822">
        <w:rPr>
          <w:rFonts w:asciiTheme="majorBidi" w:hAnsiTheme="majorBidi" w:cs="Times New Roman"/>
          <w:sz w:val="24"/>
          <w:szCs w:val="24"/>
          <w:rtl/>
        </w:rPr>
        <w:t xml:space="preserve"> אמר רבי זכריה בן הקצב המעון הזה לא זזה ידה מתוך ידי משעה שנכנסו גוים לירושלים ועד שיצאו אמרו לו אין אדם מעיד על ידי עצמו: </w:t>
      </w:r>
      <w:r w:rsidR="00CC5D89">
        <w:rPr>
          <w:rFonts w:asciiTheme="majorBidi" w:hAnsiTheme="majorBidi" w:cs="Times New Roman" w:hint="cs"/>
          <w:sz w:val="24"/>
          <w:szCs w:val="24"/>
          <w:rtl/>
        </w:rPr>
        <w:t xml:space="preserve"> </w:t>
      </w:r>
      <w:r w:rsidR="00CC5D89" w:rsidRPr="00CC5D89">
        <w:rPr>
          <w:rFonts w:asciiTheme="majorBidi" w:hAnsiTheme="majorBidi" w:cs="Times New Roman"/>
          <w:sz w:val="24"/>
          <w:szCs w:val="24"/>
          <w:rtl/>
        </w:rPr>
        <w:t xml:space="preserve"> </w:t>
      </w:r>
    </w:p>
    <w:p w14:paraId="00469FF1" w14:textId="0E9F82D5" w:rsidR="00CC5D89" w:rsidRPr="00CC5D89" w:rsidRDefault="00CC5D89" w:rsidP="00A85822">
      <w:pPr>
        <w:spacing w:after="0" w:line="360" w:lineRule="auto"/>
        <w:rPr>
          <w:rFonts w:asciiTheme="majorBidi" w:hAnsiTheme="majorBidi" w:cstheme="majorBidi"/>
          <w:sz w:val="24"/>
          <w:szCs w:val="24"/>
          <w:rtl/>
        </w:rPr>
      </w:pPr>
      <w:r w:rsidRPr="00CC5D89">
        <w:rPr>
          <w:rFonts w:asciiTheme="majorBidi" w:hAnsiTheme="majorBidi" w:cs="Times New Roman"/>
          <w:sz w:val="24"/>
          <w:szCs w:val="24"/>
          <w:rtl/>
        </w:rPr>
        <w:t>מסכת כתובות דף כז עמוד ב</w:t>
      </w:r>
    </w:p>
    <w:p w14:paraId="73CDD0D2" w14:textId="614D55AF" w:rsidR="00A82CF4" w:rsidRDefault="00CC5D89" w:rsidP="00F82817">
      <w:pPr>
        <w:spacing w:after="0" w:line="360" w:lineRule="auto"/>
        <w:rPr>
          <w:rFonts w:asciiTheme="majorBidi" w:hAnsiTheme="majorBidi" w:cstheme="majorBidi"/>
          <w:sz w:val="24"/>
          <w:szCs w:val="24"/>
          <w:rtl/>
        </w:rPr>
      </w:pPr>
      <w:r w:rsidRPr="00CC5D89">
        <w:rPr>
          <w:rFonts w:asciiTheme="majorBidi" w:hAnsiTheme="majorBidi" w:cs="Times New Roman"/>
          <w:sz w:val="24"/>
          <w:szCs w:val="24"/>
          <w:rtl/>
        </w:rPr>
        <w:t>גמ'. תנא: ואעפ"כ ייחד לה בית בחצרו, וכשהיא יוצאה - יוצאה בראש בניה, וכשהיא נכנסת - נכנסת בסוף בניה. בעי אביי: מהו לעשות בגרושה כן? התם הוא דבשבויה הקילו, אבל הכא לא, או דלמא לא שנא? ת"ש, דתניא: המגרש את אשתו - לא תנשא בשכונתו</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Pr="00CC5D89">
        <w:rPr>
          <w:rFonts w:asciiTheme="majorBidi" w:hAnsiTheme="majorBidi" w:cs="Times New Roman"/>
          <w:sz w:val="24"/>
          <w:szCs w:val="24"/>
          <w:rtl/>
        </w:rPr>
        <w:t>ואם היה כהן - לא תדור עמו במבוי</w:t>
      </w:r>
    </w:p>
    <w:p w14:paraId="6EDD0FAF" w14:textId="77777777" w:rsidR="00F82817" w:rsidRDefault="00F82817" w:rsidP="00F82817">
      <w:pPr>
        <w:spacing w:after="0" w:line="360" w:lineRule="auto"/>
        <w:rPr>
          <w:rFonts w:asciiTheme="majorBidi" w:hAnsiTheme="majorBidi" w:cstheme="majorBidi"/>
          <w:sz w:val="24"/>
          <w:szCs w:val="24"/>
          <w:rtl/>
        </w:rPr>
      </w:pPr>
    </w:p>
    <w:p w14:paraId="043BE963" w14:textId="79A24566" w:rsidR="00A01BF2" w:rsidRPr="006D21C8" w:rsidRDefault="00B97CED" w:rsidP="00F82817">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עדות</w:t>
      </w:r>
      <w:r w:rsidR="006D21C8">
        <w:rPr>
          <w:rFonts w:asciiTheme="majorBidi" w:hAnsiTheme="majorBidi" w:cstheme="majorBidi" w:hint="cs"/>
          <w:b/>
          <w:bCs/>
          <w:sz w:val="28"/>
          <w:szCs w:val="28"/>
          <w:u w:val="single"/>
          <w:rtl/>
        </w:rPr>
        <w:t xml:space="preserve"> בעל</w:t>
      </w:r>
      <w:r w:rsidR="004315A7">
        <w:rPr>
          <w:rFonts w:asciiTheme="majorBidi" w:hAnsiTheme="majorBidi" w:cstheme="majorBidi" w:hint="cs"/>
          <w:b/>
          <w:bCs/>
          <w:sz w:val="28"/>
          <w:szCs w:val="28"/>
          <w:u w:val="single"/>
          <w:rtl/>
        </w:rPr>
        <w:t xml:space="preserve"> בחשש שבויה</w:t>
      </w:r>
    </w:p>
    <w:p w14:paraId="115E6482" w14:textId="048D8D56" w:rsidR="00A81792" w:rsidRPr="00F82817" w:rsidRDefault="006D21C8" w:rsidP="00F82817">
      <w:pPr>
        <w:pStyle w:val="aa"/>
        <w:numPr>
          <w:ilvl w:val="0"/>
          <w:numId w:val="3"/>
        </w:numPr>
        <w:spacing w:after="0" w:line="360" w:lineRule="auto"/>
        <w:rPr>
          <w:rFonts w:asciiTheme="majorBidi" w:hAnsiTheme="majorBidi" w:cstheme="majorBidi"/>
          <w:b/>
          <w:bCs/>
          <w:sz w:val="24"/>
          <w:szCs w:val="24"/>
          <w:rtl/>
        </w:rPr>
      </w:pPr>
      <w:r w:rsidRPr="00F82817">
        <w:rPr>
          <w:rFonts w:asciiTheme="majorBidi" w:hAnsiTheme="majorBidi" w:cstheme="majorBidi" w:hint="cs"/>
          <w:b/>
          <w:bCs/>
          <w:sz w:val="24"/>
          <w:szCs w:val="24"/>
          <w:rtl/>
        </w:rPr>
        <w:t>הקדמה</w:t>
      </w:r>
    </w:p>
    <w:p w14:paraId="604A5696" w14:textId="2EBF89EE" w:rsidR="00861F43" w:rsidRPr="00861F43" w:rsidRDefault="00861F43" w:rsidP="00A81792">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שנינו:</w:t>
      </w:r>
      <w:r w:rsidR="00A81792">
        <w:rPr>
          <w:rFonts w:asciiTheme="majorBidi" w:hAnsiTheme="majorBidi" w:cstheme="majorBidi" w:hint="cs"/>
          <w:b/>
          <w:bCs/>
          <w:sz w:val="24"/>
          <w:szCs w:val="24"/>
          <w:rtl/>
        </w:rPr>
        <w:t xml:space="preserve"> </w:t>
      </w:r>
      <w:r w:rsidR="007D73AE">
        <w:rPr>
          <w:rFonts w:ascii="David" w:hAnsi="David" w:cs="David" w:hint="cs"/>
          <w:sz w:val="24"/>
          <w:szCs w:val="24"/>
          <w:rtl/>
        </w:rPr>
        <w:t>"</w:t>
      </w:r>
      <w:r w:rsidR="007D73AE" w:rsidRPr="007D73AE">
        <w:rPr>
          <w:rFonts w:ascii="David" w:hAnsi="David" w:cs="David"/>
          <w:sz w:val="24"/>
          <w:szCs w:val="24"/>
          <w:rtl/>
        </w:rPr>
        <w:t>השבויה.. כתובתן מנה ואין להם טענת בתולין</w:t>
      </w:r>
      <w:r w:rsidR="007D73AE" w:rsidRPr="007D73AE">
        <w:rPr>
          <w:rStyle w:val="a5"/>
          <w:rFonts w:ascii="David" w:hAnsi="David" w:cs="David"/>
          <w:sz w:val="24"/>
          <w:szCs w:val="24"/>
          <w:rtl/>
        </w:rPr>
        <w:footnoteReference w:id="1"/>
      </w:r>
      <w:r w:rsidR="007D73AE">
        <w:rPr>
          <w:rFonts w:ascii="David" w:hAnsi="David" w:cs="David" w:hint="cs"/>
          <w:sz w:val="24"/>
          <w:szCs w:val="24"/>
          <w:rtl/>
        </w:rPr>
        <w:t>".</w:t>
      </w:r>
      <w:r w:rsidR="00A81792">
        <w:rPr>
          <w:rFonts w:asciiTheme="majorBidi" w:hAnsiTheme="majorBidi" w:cstheme="majorBidi" w:hint="cs"/>
          <w:b/>
          <w:bCs/>
          <w:sz w:val="24"/>
          <w:szCs w:val="24"/>
          <w:rtl/>
        </w:rPr>
        <w:t xml:space="preserve"> </w:t>
      </w:r>
      <w:r w:rsidR="00A81792">
        <w:rPr>
          <w:rFonts w:asciiTheme="majorBidi" w:hAnsiTheme="majorBidi" w:cstheme="majorBidi" w:hint="cs"/>
          <w:sz w:val="24"/>
          <w:szCs w:val="24"/>
          <w:rtl/>
        </w:rPr>
        <w:t xml:space="preserve">הרי שהשבויה בחזקת שנבעלה לגוי. עוד למדנו: </w:t>
      </w:r>
      <w:r>
        <w:rPr>
          <w:rFonts w:asciiTheme="majorBidi" w:hAnsiTheme="majorBidi" w:cs="Times New Roman" w:hint="cs"/>
          <w:sz w:val="24"/>
          <w:szCs w:val="24"/>
          <w:rtl/>
        </w:rPr>
        <w:t xml:space="preserve"> </w:t>
      </w:r>
      <w:r w:rsidRPr="00861F43">
        <w:rPr>
          <w:rFonts w:ascii="David" w:hAnsi="David" w:cs="David"/>
          <w:sz w:val="24"/>
          <w:szCs w:val="24"/>
          <w:rtl/>
        </w:rPr>
        <w:t>"אמרה נשביתי וטהורה אני</w:t>
      </w:r>
      <w:r w:rsidR="00F82817">
        <w:rPr>
          <w:rFonts w:ascii="David" w:hAnsi="David" w:cs="David" w:hint="cs"/>
          <w:sz w:val="24"/>
          <w:szCs w:val="24"/>
          <w:rtl/>
        </w:rPr>
        <w:t>-</w:t>
      </w:r>
      <w:r w:rsidRPr="00861F43">
        <w:rPr>
          <w:rFonts w:ascii="David" w:hAnsi="David" w:cs="David"/>
          <w:sz w:val="24"/>
          <w:szCs w:val="24"/>
          <w:rtl/>
        </w:rPr>
        <w:t xml:space="preserve"> נאמנת</w:t>
      </w:r>
      <w:r w:rsidR="00F82817">
        <w:rPr>
          <w:rFonts w:ascii="David" w:hAnsi="David" w:cs="David" w:hint="cs"/>
          <w:sz w:val="24"/>
          <w:szCs w:val="24"/>
          <w:rtl/>
        </w:rPr>
        <w:t>,</w:t>
      </w:r>
      <w:r w:rsidRPr="00861F43">
        <w:rPr>
          <w:rFonts w:ascii="David" w:hAnsi="David" w:cs="David"/>
          <w:sz w:val="24"/>
          <w:szCs w:val="24"/>
          <w:rtl/>
        </w:rPr>
        <w:t xml:space="preserve"> שהפה שאסר הוא הפה שהתיר</w:t>
      </w:r>
      <w:r w:rsidR="00A81792">
        <w:rPr>
          <w:rFonts w:ascii="David" w:hAnsi="David" w:cs="David" w:hint="cs"/>
          <w:sz w:val="24"/>
          <w:szCs w:val="24"/>
          <w:rtl/>
        </w:rPr>
        <w:t>.</w:t>
      </w:r>
      <w:r w:rsidRPr="00861F43">
        <w:rPr>
          <w:rFonts w:ascii="David" w:hAnsi="David" w:cs="David"/>
          <w:sz w:val="24"/>
          <w:szCs w:val="24"/>
          <w:rtl/>
        </w:rPr>
        <w:t xml:space="preserve"> ואם יש עדים שנשבית והיא אומרת טהורה אני</w:t>
      </w:r>
      <w:r w:rsidR="00A81792">
        <w:rPr>
          <w:rFonts w:ascii="David" w:hAnsi="David" w:cs="David" w:hint="cs"/>
          <w:sz w:val="24"/>
          <w:szCs w:val="24"/>
          <w:rtl/>
        </w:rPr>
        <w:t>-</w:t>
      </w:r>
      <w:r w:rsidRPr="00861F43">
        <w:rPr>
          <w:rFonts w:ascii="David" w:hAnsi="David" w:cs="David"/>
          <w:sz w:val="24"/>
          <w:szCs w:val="24"/>
          <w:rtl/>
        </w:rPr>
        <w:t xml:space="preserve"> אינה נאמנת</w:t>
      </w:r>
      <w:r w:rsidRPr="00861F43">
        <w:rPr>
          <w:rStyle w:val="a5"/>
          <w:rFonts w:ascii="David" w:hAnsi="David" w:cs="David"/>
          <w:sz w:val="24"/>
          <w:szCs w:val="24"/>
          <w:rtl/>
        </w:rPr>
        <w:footnoteReference w:id="2"/>
      </w:r>
      <w:r w:rsidRPr="00861F43">
        <w:rPr>
          <w:rFonts w:ascii="David" w:hAnsi="David" w:cs="David"/>
          <w:sz w:val="24"/>
          <w:szCs w:val="24"/>
          <w:rtl/>
        </w:rPr>
        <w:t>".</w:t>
      </w:r>
      <w:r w:rsidR="00A81792">
        <w:rPr>
          <w:rFonts w:asciiTheme="majorBidi" w:hAnsiTheme="majorBidi" w:cstheme="majorBidi" w:hint="cs"/>
          <w:sz w:val="24"/>
          <w:szCs w:val="24"/>
          <w:rtl/>
        </w:rPr>
        <w:t xml:space="preserve"> לפיכך יש להניח שבסוגייתנו </w:t>
      </w:r>
      <w:r w:rsidR="00A41602">
        <w:rPr>
          <w:rFonts w:asciiTheme="majorBidi" w:hAnsiTheme="majorBidi" w:cstheme="majorBidi" w:hint="cs"/>
          <w:sz w:val="24"/>
          <w:szCs w:val="24"/>
          <w:rtl/>
        </w:rPr>
        <w:t xml:space="preserve">כיוון שנכבשה כל העיר, הרי זה כמו </w:t>
      </w:r>
      <w:r w:rsidR="00A81792">
        <w:rPr>
          <w:rFonts w:asciiTheme="majorBidi" w:hAnsiTheme="majorBidi" w:cstheme="majorBidi" w:hint="cs"/>
          <w:sz w:val="24"/>
          <w:szCs w:val="24"/>
          <w:rtl/>
        </w:rPr>
        <w:t>שהיו עדים שנשבית. המקרה שלנו מופיע גם בתוספתא עם תוספת:</w:t>
      </w:r>
    </w:p>
    <w:p w14:paraId="3B9EBF35" w14:textId="04EB6E8E" w:rsidR="00270855" w:rsidRPr="00270855" w:rsidRDefault="00A81792" w:rsidP="00A85822">
      <w:pPr>
        <w:spacing w:after="0" w:line="360" w:lineRule="auto"/>
        <w:rPr>
          <w:rFonts w:asciiTheme="majorBidi" w:hAnsiTheme="majorBidi" w:cstheme="majorBidi"/>
          <w:sz w:val="24"/>
          <w:szCs w:val="24"/>
          <w:rtl/>
        </w:rPr>
      </w:pPr>
      <w:r>
        <w:rPr>
          <w:rFonts w:ascii="David" w:hAnsi="David" w:cs="David" w:hint="cs"/>
          <w:sz w:val="24"/>
          <w:szCs w:val="24"/>
          <w:rtl/>
        </w:rPr>
        <w:t>"</w:t>
      </w:r>
      <w:r w:rsidR="00270855" w:rsidRPr="00021DE4">
        <w:rPr>
          <w:rFonts w:ascii="David" w:hAnsi="David" w:cs="David"/>
          <w:sz w:val="24"/>
          <w:szCs w:val="24"/>
          <w:rtl/>
        </w:rPr>
        <w:t>הכל נאמנין להעידה אפי' בנה אפי' בתה</w:t>
      </w:r>
      <w:r w:rsidR="00F82817">
        <w:rPr>
          <w:rFonts w:ascii="David" w:hAnsi="David" w:cs="David" w:hint="cs"/>
          <w:sz w:val="24"/>
          <w:szCs w:val="24"/>
          <w:rtl/>
        </w:rPr>
        <w:t>-</w:t>
      </w:r>
      <w:r w:rsidR="00270855" w:rsidRPr="00021DE4">
        <w:rPr>
          <w:rFonts w:ascii="David" w:hAnsi="David" w:cs="David"/>
          <w:sz w:val="24"/>
          <w:szCs w:val="24"/>
          <w:rtl/>
        </w:rPr>
        <w:t xml:space="preserve"> חוץ ממנה ומבעלה שאין אדם מעיד על ידי עצמו</w:t>
      </w:r>
      <w:r w:rsidR="00F82817">
        <w:rPr>
          <w:rFonts w:ascii="David" w:hAnsi="David" w:cs="David" w:hint="cs"/>
          <w:sz w:val="24"/>
          <w:szCs w:val="24"/>
          <w:rtl/>
        </w:rPr>
        <w:t>.</w:t>
      </w:r>
      <w:r w:rsidR="00270855" w:rsidRPr="00021DE4">
        <w:rPr>
          <w:rFonts w:ascii="David" w:hAnsi="David" w:cs="David"/>
          <w:sz w:val="24"/>
          <w:szCs w:val="24"/>
          <w:rtl/>
        </w:rPr>
        <w:t xml:space="preserve"> אמ</w:t>
      </w:r>
      <w:r w:rsidR="00F82817">
        <w:rPr>
          <w:rFonts w:ascii="David" w:hAnsi="David" w:cs="David" w:hint="cs"/>
          <w:sz w:val="24"/>
          <w:szCs w:val="24"/>
          <w:rtl/>
        </w:rPr>
        <w:t>ר</w:t>
      </w:r>
      <w:r w:rsidR="00270855" w:rsidRPr="00021DE4">
        <w:rPr>
          <w:rFonts w:ascii="David" w:hAnsi="David" w:cs="David"/>
          <w:sz w:val="24"/>
          <w:szCs w:val="24"/>
          <w:rtl/>
        </w:rPr>
        <w:t xml:space="preserve"> ר' זכריה בן הקצב</w:t>
      </w:r>
      <w:r w:rsidR="00F82817">
        <w:rPr>
          <w:rFonts w:ascii="David" w:hAnsi="David" w:cs="David" w:hint="cs"/>
          <w:sz w:val="24"/>
          <w:szCs w:val="24"/>
          <w:rtl/>
        </w:rPr>
        <w:t>:</w:t>
      </w:r>
      <w:r w:rsidR="00270855" w:rsidRPr="00021DE4">
        <w:rPr>
          <w:rFonts w:ascii="David" w:hAnsi="David" w:cs="David"/>
          <w:sz w:val="24"/>
          <w:szCs w:val="24"/>
          <w:rtl/>
        </w:rPr>
        <w:t xml:space="preserve"> </w:t>
      </w:r>
      <w:r w:rsidR="00F82817">
        <w:rPr>
          <w:rFonts w:ascii="David" w:hAnsi="David" w:cs="David" w:hint="cs"/>
          <w:sz w:val="24"/>
          <w:szCs w:val="24"/>
          <w:rtl/>
        </w:rPr>
        <w:t>'</w:t>
      </w:r>
      <w:r w:rsidR="00270855" w:rsidRPr="00021DE4">
        <w:rPr>
          <w:rFonts w:ascii="David" w:hAnsi="David" w:cs="David"/>
          <w:sz w:val="24"/>
          <w:szCs w:val="24"/>
          <w:rtl/>
        </w:rPr>
        <w:t>המעון הזה לא זזה ידה מתוך ידי משעה שנכנסו גוים לירושלם עד שיצאו</w:t>
      </w:r>
      <w:r w:rsidR="00F82817">
        <w:rPr>
          <w:rFonts w:ascii="David" w:hAnsi="David" w:cs="David" w:hint="cs"/>
          <w:sz w:val="24"/>
          <w:szCs w:val="24"/>
          <w:rtl/>
        </w:rPr>
        <w:t>'</w:t>
      </w:r>
      <w:r w:rsidR="00270855" w:rsidRPr="00021DE4">
        <w:rPr>
          <w:rFonts w:ascii="David" w:hAnsi="David" w:cs="David"/>
          <w:sz w:val="24"/>
          <w:szCs w:val="24"/>
          <w:rtl/>
        </w:rPr>
        <w:t xml:space="preserve"> ואף על פי כן </w:t>
      </w:r>
      <w:r w:rsidR="00270855" w:rsidRPr="00A81792">
        <w:rPr>
          <w:rFonts w:ascii="David" w:hAnsi="David" w:cs="David"/>
          <w:b/>
          <w:bCs/>
          <w:sz w:val="24"/>
          <w:szCs w:val="24"/>
          <w:rtl/>
        </w:rPr>
        <w:t>ייחד לה בית בפני עצמה היתה ניזונת מנכסיו</w:t>
      </w:r>
      <w:r w:rsidR="00F82817">
        <w:rPr>
          <w:rFonts w:ascii="David" w:hAnsi="David" w:cs="David" w:hint="cs"/>
          <w:sz w:val="24"/>
          <w:szCs w:val="24"/>
          <w:rtl/>
        </w:rPr>
        <w:t>,</w:t>
      </w:r>
      <w:r w:rsidR="00270855" w:rsidRPr="00021DE4">
        <w:rPr>
          <w:rFonts w:ascii="David" w:hAnsi="David" w:cs="David"/>
          <w:sz w:val="24"/>
          <w:szCs w:val="24"/>
          <w:rtl/>
        </w:rPr>
        <w:t xml:space="preserve"> ולא נתיחדה עמו אלא על פי בניה</w:t>
      </w:r>
      <w:r>
        <w:rPr>
          <w:rStyle w:val="a5"/>
          <w:rFonts w:ascii="David" w:hAnsi="David" w:cs="David"/>
          <w:sz w:val="24"/>
          <w:szCs w:val="24"/>
          <w:rtl/>
        </w:rPr>
        <w:footnoteReference w:id="3"/>
      </w:r>
      <w:r w:rsidR="00A85822">
        <w:rPr>
          <w:rFonts w:ascii="David" w:hAnsi="David" w:cs="David" w:hint="cs"/>
          <w:sz w:val="24"/>
          <w:szCs w:val="24"/>
          <w:rtl/>
        </w:rPr>
        <w:t xml:space="preserve">". </w:t>
      </w:r>
      <w:r w:rsidR="00A85822">
        <w:rPr>
          <w:rFonts w:asciiTheme="majorBidi" w:hAnsiTheme="majorBidi" w:cstheme="majorBidi" w:hint="cs"/>
          <w:sz w:val="24"/>
          <w:szCs w:val="24"/>
          <w:rtl/>
        </w:rPr>
        <w:t xml:space="preserve">ובירושלמי: </w:t>
      </w:r>
      <w:r>
        <w:rPr>
          <w:rFonts w:ascii="David" w:hAnsi="David" w:cs="David" w:hint="cs"/>
          <w:sz w:val="24"/>
          <w:szCs w:val="24"/>
          <w:rtl/>
        </w:rPr>
        <w:t>"</w:t>
      </w:r>
      <w:r w:rsidR="00A85822" w:rsidRPr="00A85822">
        <w:rPr>
          <w:rtl/>
        </w:rPr>
        <w:t xml:space="preserve"> </w:t>
      </w:r>
      <w:r w:rsidR="00A85822" w:rsidRPr="00A85822">
        <w:rPr>
          <w:rFonts w:ascii="David" w:hAnsi="David" w:cs="David"/>
          <w:sz w:val="24"/>
          <w:szCs w:val="24"/>
          <w:rtl/>
        </w:rPr>
        <w:t xml:space="preserve">אף הוא </w:t>
      </w:r>
      <w:r w:rsidR="00A85822" w:rsidRPr="00A85822">
        <w:rPr>
          <w:rFonts w:ascii="David" w:hAnsi="David" w:cs="David"/>
          <w:b/>
          <w:bCs/>
          <w:sz w:val="24"/>
          <w:szCs w:val="24"/>
          <w:rtl/>
        </w:rPr>
        <w:t>שכר לה את הבית</w:t>
      </w:r>
      <w:r w:rsidR="00A85822" w:rsidRPr="00A85822">
        <w:rPr>
          <w:rFonts w:ascii="David" w:hAnsi="David" w:cs="David"/>
          <w:sz w:val="24"/>
          <w:szCs w:val="24"/>
          <w:rtl/>
        </w:rPr>
        <w:t xml:space="preserve"> והוא מעלה לה מזונות ולא היה מתייחד עמה אלא בפני בניה וקרא על עצמו הפסוק הזה </w:t>
      </w:r>
      <w:r w:rsidR="00A85822" w:rsidRPr="00A85822">
        <w:rPr>
          <w:rFonts w:ascii="David" w:hAnsi="David" w:cs="David"/>
          <w:sz w:val="18"/>
          <w:szCs w:val="18"/>
          <w:rtl/>
        </w:rPr>
        <w:t>[ירמי' מה ג]</w:t>
      </w:r>
      <w:r w:rsidR="00A85822" w:rsidRPr="00A85822">
        <w:rPr>
          <w:rFonts w:ascii="David" w:hAnsi="David" w:cs="David"/>
          <w:sz w:val="24"/>
          <w:szCs w:val="24"/>
          <w:rtl/>
        </w:rPr>
        <w:t xml:space="preserve"> יגעתי באנחתי ומנוחה לא מצאתי</w:t>
      </w:r>
      <w:r>
        <w:rPr>
          <w:rStyle w:val="a5"/>
          <w:rFonts w:ascii="David" w:hAnsi="David" w:cs="David"/>
          <w:sz w:val="24"/>
          <w:szCs w:val="24"/>
          <w:rtl/>
        </w:rPr>
        <w:footnoteReference w:id="4"/>
      </w:r>
      <w:r>
        <w:rPr>
          <w:rFonts w:ascii="David" w:hAnsi="David" w:cs="David" w:hint="cs"/>
          <w:sz w:val="24"/>
          <w:szCs w:val="24"/>
          <w:rtl/>
        </w:rPr>
        <w:t>"</w:t>
      </w:r>
      <w:r w:rsidR="00A85822">
        <w:rPr>
          <w:rFonts w:asciiTheme="majorBidi" w:hAnsiTheme="majorBidi" w:cstheme="majorBidi" w:hint="cs"/>
          <w:sz w:val="24"/>
          <w:szCs w:val="24"/>
          <w:rtl/>
        </w:rPr>
        <w:t>.</w:t>
      </w:r>
    </w:p>
    <w:p w14:paraId="64CDCDAF" w14:textId="29978ACB" w:rsidR="006D21C8" w:rsidRPr="00F82817" w:rsidRDefault="006D21C8" w:rsidP="00F82817">
      <w:pPr>
        <w:pStyle w:val="aa"/>
        <w:numPr>
          <w:ilvl w:val="0"/>
          <w:numId w:val="3"/>
        </w:numPr>
        <w:spacing w:after="0" w:line="360" w:lineRule="auto"/>
        <w:rPr>
          <w:rFonts w:asciiTheme="majorBidi" w:hAnsiTheme="majorBidi" w:cstheme="majorBidi"/>
          <w:b/>
          <w:bCs/>
          <w:sz w:val="24"/>
          <w:szCs w:val="24"/>
          <w:rtl/>
        </w:rPr>
      </w:pPr>
      <w:r w:rsidRPr="00F82817">
        <w:rPr>
          <w:rFonts w:asciiTheme="majorBidi" w:hAnsiTheme="majorBidi" w:cstheme="majorBidi" w:hint="cs"/>
          <w:b/>
          <w:bCs/>
          <w:sz w:val="24"/>
          <w:szCs w:val="24"/>
          <w:rtl/>
        </w:rPr>
        <w:t>השבועה</w:t>
      </w:r>
    </w:p>
    <w:p w14:paraId="7C3B1FA4" w14:textId="530330DA" w:rsidR="00270855" w:rsidRDefault="00321986" w:rsidP="00270855">
      <w:pPr>
        <w:spacing w:after="0" w:line="360" w:lineRule="auto"/>
        <w:rPr>
          <w:rFonts w:ascii="David" w:hAnsi="David" w:cs="David"/>
          <w:sz w:val="24"/>
          <w:szCs w:val="24"/>
          <w:rtl/>
        </w:rPr>
      </w:pPr>
      <w:r>
        <w:rPr>
          <w:rFonts w:asciiTheme="majorBidi" w:hAnsiTheme="majorBidi" w:cstheme="majorBidi" w:hint="cs"/>
          <w:sz w:val="24"/>
          <w:szCs w:val="24"/>
          <w:rtl/>
        </w:rPr>
        <w:t xml:space="preserve">ניתן להבין שרבי זכריה נשבע שבועה חמורה: </w:t>
      </w:r>
      <w:r w:rsidR="00A85822">
        <w:rPr>
          <w:rFonts w:ascii="David" w:hAnsi="David" w:cs="David" w:hint="cs"/>
          <w:sz w:val="24"/>
          <w:szCs w:val="24"/>
          <w:rtl/>
        </w:rPr>
        <w:t>"</w:t>
      </w:r>
      <w:r w:rsidR="00270855" w:rsidRPr="00872891">
        <w:rPr>
          <w:rFonts w:ascii="David" w:hAnsi="David" w:cs="David"/>
          <w:sz w:val="24"/>
          <w:szCs w:val="24"/>
          <w:rtl/>
        </w:rPr>
        <w:t>בערוך פי' נשבע שבועה במקדש עכ"ל ועוד נראה לפרש שנשבע בשמים</w:t>
      </w:r>
      <w:r w:rsidR="00F82817">
        <w:rPr>
          <w:rFonts w:ascii="David" w:hAnsi="David" w:cs="David" w:hint="cs"/>
          <w:sz w:val="24"/>
          <w:szCs w:val="24"/>
          <w:rtl/>
        </w:rPr>
        <w:t>,</w:t>
      </w:r>
      <w:r w:rsidR="00270855" w:rsidRPr="00872891">
        <w:rPr>
          <w:rFonts w:ascii="David" w:hAnsi="David" w:cs="David"/>
          <w:sz w:val="24"/>
          <w:szCs w:val="24"/>
          <w:rtl/>
        </w:rPr>
        <w:t xml:space="preserve"> כדאמרינן </w:t>
      </w:r>
      <w:r w:rsidR="00270855" w:rsidRPr="00F82817">
        <w:rPr>
          <w:rFonts w:ascii="David" w:hAnsi="David" w:cs="David"/>
          <w:sz w:val="18"/>
          <w:szCs w:val="18"/>
          <w:rtl/>
        </w:rPr>
        <w:t>פרק אין דורשין</w:t>
      </w:r>
      <w:r w:rsidR="00F82817">
        <w:rPr>
          <w:rFonts w:ascii="David" w:hAnsi="David" w:cs="David" w:hint="cs"/>
          <w:sz w:val="18"/>
          <w:szCs w:val="18"/>
          <w:rtl/>
        </w:rPr>
        <w:t>:</w:t>
      </w:r>
      <w:r w:rsidR="00270855" w:rsidRPr="00872891">
        <w:rPr>
          <w:rFonts w:ascii="David" w:hAnsi="David" w:cs="David"/>
          <w:sz w:val="24"/>
          <w:szCs w:val="24"/>
          <w:rtl/>
        </w:rPr>
        <w:t xml:space="preserve"> בשבעה רקיעים נקרא מעון שבו כתות של מלאכי השרת אומרות שירה בלילה</w:t>
      </w:r>
      <w:r w:rsidR="00A85822">
        <w:rPr>
          <w:rStyle w:val="a5"/>
          <w:rFonts w:ascii="David" w:hAnsi="David" w:cs="David"/>
          <w:sz w:val="24"/>
          <w:szCs w:val="24"/>
          <w:rtl/>
        </w:rPr>
        <w:footnoteReference w:id="5"/>
      </w:r>
      <w:r>
        <w:rPr>
          <w:rFonts w:ascii="David" w:hAnsi="David" w:cs="David" w:hint="cs"/>
          <w:sz w:val="24"/>
          <w:szCs w:val="24"/>
          <w:rtl/>
        </w:rPr>
        <w:t>"</w:t>
      </w:r>
      <w:r w:rsidR="00F82817">
        <w:rPr>
          <w:rFonts w:ascii="David" w:hAnsi="David" w:cs="David" w:hint="cs"/>
          <w:sz w:val="24"/>
          <w:szCs w:val="24"/>
          <w:rtl/>
        </w:rPr>
        <w:t>.</w:t>
      </w:r>
    </w:p>
    <w:p w14:paraId="3402DA81" w14:textId="12A55EB2" w:rsidR="00270855" w:rsidRPr="00C5466D" w:rsidRDefault="00321986" w:rsidP="00270855">
      <w:pPr>
        <w:spacing w:after="0" w:line="360" w:lineRule="auto"/>
        <w:rPr>
          <w:rFonts w:ascii="David" w:hAnsi="David" w:cs="David"/>
          <w:sz w:val="24"/>
          <w:szCs w:val="24"/>
          <w:rtl/>
        </w:rPr>
      </w:pPr>
      <w:r>
        <w:rPr>
          <w:rFonts w:ascii="David" w:hAnsi="David" w:cs="David" w:hint="cs"/>
          <w:sz w:val="24"/>
          <w:szCs w:val="24"/>
          <w:rtl/>
        </w:rPr>
        <w:t>"</w:t>
      </w:r>
      <w:r w:rsidR="00270855" w:rsidRPr="00C5466D">
        <w:rPr>
          <w:rFonts w:ascii="David" w:hAnsi="David" w:cs="David"/>
          <w:sz w:val="24"/>
          <w:szCs w:val="24"/>
          <w:rtl/>
        </w:rPr>
        <w:t xml:space="preserve">המקור ברוך </w:t>
      </w:r>
      <w:r w:rsidR="00270855" w:rsidRPr="00321986">
        <w:rPr>
          <w:rFonts w:ascii="David" w:hAnsi="David" w:cs="David"/>
          <w:sz w:val="18"/>
          <w:szCs w:val="18"/>
          <w:rtl/>
        </w:rPr>
        <w:t xml:space="preserve">(סי' לב) </w:t>
      </w:r>
      <w:r w:rsidR="00270855" w:rsidRPr="00C5466D">
        <w:rPr>
          <w:rFonts w:ascii="David" w:hAnsi="David" w:cs="David"/>
          <w:sz w:val="24"/>
          <w:szCs w:val="24"/>
          <w:rtl/>
        </w:rPr>
        <w:t>העיר</w:t>
      </w:r>
      <w:r w:rsidR="00F82817">
        <w:rPr>
          <w:rFonts w:ascii="David" w:hAnsi="David" w:cs="David" w:hint="cs"/>
          <w:sz w:val="24"/>
          <w:szCs w:val="24"/>
          <w:rtl/>
        </w:rPr>
        <w:t>,</w:t>
      </w:r>
      <w:r w:rsidR="00270855" w:rsidRPr="00C5466D">
        <w:rPr>
          <w:rFonts w:ascii="David" w:hAnsi="David" w:cs="David"/>
          <w:sz w:val="24"/>
          <w:szCs w:val="24"/>
          <w:rtl/>
        </w:rPr>
        <w:t xml:space="preserve"> דאיך עלה על דעת רבי זכריה בן הקצב שיאמינהו ע"י שבועה, והרי התוס' כתבו בקידושין </w:t>
      </w:r>
      <w:r w:rsidR="00270855" w:rsidRPr="00321986">
        <w:rPr>
          <w:rFonts w:ascii="David" w:hAnsi="David" w:cs="David"/>
          <w:sz w:val="18"/>
          <w:szCs w:val="18"/>
          <w:rtl/>
        </w:rPr>
        <w:t>(מג ב)</w:t>
      </w:r>
      <w:r w:rsidR="00270855" w:rsidRPr="00C5466D">
        <w:rPr>
          <w:rFonts w:ascii="David" w:hAnsi="David" w:cs="David"/>
          <w:sz w:val="24"/>
          <w:szCs w:val="24"/>
          <w:rtl/>
        </w:rPr>
        <w:t xml:space="preserve"> דכל שאינו נאמן רק ע"י שבועה</w:t>
      </w:r>
      <w:r>
        <w:rPr>
          <w:rFonts w:ascii="David" w:hAnsi="David" w:cs="David" w:hint="cs"/>
          <w:sz w:val="24"/>
          <w:szCs w:val="24"/>
          <w:rtl/>
        </w:rPr>
        <w:t>,</w:t>
      </w:r>
      <w:r w:rsidR="00270855" w:rsidRPr="00C5466D">
        <w:rPr>
          <w:rFonts w:ascii="David" w:hAnsi="David" w:cs="David"/>
          <w:sz w:val="24"/>
          <w:szCs w:val="24"/>
          <w:rtl/>
        </w:rPr>
        <w:t xml:space="preserve"> אינו נאמן בעדותו</w:t>
      </w:r>
      <w:r>
        <w:rPr>
          <w:rFonts w:ascii="David" w:hAnsi="David" w:cs="David" w:hint="cs"/>
          <w:sz w:val="24"/>
          <w:szCs w:val="24"/>
          <w:rtl/>
        </w:rPr>
        <w:t xml:space="preserve">. </w:t>
      </w:r>
      <w:r w:rsidRPr="00C5466D">
        <w:rPr>
          <w:rFonts w:ascii="David" w:hAnsi="David" w:cs="David"/>
          <w:sz w:val="24"/>
          <w:szCs w:val="24"/>
          <w:rtl/>
        </w:rPr>
        <w:t>והוכיח מכאן המקור ברוך דלא כתבו כן התוס' רק בממונא</w:t>
      </w:r>
      <w:r w:rsidR="00F82817">
        <w:rPr>
          <w:rFonts w:ascii="David" w:hAnsi="David" w:cs="David" w:hint="cs"/>
          <w:sz w:val="24"/>
          <w:szCs w:val="24"/>
          <w:rtl/>
        </w:rPr>
        <w:t>,</w:t>
      </w:r>
      <w:r w:rsidRPr="00C5466D">
        <w:rPr>
          <w:rFonts w:ascii="David" w:hAnsi="David" w:cs="David"/>
          <w:sz w:val="24"/>
          <w:szCs w:val="24"/>
          <w:rtl/>
        </w:rPr>
        <w:t xml:space="preserve"> אבל באיסורין גם עד הנאמן רק ע"י שבועה נאמן</w:t>
      </w:r>
      <w:r>
        <w:rPr>
          <w:rStyle w:val="a5"/>
          <w:rFonts w:ascii="David" w:hAnsi="David" w:cs="David"/>
          <w:sz w:val="24"/>
          <w:szCs w:val="24"/>
          <w:rtl/>
        </w:rPr>
        <w:footnoteReference w:id="6"/>
      </w:r>
      <w:r>
        <w:rPr>
          <w:rFonts w:ascii="David" w:hAnsi="David" w:cs="David" w:hint="cs"/>
          <w:sz w:val="24"/>
          <w:szCs w:val="24"/>
          <w:rtl/>
        </w:rPr>
        <w:t>".</w:t>
      </w:r>
    </w:p>
    <w:p w14:paraId="28E50507" w14:textId="301B9F60" w:rsidR="001E2726" w:rsidRPr="00FC2F8C" w:rsidRDefault="00321986" w:rsidP="001E2726">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אולם בתוספות יום טוב סבר שאין כאן באמת שבועה: </w:t>
      </w:r>
      <w:r>
        <w:rPr>
          <w:rFonts w:ascii="David" w:hAnsi="David" w:cs="David" w:hint="cs"/>
          <w:sz w:val="24"/>
          <w:szCs w:val="24"/>
          <w:rtl/>
        </w:rPr>
        <w:t>"</w:t>
      </w:r>
      <w:r w:rsidR="001E2726" w:rsidRPr="004817E3">
        <w:rPr>
          <w:rFonts w:ascii="David" w:hAnsi="David" w:cs="David"/>
          <w:sz w:val="24"/>
          <w:szCs w:val="24"/>
          <w:rtl/>
        </w:rPr>
        <w:t xml:space="preserve">המעון הזה - פירש הר"ב שבועה ור"ל המקדש וכך כתב בערוך ובספר יוחסין </w:t>
      </w:r>
      <w:r w:rsidR="001E2726" w:rsidRPr="00321986">
        <w:rPr>
          <w:rFonts w:ascii="David" w:hAnsi="David" w:cs="David"/>
          <w:sz w:val="18"/>
          <w:szCs w:val="18"/>
          <w:rtl/>
        </w:rPr>
        <w:t>אות ז'</w:t>
      </w:r>
      <w:r w:rsidR="001E2726" w:rsidRPr="004817E3">
        <w:rPr>
          <w:rFonts w:ascii="David" w:hAnsi="David" w:cs="David"/>
          <w:sz w:val="24"/>
          <w:szCs w:val="24"/>
          <w:rtl/>
        </w:rPr>
        <w:t xml:space="preserve"> כתוב</w:t>
      </w:r>
      <w:r w:rsidR="00F82817">
        <w:rPr>
          <w:rFonts w:ascii="David" w:hAnsi="David" w:cs="David" w:hint="cs"/>
          <w:sz w:val="24"/>
          <w:szCs w:val="24"/>
          <w:rtl/>
        </w:rPr>
        <w:t>:</w:t>
      </w:r>
      <w:r w:rsidR="001E2726" w:rsidRPr="004817E3">
        <w:rPr>
          <w:rFonts w:ascii="David" w:hAnsi="David" w:cs="David"/>
          <w:sz w:val="24"/>
          <w:szCs w:val="24"/>
          <w:rtl/>
        </w:rPr>
        <w:t xml:space="preserve"> רב צמח גאון פירש בעבור שראה החורבן נשבע המעון הזה מלשון מעון אתה כו' ואין זה אמת כי בבא בן בוטא </w:t>
      </w:r>
      <w:r w:rsidR="001E2726" w:rsidRPr="00321986">
        <w:rPr>
          <w:rFonts w:ascii="David" w:hAnsi="David" w:cs="David"/>
          <w:sz w:val="18"/>
          <w:szCs w:val="18"/>
          <w:rtl/>
        </w:rPr>
        <w:t>בסוף כריתות</w:t>
      </w:r>
      <w:r w:rsidR="001E2726" w:rsidRPr="004817E3">
        <w:rPr>
          <w:rFonts w:ascii="David" w:hAnsi="David" w:cs="David"/>
          <w:sz w:val="24"/>
          <w:szCs w:val="24"/>
          <w:rtl/>
        </w:rPr>
        <w:t xml:space="preserve"> נשבע כן</w:t>
      </w:r>
      <w:r>
        <w:rPr>
          <w:rFonts w:ascii="David" w:hAnsi="David" w:cs="David" w:hint="cs"/>
          <w:sz w:val="24"/>
          <w:szCs w:val="24"/>
          <w:rtl/>
        </w:rPr>
        <w:t>,</w:t>
      </w:r>
      <w:r w:rsidR="001E2726" w:rsidRPr="004817E3">
        <w:rPr>
          <w:rFonts w:ascii="David" w:hAnsi="David" w:cs="David"/>
          <w:sz w:val="24"/>
          <w:szCs w:val="24"/>
          <w:rtl/>
        </w:rPr>
        <w:t xml:space="preserve"> וכן רבן גמליאל </w:t>
      </w:r>
      <w:r w:rsidR="001E2726" w:rsidRPr="00321986">
        <w:rPr>
          <w:rFonts w:ascii="David" w:hAnsi="David" w:cs="David"/>
          <w:sz w:val="18"/>
          <w:szCs w:val="18"/>
          <w:rtl/>
        </w:rPr>
        <w:t>בתחלת כריתות</w:t>
      </w:r>
      <w:r w:rsidR="001E2726" w:rsidRPr="004817E3">
        <w:rPr>
          <w:rFonts w:ascii="David" w:hAnsi="David" w:cs="David"/>
          <w:sz w:val="24"/>
          <w:szCs w:val="24"/>
          <w:rtl/>
        </w:rPr>
        <w:t xml:space="preserve"> וזה מנהג בישראל ע"כ. וכן מצינן לר' יוחנן שנשבע היכלא </w:t>
      </w:r>
      <w:r w:rsidR="001E2726" w:rsidRPr="00321986">
        <w:rPr>
          <w:rFonts w:ascii="David" w:hAnsi="David" w:cs="David"/>
          <w:sz w:val="18"/>
          <w:szCs w:val="18"/>
          <w:rtl/>
        </w:rPr>
        <w:t>בפרק עשרה יוחסין דף ע"א</w:t>
      </w:r>
      <w:r w:rsidR="001E2726" w:rsidRPr="004817E3">
        <w:rPr>
          <w:rFonts w:ascii="David" w:hAnsi="David" w:cs="David"/>
          <w:sz w:val="24"/>
          <w:szCs w:val="24"/>
          <w:rtl/>
        </w:rPr>
        <w:t xml:space="preserve">. </w:t>
      </w:r>
      <w:r w:rsidR="001E2726" w:rsidRPr="00321986">
        <w:rPr>
          <w:rFonts w:ascii="David" w:hAnsi="David" w:cs="David"/>
          <w:b/>
          <w:bCs/>
          <w:sz w:val="24"/>
          <w:szCs w:val="24"/>
          <w:rtl/>
        </w:rPr>
        <w:t>ונ"ל שאין זה שבועה לפי האמת כלל</w:t>
      </w:r>
      <w:r>
        <w:rPr>
          <w:rFonts w:ascii="David" w:hAnsi="David" w:cs="David" w:hint="cs"/>
          <w:sz w:val="24"/>
          <w:szCs w:val="24"/>
          <w:rtl/>
        </w:rPr>
        <w:t xml:space="preserve">.. </w:t>
      </w:r>
      <w:r w:rsidR="001E2726" w:rsidRPr="004817E3">
        <w:rPr>
          <w:rFonts w:ascii="David" w:hAnsi="David" w:cs="David"/>
          <w:sz w:val="24"/>
          <w:szCs w:val="24"/>
          <w:rtl/>
        </w:rPr>
        <w:t>ואף ר' זכריה שנשבע</w:t>
      </w:r>
      <w:r>
        <w:rPr>
          <w:rFonts w:ascii="David" w:hAnsi="David" w:cs="David" w:hint="cs"/>
          <w:sz w:val="24"/>
          <w:szCs w:val="24"/>
          <w:rtl/>
        </w:rPr>
        <w:t>,</w:t>
      </w:r>
      <w:r w:rsidR="001E2726" w:rsidRPr="004817E3">
        <w:rPr>
          <w:rFonts w:ascii="David" w:hAnsi="David" w:cs="David"/>
          <w:sz w:val="24"/>
          <w:szCs w:val="24"/>
          <w:rtl/>
        </w:rPr>
        <w:t xml:space="preserve"> לא היו צריכים לשבועתו כלל אפילו היו מאמינים לעדותו</w:t>
      </w:r>
      <w:r>
        <w:rPr>
          <w:rFonts w:ascii="David" w:hAnsi="David" w:cs="David" w:hint="cs"/>
          <w:sz w:val="24"/>
          <w:szCs w:val="24"/>
          <w:rtl/>
        </w:rPr>
        <w:t>,</w:t>
      </w:r>
      <w:r w:rsidR="001E2726" w:rsidRPr="004817E3">
        <w:rPr>
          <w:rFonts w:ascii="David" w:hAnsi="David" w:cs="David"/>
          <w:sz w:val="24"/>
          <w:szCs w:val="24"/>
          <w:rtl/>
        </w:rPr>
        <w:t xml:space="preserve"> שאין עד צריך שום שבועה כלל להעיד. ומה שפי' הר"ב שבועה</w:t>
      </w:r>
      <w:r>
        <w:rPr>
          <w:rFonts w:ascii="David" w:hAnsi="David" w:cs="David" w:hint="cs"/>
          <w:sz w:val="24"/>
          <w:szCs w:val="24"/>
          <w:rtl/>
        </w:rPr>
        <w:t>-</w:t>
      </w:r>
      <w:r w:rsidR="001E2726" w:rsidRPr="004817E3">
        <w:rPr>
          <w:rFonts w:ascii="David" w:hAnsi="David" w:cs="David"/>
          <w:sz w:val="24"/>
          <w:szCs w:val="24"/>
          <w:rtl/>
        </w:rPr>
        <w:t xml:space="preserve"> ר"ל </w:t>
      </w:r>
      <w:r w:rsidR="001E2726" w:rsidRPr="00321986">
        <w:rPr>
          <w:rFonts w:ascii="David" w:hAnsi="David" w:cs="David"/>
          <w:b/>
          <w:bCs/>
          <w:sz w:val="24"/>
          <w:szCs w:val="24"/>
          <w:rtl/>
        </w:rPr>
        <w:t xml:space="preserve">כדרך שבועה </w:t>
      </w:r>
      <w:r w:rsidR="001E2726" w:rsidRPr="004817E3">
        <w:rPr>
          <w:rFonts w:ascii="David" w:hAnsi="David" w:cs="David"/>
          <w:sz w:val="24"/>
          <w:szCs w:val="24"/>
          <w:rtl/>
        </w:rPr>
        <w:t>אבל לא שהוא שבועה</w:t>
      </w:r>
      <w:r>
        <w:rPr>
          <w:rStyle w:val="a5"/>
          <w:rFonts w:ascii="David" w:hAnsi="David" w:cs="David"/>
          <w:sz w:val="24"/>
          <w:szCs w:val="24"/>
          <w:rtl/>
        </w:rPr>
        <w:footnoteReference w:id="7"/>
      </w:r>
      <w:r w:rsidR="00FC2F8C">
        <w:rPr>
          <w:rFonts w:ascii="David" w:hAnsi="David" w:cs="David" w:hint="cs"/>
          <w:sz w:val="24"/>
          <w:szCs w:val="24"/>
          <w:rtl/>
        </w:rPr>
        <w:t xml:space="preserve">". </w:t>
      </w:r>
      <w:r w:rsidR="00FC2F8C">
        <w:rPr>
          <w:rFonts w:asciiTheme="majorBidi" w:hAnsiTheme="majorBidi" w:cstheme="majorBidi" w:hint="cs"/>
          <w:sz w:val="24"/>
          <w:szCs w:val="24"/>
          <w:rtl/>
        </w:rPr>
        <w:t xml:space="preserve">במדרש משמע כדברי רב צמח: </w:t>
      </w:r>
    </w:p>
    <w:p w14:paraId="361BB188" w14:textId="7E65E282" w:rsidR="00861F43" w:rsidRPr="00FC2F8C" w:rsidRDefault="00FC2F8C" w:rsidP="00861F43">
      <w:pPr>
        <w:spacing w:after="0" w:line="360" w:lineRule="auto"/>
        <w:rPr>
          <w:rFonts w:ascii="David" w:hAnsi="David" w:cs="David"/>
          <w:sz w:val="24"/>
          <w:szCs w:val="24"/>
          <w:rtl/>
        </w:rPr>
      </w:pPr>
      <w:r w:rsidRPr="00FC2F8C">
        <w:rPr>
          <w:rFonts w:ascii="David" w:hAnsi="David" w:cs="David" w:hint="cs"/>
          <w:sz w:val="24"/>
          <w:szCs w:val="24"/>
          <w:rtl/>
        </w:rPr>
        <w:t>"</w:t>
      </w:r>
      <w:r w:rsidR="00861F43" w:rsidRPr="00FC2F8C">
        <w:rPr>
          <w:rFonts w:ascii="David" w:hAnsi="David" w:cs="David"/>
          <w:sz w:val="24"/>
          <w:szCs w:val="24"/>
          <w:rtl/>
        </w:rPr>
        <w:t xml:space="preserve">יגעתי באנחתי אשחה בכל לילה מטתי בדמעתי ערשי אמסה. זה שאמר ר' זכריה בן הקצב לחכמים, המעון הזה לא זזה ידה מתוך ידי, </w:t>
      </w:r>
      <w:r w:rsidR="00861F43" w:rsidRPr="00FC2F8C">
        <w:rPr>
          <w:rFonts w:ascii="David" w:hAnsi="David" w:cs="David"/>
          <w:b/>
          <w:bCs/>
          <w:sz w:val="24"/>
          <w:szCs w:val="24"/>
          <w:rtl/>
        </w:rPr>
        <w:t>משעה שנכנסו גוים להיכל</w:t>
      </w:r>
      <w:r w:rsidR="00861F43" w:rsidRPr="00FC2F8C">
        <w:rPr>
          <w:rFonts w:ascii="David" w:hAnsi="David" w:cs="David"/>
          <w:sz w:val="24"/>
          <w:szCs w:val="24"/>
          <w:rtl/>
        </w:rPr>
        <w:t xml:space="preserve"> עד שיצאו, אמרו לו חכמים אין אדם מעיד על עצמו, התחיל בוכה וממסה מטתו בדמעות, שהיתה אשתו</w:t>
      </w:r>
      <w:r w:rsidR="004D5CA2">
        <w:rPr>
          <w:rFonts w:ascii="David" w:hAnsi="David" w:cs="David" w:hint="cs"/>
          <w:sz w:val="24"/>
          <w:szCs w:val="24"/>
          <w:rtl/>
        </w:rPr>
        <w:t xml:space="preserve"> </w:t>
      </w:r>
      <w:r w:rsidR="004D5CA2" w:rsidRPr="004D5CA2">
        <w:rPr>
          <w:rFonts w:ascii="David" w:hAnsi="David" w:cs="David" w:hint="cs"/>
          <w:b/>
          <w:bCs/>
          <w:sz w:val="24"/>
          <w:szCs w:val="24"/>
          <w:rtl/>
        </w:rPr>
        <w:t>ישנה אצלו</w:t>
      </w:r>
      <w:r w:rsidR="004D5CA2">
        <w:rPr>
          <w:rStyle w:val="a5"/>
          <w:rFonts w:ascii="David" w:hAnsi="David" w:cs="David"/>
          <w:sz w:val="24"/>
          <w:szCs w:val="24"/>
          <w:rtl/>
        </w:rPr>
        <w:footnoteReference w:id="8"/>
      </w:r>
      <w:r w:rsidR="00861F43" w:rsidRPr="00FC2F8C">
        <w:rPr>
          <w:rFonts w:ascii="David" w:hAnsi="David" w:cs="David"/>
          <w:sz w:val="24"/>
          <w:szCs w:val="24"/>
          <w:rtl/>
        </w:rPr>
        <w:t>, והיה יודע שהיא טהורה, ולא היה מכירה מפני גזירת חכמים, והיה קורא עליו הפסוק</w:t>
      </w:r>
      <w:r w:rsidRPr="00FC2F8C">
        <w:rPr>
          <w:rFonts w:ascii="David" w:hAnsi="David" w:cs="David" w:hint="cs"/>
          <w:sz w:val="24"/>
          <w:szCs w:val="24"/>
          <w:rtl/>
        </w:rPr>
        <w:t>:</w:t>
      </w:r>
      <w:r w:rsidR="00861F43" w:rsidRPr="00FC2F8C">
        <w:rPr>
          <w:rFonts w:ascii="David" w:hAnsi="David" w:cs="David"/>
          <w:sz w:val="24"/>
          <w:szCs w:val="24"/>
          <w:rtl/>
        </w:rPr>
        <w:t xml:space="preserve"> יגעתי באנחתי</w:t>
      </w:r>
      <w:r w:rsidRPr="00FC2F8C">
        <w:rPr>
          <w:rStyle w:val="a5"/>
          <w:rFonts w:ascii="David" w:hAnsi="David" w:cs="David"/>
          <w:sz w:val="24"/>
          <w:szCs w:val="24"/>
          <w:rtl/>
        </w:rPr>
        <w:footnoteReference w:id="9"/>
      </w:r>
      <w:r w:rsidRPr="00FC2F8C">
        <w:rPr>
          <w:rFonts w:ascii="David" w:hAnsi="David" w:cs="David" w:hint="cs"/>
          <w:sz w:val="24"/>
          <w:szCs w:val="24"/>
          <w:rtl/>
        </w:rPr>
        <w:t>"</w:t>
      </w:r>
      <w:r w:rsidR="00861F43" w:rsidRPr="00FC2F8C">
        <w:rPr>
          <w:rFonts w:ascii="David" w:hAnsi="David" w:cs="David"/>
          <w:sz w:val="24"/>
          <w:szCs w:val="24"/>
          <w:rtl/>
        </w:rPr>
        <w:t>.</w:t>
      </w:r>
    </w:p>
    <w:p w14:paraId="45E8268E" w14:textId="2B266C80" w:rsidR="00270855" w:rsidRPr="00F82817" w:rsidRDefault="00270855" w:rsidP="00F82817">
      <w:pPr>
        <w:pStyle w:val="aa"/>
        <w:numPr>
          <w:ilvl w:val="0"/>
          <w:numId w:val="3"/>
        </w:numPr>
        <w:spacing w:after="0" w:line="360" w:lineRule="auto"/>
        <w:rPr>
          <w:rFonts w:asciiTheme="majorBidi" w:hAnsiTheme="majorBidi" w:cstheme="majorBidi"/>
          <w:b/>
          <w:bCs/>
          <w:sz w:val="24"/>
          <w:szCs w:val="24"/>
          <w:rtl/>
        </w:rPr>
      </w:pPr>
      <w:r w:rsidRPr="00F82817">
        <w:rPr>
          <w:rFonts w:asciiTheme="majorBidi" w:hAnsiTheme="majorBidi" w:cstheme="majorBidi" w:hint="cs"/>
          <w:b/>
          <w:bCs/>
          <w:sz w:val="24"/>
          <w:szCs w:val="24"/>
          <w:rtl/>
        </w:rPr>
        <w:t>פתרון בני הבית</w:t>
      </w:r>
    </w:p>
    <w:p w14:paraId="352E51D4" w14:textId="70641C1F" w:rsidR="00270855" w:rsidRPr="004D5CA2" w:rsidRDefault="004D5CA2" w:rsidP="004D5CA2">
      <w:pPr>
        <w:spacing w:after="0" w:line="360" w:lineRule="auto"/>
        <w:rPr>
          <w:rFonts w:ascii="David" w:hAnsi="David" w:cs="David"/>
          <w:sz w:val="24"/>
          <w:szCs w:val="24"/>
          <w:rtl/>
        </w:rPr>
      </w:pPr>
      <w:r>
        <w:rPr>
          <w:rFonts w:asciiTheme="majorBidi" w:hAnsiTheme="majorBidi" w:cstheme="majorBidi" w:hint="cs"/>
          <w:sz w:val="24"/>
          <w:szCs w:val="24"/>
          <w:rtl/>
        </w:rPr>
        <w:t xml:space="preserve">התירו לזוג להישאר נשואים, ובלבד שיהיו בני הבית עמהם. </w:t>
      </w:r>
      <w:r w:rsidR="004315A7">
        <w:rPr>
          <w:rFonts w:asciiTheme="majorBidi" w:hAnsiTheme="majorBidi" w:cstheme="majorBidi" w:hint="cs"/>
          <w:sz w:val="24"/>
          <w:szCs w:val="24"/>
          <w:rtl/>
        </w:rPr>
        <w:t xml:space="preserve">בני הבית נאמנים למנוע התייחדות, למרות שאינם נאמנים להעיד. </w:t>
      </w:r>
      <w:r>
        <w:rPr>
          <w:rFonts w:ascii="David" w:hAnsi="David" w:cs="David" w:hint="cs"/>
          <w:sz w:val="24"/>
          <w:szCs w:val="24"/>
          <w:rtl/>
        </w:rPr>
        <w:t>"</w:t>
      </w:r>
      <w:r w:rsidR="00270855" w:rsidRPr="00A01BF2">
        <w:rPr>
          <w:rFonts w:ascii="David" w:hAnsi="David" w:cs="David"/>
          <w:sz w:val="24"/>
          <w:szCs w:val="24"/>
          <w:rtl/>
        </w:rPr>
        <w:t>וכ"ת אכתי מאי הוי</w:t>
      </w:r>
      <w:r>
        <w:rPr>
          <w:rFonts w:ascii="David" w:hAnsi="David" w:cs="David" w:hint="cs"/>
          <w:sz w:val="24"/>
          <w:szCs w:val="24"/>
          <w:rtl/>
        </w:rPr>
        <w:t>?</w:t>
      </w:r>
      <w:r w:rsidR="00270855" w:rsidRPr="00A01BF2">
        <w:rPr>
          <w:rFonts w:ascii="David" w:hAnsi="David" w:cs="David"/>
          <w:sz w:val="24"/>
          <w:szCs w:val="24"/>
          <w:rtl/>
        </w:rPr>
        <w:t xml:space="preserve"> והא אמרינן לעיל אבל לא בנה ובתה</w:t>
      </w:r>
      <w:r w:rsidR="00F82817">
        <w:rPr>
          <w:rFonts w:ascii="David" w:hAnsi="David" w:cs="David" w:hint="cs"/>
          <w:sz w:val="24"/>
          <w:szCs w:val="24"/>
          <w:rtl/>
        </w:rPr>
        <w:t>!</w:t>
      </w:r>
      <w:r w:rsidR="00270855" w:rsidRPr="00A01BF2">
        <w:rPr>
          <w:rFonts w:ascii="David" w:hAnsi="David" w:cs="David"/>
          <w:sz w:val="24"/>
          <w:szCs w:val="24"/>
          <w:rtl/>
        </w:rPr>
        <w:t xml:space="preserve"> י"ל התם הוא לענין </w:t>
      </w:r>
      <w:r w:rsidR="00270855" w:rsidRPr="004D5CA2">
        <w:rPr>
          <w:rFonts w:ascii="David" w:hAnsi="David" w:cs="David"/>
          <w:b/>
          <w:bCs/>
          <w:sz w:val="24"/>
          <w:szCs w:val="24"/>
          <w:rtl/>
        </w:rPr>
        <w:t xml:space="preserve">עדות </w:t>
      </w:r>
      <w:r w:rsidR="00270855" w:rsidRPr="00A01BF2">
        <w:rPr>
          <w:rFonts w:ascii="David" w:hAnsi="David" w:cs="David"/>
          <w:sz w:val="24"/>
          <w:szCs w:val="24"/>
          <w:rtl/>
        </w:rPr>
        <w:t>שחוששין להם שלא יעידו עדות שקר בשביל</w:t>
      </w:r>
      <w:r>
        <w:rPr>
          <w:rFonts w:ascii="David" w:hAnsi="David" w:cs="David" w:hint="cs"/>
          <w:sz w:val="24"/>
          <w:szCs w:val="24"/>
          <w:rtl/>
        </w:rPr>
        <w:t>ה.</w:t>
      </w:r>
      <w:r w:rsidR="00270855" w:rsidRPr="00A01BF2">
        <w:rPr>
          <w:rFonts w:ascii="David" w:hAnsi="David" w:cs="David"/>
          <w:sz w:val="24"/>
          <w:szCs w:val="24"/>
          <w:rtl/>
        </w:rPr>
        <w:t xml:space="preserve"> אבל ודאי לענין יחוס</w:t>
      </w:r>
      <w:r>
        <w:rPr>
          <w:rFonts w:ascii="David" w:hAnsi="David" w:cs="David" w:hint="cs"/>
          <w:sz w:val="24"/>
          <w:szCs w:val="24"/>
          <w:rtl/>
        </w:rPr>
        <w:t>-</w:t>
      </w:r>
      <w:r w:rsidR="00270855" w:rsidRPr="00A01BF2">
        <w:rPr>
          <w:rFonts w:ascii="David" w:hAnsi="David" w:cs="David"/>
          <w:sz w:val="24"/>
          <w:szCs w:val="24"/>
          <w:rtl/>
        </w:rPr>
        <w:t xml:space="preserve"> אין חוששין לה שתבעול בפניהם</w:t>
      </w:r>
      <w:r>
        <w:rPr>
          <w:rStyle w:val="a5"/>
          <w:rFonts w:ascii="David" w:hAnsi="David" w:cs="David"/>
          <w:sz w:val="24"/>
          <w:szCs w:val="24"/>
          <w:rtl/>
        </w:rPr>
        <w:footnoteReference w:id="10"/>
      </w:r>
      <w:r>
        <w:rPr>
          <w:rFonts w:ascii="David" w:hAnsi="David" w:cs="David" w:hint="cs"/>
          <w:sz w:val="24"/>
          <w:szCs w:val="24"/>
          <w:rtl/>
        </w:rPr>
        <w:t>".</w:t>
      </w:r>
    </w:p>
    <w:p w14:paraId="52888C81" w14:textId="17113CEE" w:rsidR="006D21C8" w:rsidRPr="00F82817" w:rsidRDefault="007B5DA2" w:rsidP="00F82817">
      <w:pPr>
        <w:pStyle w:val="aa"/>
        <w:numPr>
          <w:ilvl w:val="0"/>
          <w:numId w:val="3"/>
        </w:numPr>
        <w:spacing w:after="0" w:line="360" w:lineRule="auto"/>
        <w:rPr>
          <w:rFonts w:asciiTheme="majorBidi" w:hAnsiTheme="majorBidi" w:cstheme="majorBidi"/>
          <w:b/>
          <w:bCs/>
          <w:sz w:val="24"/>
          <w:szCs w:val="24"/>
          <w:rtl/>
        </w:rPr>
      </w:pPr>
      <w:r w:rsidRPr="00F82817">
        <w:rPr>
          <w:rFonts w:asciiTheme="majorBidi" w:hAnsiTheme="majorBidi" w:cstheme="majorBidi" w:hint="cs"/>
          <w:b/>
          <w:bCs/>
          <w:sz w:val="24"/>
          <w:szCs w:val="24"/>
          <w:rtl/>
        </w:rPr>
        <w:t>מחבוא</w:t>
      </w:r>
    </w:p>
    <w:p w14:paraId="4B195755" w14:textId="1F0080DD" w:rsidR="001E2726" w:rsidRPr="00E33DCE" w:rsidRDefault="0020735F" w:rsidP="00E33DCE">
      <w:pPr>
        <w:spacing w:after="0" w:line="360" w:lineRule="auto"/>
        <w:rPr>
          <w:rFonts w:asciiTheme="majorBidi" w:hAnsiTheme="majorBidi" w:cstheme="majorBidi"/>
          <w:sz w:val="24"/>
          <w:szCs w:val="24"/>
          <w:rtl/>
        </w:rPr>
      </w:pPr>
      <w:r w:rsidRPr="0020735F">
        <w:rPr>
          <w:rFonts w:ascii="David" w:hAnsi="David" w:cs="David"/>
          <w:sz w:val="24"/>
          <w:szCs w:val="24"/>
          <w:rtl/>
        </w:rPr>
        <w:t>"אמר רב אידי בר אבין אמר ר' יצחק בר אשיאן: אם יש שם מחבואה אחת, מצלת על הכהנות כולן...</w:t>
      </w:r>
      <w:r w:rsidRPr="0020735F">
        <w:rPr>
          <w:rFonts w:ascii="David" w:hAnsi="David" w:cs="David"/>
          <w:rtl/>
        </w:rPr>
        <w:t xml:space="preserve"> </w:t>
      </w:r>
      <w:r w:rsidRPr="0020735F">
        <w:rPr>
          <w:rFonts w:ascii="David" w:hAnsi="David" w:cs="David"/>
          <w:sz w:val="24"/>
          <w:szCs w:val="24"/>
          <w:rtl/>
        </w:rPr>
        <w:t>בעי רב אשי: אמרה לא נחבאתי ולא נטמאתי, מהו? מי אמרינן מה לי לשקר, או דלמא לא אמרינן?</w:t>
      </w:r>
      <w:r w:rsidRPr="0020735F">
        <w:rPr>
          <w:rStyle w:val="a5"/>
          <w:rFonts w:ascii="David" w:hAnsi="David" w:cs="David"/>
          <w:sz w:val="24"/>
          <w:szCs w:val="24"/>
          <w:rtl/>
        </w:rPr>
        <w:footnoteReference w:id="11"/>
      </w:r>
      <w:r w:rsidRPr="0020735F">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הגמרא לא פשטה ספק זה. לכאורה ניתן להביא ראיה </w:t>
      </w:r>
      <w:r w:rsidR="004315A7">
        <w:rPr>
          <w:rFonts w:asciiTheme="majorBidi" w:hAnsiTheme="majorBidi" w:cstheme="majorBidi" w:hint="cs"/>
          <w:sz w:val="24"/>
          <w:szCs w:val="24"/>
          <w:rtl/>
        </w:rPr>
        <w:t xml:space="preserve">שמחבוא אינו מועיל, </w:t>
      </w:r>
      <w:r>
        <w:rPr>
          <w:rFonts w:asciiTheme="majorBidi" w:hAnsiTheme="majorBidi" w:cstheme="majorBidi" w:hint="cs"/>
          <w:sz w:val="24"/>
          <w:szCs w:val="24"/>
          <w:rtl/>
        </w:rPr>
        <w:t>מכך שרבי זכריה לא היה נאמן.</w:t>
      </w:r>
      <w:r w:rsidR="00E33DCE">
        <w:rPr>
          <w:rFonts w:asciiTheme="majorBidi" w:hAnsiTheme="majorBidi" w:cstheme="majorBidi" w:hint="cs"/>
          <w:sz w:val="24"/>
          <w:szCs w:val="24"/>
          <w:rtl/>
        </w:rPr>
        <w:t xml:space="preserve"> אך ניתן לבדל את המעשה בירושלים:</w:t>
      </w:r>
      <w:r>
        <w:rPr>
          <w:rFonts w:asciiTheme="majorBidi" w:hAnsiTheme="majorBidi" w:cstheme="majorBidi" w:hint="cs"/>
          <w:sz w:val="24"/>
          <w:szCs w:val="24"/>
          <w:rtl/>
        </w:rPr>
        <w:t xml:space="preserve"> </w:t>
      </w:r>
      <w:r w:rsidR="00A41602">
        <w:rPr>
          <w:rFonts w:ascii="David" w:hAnsi="David" w:cs="David" w:hint="cs"/>
          <w:sz w:val="24"/>
          <w:szCs w:val="24"/>
          <w:rtl/>
        </w:rPr>
        <w:t>"</w:t>
      </w:r>
      <w:r w:rsidR="001E2726" w:rsidRPr="00ED5695">
        <w:rPr>
          <w:rFonts w:ascii="David" w:hAnsi="David" w:cs="David"/>
          <w:sz w:val="24"/>
          <w:szCs w:val="24"/>
          <w:rtl/>
        </w:rPr>
        <w:t>שמא יש לומר דלא היה מחבואה בירוש</w:t>
      </w:r>
      <w:r w:rsidR="00A41602">
        <w:rPr>
          <w:rFonts w:ascii="David" w:hAnsi="David" w:cs="David" w:hint="cs"/>
          <w:sz w:val="24"/>
          <w:szCs w:val="24"/>
          <w:rtl/>
        </w:rPr>
        <w:t xml:space="preserve">לים. </w:t>
      </w:r>
      <w:r w:rsidR="001E2726" w:rsidRPr="00ED5695">
        <w:rPr>
          <w:rFonts w:ascii="David" w:hAnsi="David" w:cs="David"/>
          <w:sz w:val="24"/>
          <w:szCs w:val="24"/>
          <w:rtl/>
        </w:rPr>
        <w:t xml:space="preserve"> ולפירוש התוספות אתי שפיר דאפי' אם היו מחבואות הושיבו שומרין ואין כאן מגו. </w:t>
      </w:r>
      <w:r w:rsidR="001E2726" w:rsidRPr="004315A7">
        <w:rPr>
          <w:rFonts w:ascii="David" w:hAnsi="David" w:cs="David"/>
          <w:sz w:val="18"/>
          <w:szCs w:val="18"/>
          <w:rtl/>
        </w:rPr>
        <w:t>קונטריסין.</w:t>
      </w:r>
      <w:r w:rsidR="001E2726" w:rsidRPr="00ED5695">
        <w:rPr>
          <w:rFonts w:ascii="David" w:hAnsi="David" w:cs="David"/>
          <w:sz w:val="24"/>
          <w:szCs w:val="24"/>
          <w:rtl/>
        </w:rPr>
        <w:t xml:space="preserve"> ועוד תירצו</w:t>
      </w:r>
      <w:r w:rsidR="00A41602">
        <w:rPr>
          <w:rFonts w:ascii="David" w:hAnsi="David" w:cs="David" w:hint="cs"/>
          <w:sz w:val="24"/>
          <w:szCs w:val="24"/>
          <w:rtl/>
        </w:rPr>
        <w:t xml:space="preserve">.. </w:t>
      </w:r>
      <w:r w:rsidR="001E2726" w:rsidRPr="00ED5695">
        <w:rPr>
          <w:rFonts w:ascii="David" w:hAnsi="David" w:cs="David"/>
          <w:sz w:val="24"/>
          <w:szCs w:val="24"/>
          <w:rtl/>
        </w:rPr>
        <w:t>שבאו הע"ג לירושלים פתאום ולא יכלו להטמן</w:t>
      </w:r>
      <w:r w:rsidR="00A41602">
        <w:rPr>
          <w:rStyle w:val="a5"/>
          <w:rFonts w:ascii="David" w:hAnsi="David" w:cs="David"/>
          <w:sz w:val="24"/>
          <w:szCs w:val="24"/>
          <w:rtl/>
        </w:rPr>
        <w:footnoteReference w:id="12"/>
      </w:r>
      <w:r w:rsidR="004315A7">
        <w:rPr>
          <w:rFonts w:ascii="David" w:hAnsi="David" w:cs="David" w:hint="cs"/>
          <w:sz w:val="24"/>
          <w:szCs w:val="24"/>
          <w:rtl/>
        </w:rPr>
        <w:t>"</w:t>
      </w:r>
      <w:r w:rsidR="001E2726" w:rsidRPr="00ED5695">
        <w:rPr>
          <w:rFonts w:ascii="David" w:hAnsi="David" w:cs="David"/>
          <w:sz w:val="24"/>
          <w:szCs w:val="24"/>
          <w:rtl/>
        </w:rPr>
        <w:t>.</w:t>
      </w:r>
    </w:p>
    <w:p w14:paraId="6F1C0261" w14:textId="34C12D65" w:rsidR="007B5DA2" w:rsidRPr="00F82817" w:rsidRDefault="007B5DA2" w:rsidP="00F82817">
      <w:pPr>
        <w:pStyle w:val="aa"/>
        <w:numPr>
          <w:ilvl w:val="0"/>
          <w:numId w:val="3"/>
        </w:numPr>
        <w:spacing w:after="0" w:line="360" w:lineRule="auto"/>
        <w:rPr>
          <w:rFonts w:asciiTheme="majorBidi" w:hAnsiTheme="majorBidi" w:cstheme="majorBidi"/>
          <w:b/>
          <w:bCs/>
          <w:sz w:val="24"/>
          <w:szCs w:val="24"/>
          <w:rtl/>
        </w:rPr>
      </w:pPr>
      <w:r w:rsidRPr="00F82817">
        <w:rPr>
          <w:rFonts w:asciiTheme="majorBidi" w:hAnsiTheme="majorBidi" w:cstheme="majorBidi" w:hint="cs"/>
          <w:b/>
          <w:bCs/>
          <w:sz w:val="24"/>
          <w:szCs w:val="24"/>
          <w:rtl/>
        </w:rPr>
        <w:t>בשבויה רגילה</w:t>
      </w:r>
    </w:p>
    <w:p w14:paraId="46CE400E" w14:textId="0D5251CB" w:rsidR="00E33DCE" w:rsidRPr="00E33DCE" w:rsidRDefault="00F104CD" w:rsidP="00E33DCE">
      <w:pPr>
        <w:spacing w:after="0" w:line="360" w:lineRule="auto"/>
        <w:rPr>
          <w:rFonts w:asciiTheme="majorBidi" w:hAnsiTheme="majorBidi" w:cstheme="majorBidi"/>
          <w:sz w:val="24"/>
          <w:szCs w:val="24"/>
          <w:rtl/>
        </w:rPr>
      </w:pPr>
      <w:r w:rsidRPr="00F104CD">
        <w:rPr>
          <w:rFonts w:asciiTheme="majorBidi" w:hAnsiTheme="majorBidi" w:cstheme="majorBidi" w:hint="cs"/>
          <w:sz w:val="24"/>
          <w:szCs w:val="24"/>
          <w:rtl/>
        </w:rPr>
        <w:t>נאמר בסוגיה 'אף על פי כן'. שתי אפשרויות הן להבין מהו המסר.</w:t>
      </w:r>
      <w:r w:rsidR="00E33DCE">
        <w:rPr>
          <w:rFonts w:asciiTheme="majorBidi" w:hAnsiTheme="majorBidi" w:cstheme="majorBidi" w:hint="cs"/>
          <w:sz w:val="24"/>
          <w:szCs w:val="24"/>
          <w:rtl/>
        </w:rPr>
        <w:t xml:space="preserve"> רש"י ביאר: </w:t>
      </w:r>
      <w:r w:rsidR="004E069A">
        <w:rPr>
          <w:rFonts w:asciiTheme="majorBidi" w:hAnsiTheme="majorBidi" w:cs="Times New Roman" w:hint="cs"/>
          <w:sz w:val="24"/>
          <w:szCs w:val="24"/>
          <w:rtl/>
        </w:rPr>
        <w:t xml:space="preserve"> </w:t>
      </w:r>
      <w:r w:rsidR="00E33DCE" w:rsidRPr="00E33DCE">
        <w:rPr>
          <w:rFonts w:asciiTheme="majorBidi" w:hAnsiTheme="majorBidi" w:cs="Times New Roman"/>
          <w:sz w:val="24"/>
          <w:szCs w:val="24"/>
          <w:rtl/>
        </w:rPr>
        <w:t xml:space="preserve"> </w:t>
      </w:r>
      <w:r w:rsidR="00E33DCE">
        <w:rPr>
          <w:rFonts w:asciiTheme="majorBidi" w:hAnsiTheme="majorBidi" w:cs="Times New Roman" w:hint="cs"/>
          <w:sz w:val="24"/>
          <w:szCs w:val="24"/>
          <w:rtl/>
        </w:rPr>
        <w:t xml:space="preserve"> </w:t>
      </w:r>
      <w:r w:rsidR="00E33DCE" w:rsidRPr="00E33DCE">
        <w:rPr>
          <w:rFonts w:asciiTheme="majorBidi" w:hAnsiTheme="majorBidi" w:cs="Times New Roman"/>
          <w:sz w:val="24"/>
          <w:szCs w:val="24"/>
          <w:rtl/>
        </w:rPr>
        <w:t xml:space="preserve"> </w:t>
      </w:r>
      <w:r w:rsidR="004E069A">
        <w:rPr>
          <w:rFonts w:asciiTheme="majorBidi" w:hAnsiTheme="majorBidi" w:cs="Times New Roman" w:hint="cs"/>
          <w:sz w:val="24"/>
          <w:szCs w:val="24"/>
          <w:rtl/>
        </w:rPr>
        <w:t xml:space="preserve"> </w:t>
      </w:r>
    </w:p>
    <w:p w14:paraId="52923576" w14:textId="1E3BC5CD" w:rsidR="00E33DCE" w:rsidRDefault="00E33DCE" w:rsidP="00E33DCE">
      <w:pPr>
        <w:spacing w:after="0" w:line="360" w:lineRule="auto"/>
        <w:rPr>
          <w:rFonts w:asciiTheme="majorBidi" w:hAnsiTheme="majorBidi" w:cs="Times New Roman"/>
          <w:sz w:val="24"/>
          <w:szCs w:val="24"/>
          <w:rtl/>
        </w:rPr>
      </w:pPr>
      <w:r w:rsidRPr="00E33DCE">
        <w:rPr>
          <w:rFonts w:ascii="David" w:hAnsi="David" w:cs="David"/>
          <w:sz w:val="24"/>
          <w:szCs w:val="24"/>
          <w:rtl/>
        </w:rPr>
        <w:t>"שאסרו עליו לפי שכהן היה".</w:t>
      </w:r>
      <w:r>
        <w:rPr>
          <w:rFonts w:ascii="David" w:hAnsi="David" w:cs="David" w:hint="cs"/>
          <w:sz w:val="24"/>
          <w:szCs w:val="24"/>
          <w:rtl/>
        </w:rPr>
        <w:t xml:space="preserve"> </w:t>
      </w:r>
      <w:r>
        <w:rPr>
          <w:rFonts w:asciiTheme="majorBidi" w:hAnsiTheme="majorBidi" w:cstheme="majorBidi" w:hint="cs"/>
          <w:sz w:val="24"/>
          <w:szCs w:val="24"/>
          <w:rtl/>
        </w:rPr>
        <w:t>כלומר, שהחידוש הוא ש</w:t>
      </w:r>
      <w:r w:rsidR="004315A7">
        <w:rPr>
          <w:rFonts w:asciiTheme="majorBidi" w:hAnsiTheme="majorBidi" w:cstheme="majorBidi" w:hint="cs"/>
          <w:sz w:val="24"/>
          <w:szCs w:val="24"/>
          <w:rtl/>
        </w:rPr>
        <w:t xml:space="preserve">אף על פי שנאסרו, </w:t>
      </w:r>
      <w:r>
        <w:rPr>
          <w:rFonts w:asciiTheme="majorBidi" w:hAnsiTheme="majorBidi" w:cstheme="majorBidi" w:hint="cs"/>
          <w:sz w:val="24"/>
          <w:szCs w:val="24"/>
          <w:rtl/>
        </w:rPr>
        <w:t>התירו להם לא להתגרש</w:t>
      </w:r>
      <w:r w:rsidR="009E007C">
        <w:rPr>
          <w:rStyle w:val="a5"/>
          <w:rFonts w:asciiTheme="majorBidi" w:hAnsiTheme="majorBidi" w:cstheme="majorBidi"/>
          <w:sz w:val="24"/>
          <w:szCs w:val="24"/>
          <w:rtl/>
        </w:rPr>
        <w:footnoteReference w:id="13"/>
      </w:r>
      <w:r>
        <w:rPr>
          <w:rFonts w:asciiTheme="majorBidi" w:hAnsiTheme="majorBidi" w:cstheme="majorBidi" w:hint="cs"/>
          <w:sz w:val="24"/>
          <w:szCs w:val="24"/>
          <w:rtl/>
        </w:rPr>
        <w:t xml:space="preserve">. </w:t>
      </w:r>
    </w:p>
    <w:p w14:paraId="5023F9A8" w14:textId="50923CF3" w:rsidR="00E33DCE" w:rsidRPr="00E33DCE" w:rsidRDefault="00E33DCE" w:rsidP="00E33DCE">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p>
    <w:p w14:paraId="15C186D2" w14:textId="4536039E" w:rsidR="00F104CD" w:rsidRPr="004E069A" w:rsidRDefault="004E069A" w:rsidP="00E33DCE">
      <w:pPr>
        <w:spacing w:after="0" w:line="360" w:lineRule="auto"/>
        <w:rPr>
          <w:rFonts w:asciiTheme="majorBidi" w:hAnsiTheme="majorBidi" w:cstheme="majorBidi"/>
          <w:sz w:val="24"/>
          <w:szCs w:val="24"/>
          <w:rtl/>
        </w:rPr>
      </w:pPr>
      <w:r w:rsidRPr="004E069A">
        <w:rPr>
          <w:rFonts w:ascii="David" w:hAnsi="David" w:cs="David"/>
          <w:sz w:val="24"/>
          <w:szCs w:val="24"/>
          <w:rtl/>
        </w:rPr>
        <w:lastRenderedPageBreak/>
        <w:t>"</w:t>
      </w:r>
      <w:r w:rsidR="00E33DCE" w:rsidRPr="004E069A">
        <w:rPr>
          <w:rFonts w:ascii="David" w:hAnsi="David" w:cs="David"/>
          <w:sz w:val="24"/>
          <w:szCs w:val="24"/>
          <w:rtl/>
        </w:rPr>
        <w:t>ויש אומרים אף על פי שנשבע שלא זזה ידה מתוך ידו</w:t>
      </w:r>
      <w:r>
        <w:rPr>
          <w:rFonts w:ascii="David" w:hAnsi="David" w:cs="David" w:hint="cs"/>
          <w:sz w:val="24"/>
          <w:szCs w:val="24"/>
          <w:rtl/>
        </w:rPr>
        <w:t>,</w:t>
      </w:r>
      <w:r w:rsidR="00E33DCE" w:rsidRPr="004E069A">
        <w:rPr>
          <w:rFonts w:ascii="David" w:hAnsi="David" w:cs="David"/>
          <w:sz w:val="24"/>
          <w:szCs w:val="24"/>
          <w:rtl/>
        </w:rPr>
        <w:t xml:space="preserve"> אסורה לו. </w:t>
      </w:r>
      <w:r w:rsidR="00E33DCE" w:rsidRPr="004315A7">
        <w:rPr>
          <w:rFonts w:ascii="David" w:hAnsi="David" w:cs="David"/>
          <w:sz w:val="18"/>
          <w:szCs w:val="18"/>
          <w:rtl/>
        </w:rPr>
        <w:t>שיטה ישנה</w:t>
      </w:r>
      <w:r w:rsidRPr="004E069A">
        <w:rPr>
          <w:rStyle w:val="a5"/>
          <w:rFonts w:ascii="David" w:hAnsi="David" w:cs="David"/>
          <w:sz w:val="24"/>
          <w:szCs w:val="24"/>
          <w:rtl/>
        </w:rPr>
        <w:footnoteReference w:id="14"/>
      </w:r>
      <w:r w:rsidRPr="004E069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להלכה לא ניתנה משמעות לדבריו</w:t>
      </w:r>
      <w:r w:rsidR="004315A7">
        <w:rPr>
          <w:rFonts w:asciiTheme="majorBidi" w:hAnsiTheme="majorBidi" w:cstheme="majorBidi" w:hint="cs"/>
          <w:sz w:val="24"/>
          <w:szCs w:val="24"/>
          <w:rtl/>
        </w:rPr>
        <w:t xml:space="preserve"> של רבי זכריה</w:t>
      </w:r>
      <w:r>
        <w:rPr>
          <w:rFonts w:asciiTheme="majorBidi" w:hAnsiTheme="majorBidi" w:cstheme="majorBidi" w:hint="cs"/>
          <w:sz w:val="24"/>
          <w:szCs w:val="24"/>
          <w:rtl/>
        </w:rPr>
        <w:t>, ובכל שבויה אסורה לא הכריחוה לצאת</w:t>
      </w:r>
      <w:r w:rsidR="004315A7">
        <w:rPr>
          <w:rFonts w:asciiTheme="majorBidi" w:hAnsiTheme="majorBidi" w:cstheme="majorBidi" w:hint="cs"/>
          <w:sz w:val="24"/>
          <w:szCs w:val="24"/>
          <w:rtl/>
        </w:rPr>
        <w:t>, גם ללא עדות בעל</w:t>
      </w:r>
      <w:r>
        <w:rPr>
          <w:rFonts w:asciiTheme="majorBidi" w:hAnsiTheme="majorBidi" w:cstheme="majorBidi" w:hint="cs"/>
          <w:sz w:val="24"/>
          <w:szCs w:val="24"/>
          <w:rtl/>
        </w:rPr>
        <w:t>:</w:t>
      </w:r>
    </w:p>
    <w:p w14:paraId="299DC3FB" w14:textId="2826F4A2" w:rsidR="001E2726" w:rsidRDefault="004E069A" w:rsidP="004E069A">
      <w:pPr>
        <w:spacing w:after="0" w:line="360" w:lineRule="auto"/>
        <w:rPr>
          <w:rFonts w:ascii="David" w:hAnsi="David" w:cs="David"/>
          <w:sz w:val="24"/>
          <w:szCs w:val="24"/>
          <w:rtl/>
        </w:rPr>
      </w:pPr>
      <w:r>
        <w:rPr>
          <w:rFonts w:ascii="David" w:hAnsi="David" w:cs="David" w:hint="cs"/>
          <w:sz w:val="24"/>
          <w:szCs w:val="24"/>
          <w:rtl/>
        </w:rPr>
        <w:t>"</w:t>
      </w:r>
      <w:r w:rsidR="001E2726" w:rsidRPr="006D2F81">
        <w:rPr>
          <w:rFonts w:ascii="David" w:hAnsi="David" w:cs="David"/>
          <w:sz w:val="24"/>
          <w:szCs w:val="24"/>
          <w:rtl/>
        </w:rPr>
        <w:t>אשת כהן שנאסרה עליו משום שבויה הואיל והדבר ספק הרי זו מותרת לדור עמו בחצר אחד</w:t>
      </w:r>
      <w:r w:rsidR="004315A7">
        <w:rPr>
          <w:rFonts w:ascii="David" w:hAnsi="David" w:cs="David" w:hint="cs"/>
          <w:sz w:val="24"/>
          <w:szCs w:val="24"/>
          <w:rtl/>
        </w:rPr>
        <w:t>,</w:t>
      </w:r>
      <w:r w:rsidR="001E2726" w:rsidRPr="006D2F81">
        <w:rPr>
          <w:rFonts w:ascii="David" w:hAnsi="David" w:cs="David"/>
          <w:sz w:val="24"/>
          <w:szCs w:val="24"/>
          <w:rtl/>
        </w:rPr>
        <w:t xml:space="preserve"> ובלבד שיהיו עמו בניו ובני ביתו תמיד לשמרו</w:t>
      </w:r>
      <w:r>
        <w:rPr>
          <w:rStyle w:val="a5"/>
          <w:rFonts w:ascii="David" w:hAnsi="David" w:cs="David"/>
          <w:sz w:val="24"/>
          <w:szCs w:val="24"/>
          <w:rtl/>
        </w:rPr>
        <w:footnoteReference w:id="15"/>
      </w:r>
      <w:r>
        <w:rPr>
          <w:rFonts w:ascii="David" w:hAnsi="David" w:cs="David" w:hint="cs"/>
          <w:sz w:val="24"/>
          <w:szCs w:val="24"/>
          <w:rtl/>
        </w:rPr>
        <w:t>"</w:t>
      </w:r>
      <w:r w:rsidR="001E2726" w:rsidRPr="006D2F81">
        <w:rPr>
          <w:rFonts w:ascii="David" w:hAnsi="David" w:cs="David"/>
          <w:sz w:val="24"/>
          <w:szCs w:val="24"/>
          <w:rtl/>
        </w:rPr>
        <w:t>.</w:t>
      </w:r>
    </w:p>
    <w:p w14:paraId="72A5FF2F" w14:textId="44359C24" w:rsidR="001E2726" w:rsidRPr="004E069A" w:rsidRDefault="004E069A" w:rsidP="004E069A">
      <w:pPr>
        <w:spacing w:after="0" w:line="360" w:lineRule="auto"/>
        <w:rPr>
          <w:rFonts w:ascii="David" w:hAnsi="David" w:cs="David"/>
          <w:sz w:val="24"/>
          <w:szCs w:val="24"/>
          <w:rtl/>
        </w:rPr>
      </w:pPr>
      <w:r>
        <w:rPr>
          <w:rFonts w:ascii="David" w:hAnsi="David" w:cs="David" w:hint="cs"/>
          <w:sz w:val="24"/>
          <w:szCs w:val="24"/>
          <w:rtl/>
        </w:rPr>
        <w:t>"</w:t>
      </w:r>
      <w:r w:rsidR="001E2726" w:rsidRPr="006D21C8">
        <w:rPr>
          <w:rFonts w:ascii="David" w:hAnsi="David" w:cs="David"/>
          <w:sz w:val="24"/>
          <w:szCs w:val="24"/>
          <w:rtl/>
        </w:rPr>
        <w:t>אף על גב שבגמרא משמע דההיתר היה מפני שהבעל ידע שלא נטמאה</w:t>
      </w:r>
      <w:r>
        <w:rPr>
          <w:rFonts w:ascii="David" w:hAnsi="David" w:cs="David" w:hint="cs"/>
          <w:sz w:val="24"/>
          <w:szCs w:val="24"/>
          <w:rtl/>
        </w:rPr>
        <w:t>..</w:t>
      </w:r>
      <w:r w:rsidR="001E2726" w:rsidRPr="006D21C8">
        <w:rPr>
          <w:rFonts w:ascii="David" w:hAnsi="David" w:cs="David"/>
          <w:sz w:val="24"/>
          <w:szCs w:val="24"/>
          <w:rtl/>
        </w:rPr>
        <w:t>מ"מ הרמב"ם והטור והש"ע לא חלקו בזה</w:t>
      </w:r>
      <w:r w:rsidR="004315A7">
        <w:rPr>
          <w:rFonts w:ascii="David" w:hAnsi="David" w:cs="David" w:hint="cs"/>
          <w:sz w:val="24"/>
          <w:szCs w:val="24"/>
          <w:rtl/>
        </w:rPr>
        <w:t>.</w:t>
      </w:r>
      <w:r w:rsidR="001E2726" w:rsidRPr="006D21C8">
        <w:rPr>
          <w:rFonts w:ascii="David" w:hAnsi="David" w:cs="David"/>
          <w:sz w:val="24"/>
          <w:szCs w:val="24"/>
          <w:rtl/>
        </w:rPr>
        <w:t xml:space="preserve"> כיון דסוף סוף הבעל אינו נאמן ואסורה עליו מדינא א"כ אין חילוק בין שיודע שהיא טהורה ובין שאינו יודע</w:t>
      </w:r>
      <w:r>
        <w:rPr>
          <w:rStyle w:val="a5"/>
          <w:rFonts w:ascii="David" w:hAnsi="David" w:cs="David"/>
          <w:sz w:val="24"/>
          <w:szCs w:val="24"/>
          <w:rtl/>
        </w:rPr>
        <w:footnoteReference w:id="16"/>
      </w:r>
      <w:r>
        <w:rPr>
          <w:rFonts w:ascii="David" w:hAnsi="David" w:cs="David" w:hint="cs"/>
          <w:sz w:val="24"/>
          <w:szCs w:val="24"/>
          <w:rtl/>
        </w:rPr>
        <w:t>".</w:t>
      </w:r>
    </w:p>
    <w:p w14:paraId="7CF1FF22" w14:textId="30C4BABF" w:rsidR="00270855" w:rsidRPr="00C57353" w:rsidRDefault="00270855" w:rsidP="00C57353">
      <w:pPr>
        <w:pStyle w:val="aa"/>
        <w:numPr>
          <w:ilvl w:val="0"/>
          <w:numId w:val="3"/>
        </w:numPr>
        <w:spacing w:after="0" w:line="360" w:lineRule="auto"/>
        <w:rPr>
          <w:rFonts w:asciiTheme="majorBidi" w:hAnsiTheme="majorBidi" w:cstheme="majorBidi"/>
          <w:b/>
          <w:bCs/>
          <w:sz w:val="24"/>
          <w:szCs w:val="24"/>
          <w:rtl/>
        </w:rPr>
      </w:pPr>
      <w:r w:rsidRPr="00C57353">
        <w:rPr>
          <w:rFonts w:asciiTheme="majorBidi" w:hAnsiTheme="majorBidi" w:cstheme="majorBidi" w:hint="cs"/>
          <w:b/>
          <w:bCs/>
          <w:sz w:val="24"/>
          <w:szCs w:val="24"/>
          <w:rtl/>
        </w:rPr>
        <w:t>בישראל</w:t>
      </w:r>
    </w:p>
    <w:p w14:paraId="5871BAE3" w14:textId="1D1CBD67" w:rsidR="00270855" w:rsidRPr="00270855" w:rsidRDefault="00D17A5D" w:rsidP="00B118A1">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רש"י ציין את העובדה שמדובר </w:t>
      </w:r>
      <w:r w:rsidR="00C57353">
        <w:rPr>
          <w:rFonts w:asciiTheme="majorBidi" w:hAnsiTheme="majorBidi" w:cstheme="majorBidi" w:hint="cs"/>
          <w:sz w:val="24"/>
          <w:szCs w:val="24"/>
          <w:rtl/>
        </w:rPr>
        <w:t xml:space="preserve">בסוגיה </w:t>
      </w:r>
      <w:r>
        <w:rPr>
          <w:rFonts w:asciiTheme="majorBidi" w:hAnsiTheme="majorBidi" w:cstheme="majorBidi" w:hint="cs"/>
          <w:sz w:val="24"/>
          <w:szCs w:val="24"/>
          <w:rtl/>
        </w:rPr>
        <w:t xml:space="preserve">בכהן. הרב מברטנורא כתב כן על המשנה. </w:t>
      </w:r>
      <w:r w:rsidR="00270855" w:rsidRPr="006F1185">
        <w:rPr>
          <w:rFonts w:asciiTheme="majorBidi" w:hAnsiTheme="majorBidi" w:cstheme="majorBidi"/>
          <w:sz w:val="24"/>
          <w:szCs w:val="24"/>
          <w:rtl/>
        </w:rPr>
        <w:t xml:space="preserve">רבי עקיבא איגר </w:t>
      </w:r>
      <w:r>
        <w:rPr>
          <w:rFonts w:asciiTheme="majorBidi" w:hAnsiTheme="majorBidi" w:cstheme="majorBidi" w:hint="cs"/>
          <w:sz w:val="24"/>
          <w:szCs w:val="24"/>
          <w:rtl/>
        </w:rPr>
        <w:t xml:space="preserve">מייחס לכך משמעות. מקרה נוסף </w:t>
      </w:r>
      <w:r w:rsidR="004315A7">
        <w:rPr>
          <w:rFonts w:asciiTheme="majorBidi" w:hAnsiTheme="majorBidi" w:cstheme="majorBidi" w:hint="cs"/>
          <w:sz w:val="24"/>
          <w:szCs w:val="24"/>
          <w:rtl/>
        </w:rPr>
        <w:t xml:space="preserve">שיש לדון בו </w:t>
      </w:r>
      <w:r>
        <w:rPr>
          <w:rFonts w:asciiTheme="majorBidi" w:hAnsiTheme="majorBidi" w:cstheme="majorBidi" w:hint="cs"/>
          <w:sz w:val="24"/>
          <w:szCs w:val="24"/>
          <w:rtl/>
        </w:rPr>
        <w:t>הוא ישראל שמעיד על אשתו</w:t>
      </w:r>
      <w:r w:rsidR="004315A7">
        <w:rPr>
          <w:rFonts w:asciiTheme="majorBidi" w:hAnsiTheme="majorBidi" w:cstheme="majorBidi" w:hint="cs"/>
          <w:sz w:val="24"/>
          <w:szCs w:val="24"/>
          <w:rtl/>
        </w:rPr>
        <w:t>.</w:t>
      </w:r>
      <w:r>
        <w:rPr>
          <w:rFonts w:asciiTheme="majorBidi" w:hAnsiTheme="majorBidi" w:cstheme="majorBidi" w:hint="cs"/>
          <w:sz w:val="24"/>
          <w:szCs w:val="24"/>
          <w:rtl/>
        </w:rPr>
        <w:t xml:space="preserve"> </w:t>
      </w:r>
      <w:r w:rsidR="004315A7">
        <w:rPr>
          <w:rFonts w:asciiTheme="majorBidi" w:hAnsiTheme="majorBidi" w:cstheme="majorBidi" w:hint="cs"/>
          <w:sz w:val="24"/>
          <w:szCs w:val="24"/>
          <w:rtl/>
        </w:rPr>
        <w:t>אין לו צורך אישי בעדות זו, שאשת ישראל שנאנסה מותרת. השאלה היא ה</w:t>
      </w:r>
      <w:r>
        <w:rPr>
          <w:rFonts w:asciiTheme="majorBidi" w:hAnsiTheme="majorBidi" w:cstheme="majorBidi" w:hint="cs"/>
          <w:sz w:val="24"/>
          <w:szCs w:val="24"/>
          <w:rtl/>
        </w:rPr>
        <w:t>אם נאמן הוא להכשיר את אשתו לכהונה, לאחר תום נישואיהם. לדעת הרע"ב נא</w:t>
      </w:r>
      <w:r w:rsidR="00B118A1">
        <w:rPr>
          <w:rFonts w:asciiTheme="majorBidi" w:hAnsiTheme="majorBidi" w:cstheme="majorBidi" w:hint="cs"/>
          <w:sz w:val="24"/>
          <w:szCs w:val="24"/>
          <w:rtl/>
        </w:rPr>
        <w:t>מ</w:t>
      </w:r>
      <w:r>
        <w:rPr>
          <w:rFonts w:asciiTheme="majorBidi" w:hAnsiTheme="majorBidi" w:cstheme="majorBidi" w:hint="cs"/>
          <w:sz w:val="24"/>
          <w:szCs w:val="24"/>
          <w:rtl/>
        </w:rPr>
        <w:t>ן, ועל כן הכרחי לפרש במשנה שמדובר בכהן, כי רק אז אינו נאמן. רש"י לעומת זאת עומד על כך שבמשנה לא נאמר שאסרוה עליו. לפיכך יתכן שהכוונה גם לישראל, שאמנם רשאי להישאר עם אשתו, אולם אינו נאמן להתירה לכהן.</w:t>
      </w:r>
      <w:r w:rsidR="00B118A1">
        <w:rPr>
          <w:rFonts w:asciiTheme="majorBidi" w:hAnsiTheme="majorBidi" w:cstheme="majorBidi" w:hint="cs"/>
          <w:sz w:val="24"/>
          <w:szCs w:val="24"/>
          <w:rtl/>
        </w:rPr>
        <w:t xml:space="preserve"> </w:t>
      </w:r>
      <w:r>
        <w:rPr>
          <w:rFonts w:ascii="David" w:hAnsi="David" w:cs="David" w:hint="cs"/>
          <w:sz w:val="24"/>
          <w:szCs w:val="24"/>
          <w:rtl/>
        </w:rPr>
        <w:t>"</w:t>
      </w:r>
      <w:r w:rsidR="00270855" w:rsidRPr="006F1185">
        <w:rPr>
          <w:rFonts w:ascii="David" w:hAnsi="David" w:cs="David"/>
          <w:sz w:val="24"/>
          <w:szCs w:val="24"/>
          <w:rtl/>
        </w:rPr>
        <w:t xml:space="preserve">רק בברייתא דמוכח דאסרי </w:t>
      </w:r>
      <w:r w:rsidR="00270855" w:rsidRPr="00B118A1">
        <w:rPr>
          <w:rFonts w:ascii="David" w:hAnsi="David" w:cs="David"/>
          <w:b/>
          <w:bCs/>
          <w:sz w:val="24"/>
          <w:szCs w:val="24"/>
          <w:rtl/>
        </w:rPr>
        <w:t>עליו</w:t>
      </w:r>
      <w:r w:rsidR="00B118A1">
        <w:rPr>
          <w:rFonts w:ascii="David" w:hAnsi="David" w:cs="David" w:hint="cs"/>
          <w:sz w:val="24"/>
          <w:szCs w:val="24"/>
          <w:rtl/>
        </w:rPr>
        <w:t>,</w:t>
      </w:r>
      <w:r w:rsidR="00270855" w:rsidRPr="006F1185">
        <w:rPr>
          <w:rFonts w:ascii="David" w:hAnsi="David" w:cs="David"/>
          <w:sz w:val="24"/>
          <w:szCs w:val="24"/>
          <w:rtl/>
        </w:rPr>
        <w:t xml:space="preserve"> כתב רש"י דכהן היה</w:t>
      </w:r>
      <w:r w:rsidR="004315A7">
        <w:rPr>
          <w:rStyle w:val="a5"/>
          <w:rFonts w:ascii="David" w:hAnsi="David" w:cs="David"/>
          <w:sz w:val="24"/>
          <w:szCs w:val="24"/>
          <w:rtl/>
        </w:rPr>
        <w:footnoteReference w:id="17"/>
      </w:r>
      <w:r>
        <w:rPr>
          <w:rFonts w:ascii="David" w:hAnsi="David" w:cs="David" w:hint="cs"/>
          <w:sz w:val="24"/>
          <w:szCs w:val="24"/>
          <w:rtl/>
        </w:rPr>
        <w:t>"</w:t>
      </w:r>
      <w:r w:rsidR="00270855" w:rsidRPr="006F1185">
        <w:rPr>
          <w:rFonts w:ascii="David" w:hAnsi="David" w:cs="David"/>
          <w:sz w:val="24"/>
          <w:szCs w:val="24"/>
          <w:rtl/>
        </w:rPr>
        <w:t>.</w:t>
      </w:r>
      <w:r w:rsidR="003A68B6">
        <w:rPr>
          <w:rFonts w:asciiTheme="majorBidi" w:hAnsiTheme="majorBidi" w:cstheme="majorBidi" w:hint="cs"/>
          <w:sz w:val="24"/>
          <w:szCs w:val="24"/>
          <w:rtl/>
        </w:rPr>
        <w:t xml:space="preserve"> הנודע ביהודה מכריע להלכה לאסור, שאין עדות הבעל נחשבת כלל</w:t>
      </w:r>
      <w:r w:rsidR="003A68B6">
        <w:rPr>
          <w:rStyle w:val="a5"/>
          <w:rFonts w:asciiTheme="majorBidi" w:hAnsiTheme="majorBidi" w:cstheme="majorBidi"/>
          <w:sz w:val="24"/>
          <w:szCs w:val="24"/>
          <w:rtl/>
        </w:rPr>
        <w:footnoteReference w:id="18"/>
      </w:r>
      <w:r w:rsidR="003A68B6">
        <w:rPr>
          <w:rFonts w:asciiTheme="majorBidi" w:hAnsiTheme="majorBidi" w:cstheme="majorBidi" w:hint="cs"/>
          <w:sz w:val="24"/>
          <w:szCs w:val="24"/>
          <w:rtl/>
        </w:rPr>
        <w:t>.</w:t>
      </w:r>
    </w:p>
    <w:p w14:paraId="03773490" w14:textId="73A5A8D7" w:rsidR="00872891" w:rsidRPr="00C57353" w:rsidRDefault="00B118A1" w:rsidP="00C57353">
      <w:pPr>
        <w:pStyle w:val="aa"/>
        <w:numPr>
          <w:ilvl w:val="0"/>
          <w:numId w:val="3"/>
        </w:numPr>
        <w:spacing w:after="0" w:line="360" w:lineRule="auto"/>
        <w:rPr>
          <w:rFonts w:asciiTheme="majorBidi" w:hAnsiTheme="majorBidi" w:cstheme="majorBidi"/>
          <w:b/>
          <w:bCs/>
          <w:sz w:val="24"/>
          <w:szCs w:val="24"/>
          <w:rtl/>
        </w:rPr>
      </w:pPr>
      <w:r w:rsidRPr="00C57353">
        <w:rPr>
          <w:rFonts w:asciiTheme="majorBidi" w:hAnsiTheme="majorBidi" w:cstheme="majorBidi" w:hint="cs"/>
          <w:b/>
          <w:bCs/>
          <w:sz w:val="24"/>
          <w:szCs w:val="24"/>
          <w:rtl/>
        </w:rPr>
        <w:t>העדר הנאמנות</w:t>
      </w:r>
    </w:p>
    <w:p w14:paraId="31C2C74F" w14:textId="47F08AF3" w:rsidR="00B118A1" w:rsidRPr="00C57353" w:rsidRDefault="002E3573" w:rsidP="00C57353">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כתבו בעלי ה</w:t>
      </w:r>
      <w:r w:rsidRPr="002E3573">
        <w:rPr>
          <w:rFonts w:asciiTheme="majorBidi" w:hAnsiTheme="majorBidi" w:cs="Times New Roman"/>
          <w:sz w:val="24"/>
          <w:szCs w:val="24"/>
          <w:rtl/>
        </w:rPr>
        <w:t>תוספות</w:t>
      </w:r>
      <w:r>
        <w:rPr>
          <w:rFonts w:asciiTheme="majorBidi" w:hAnsiTheme="majorBidi" w:cs="Times New Roman" w:hint="cs"/>
          <w:sz w:val="24"/>
          <w:szCs w:val="24"/>
          <w:rtl/>
        </w:rPr>
        <w:t>:</w:t>
      </w:r>
      <w:r w:rsidR="00C57353">
        <w:rPr>
          <w:rFonts w:asciiTheme="majorBidi" w:hAnsiTheme="majorBidi" w:cstheme="majorBidi" w:hint="cs"/>
          <w:sz w:val="24"/>
          <w:szCs w:val="24"/>
          <w:rtl/>
        </w:rPr>
        <w:t xml:space="preserve"> </w:t>
      </w:r>
      <w:r w:rsidRPr="002E3573">
        <w:rPr>
          <w:rFonts w:ascii="David" w:hAnsi="David" w:cs="David"/>
          <w:sz w:val="24"/>
          <w:szCs w:val="24"/>
          <w:rtl/>
        </w:rPr>
        <w:t xml:space="preserve">"היא ובעלה אינן נאמנין אף על גב דיוחנן אוכל חלות </w:t>
      </w:r>
      <w:r w:rsidRPr="002E3573">
        <w:rPr>
          <w:rFonts w:ascii="David" w:hAnsi="David" w:cs="David"/>
          <w:sz w:val="18"/>
          <w:szCs w:val="18"/>
          <w:rtl/>
        </w:rPr>
        <w:t>(לעיל דף כו.)</w:t>
      </w:r>
      <w:r w:rsidRPr="002E3573">
        <w:rPr>
          <w:rFonts w:ascii="David" w:hAnsi="David" w:cs="David"/>
          <w:sz w:val="24"/>
          <w:szCs w:val="24"/>
          <w:rtl/>
        </w:rPr>
        <w:t xml:space="preserve"> היה נאמן על עצמו במסיח לפי תומו הני מילי לתרומה</w:t>
      </w:r>
      <w:r w:rsidR="000C704C">
        <w:rPr>
          <w:rStyle w:val="a5"/>
          <w:rFonts w:ascii="David" w:hAnsi="David" w:cs="David"/>
          <w:sz w:val="24"/>
          <w:szCs w:val="24"/>
          <w:rtl/>
        </w:rPr>
        <w:footnoteReference w:id="19"/>
      </w:r>
      <w:r w:rsidRPr="002E3573">
        <w:rPr>
          <w:rFonts w:ascii="David" w:hAnsi="David" w:cs="David"/>
          <w:sz w:val="24"/>
          <w:szCs w:val="24"/>
          <w:rtl/>
        </w:rPr>
        <w:t xml:space="preserve"> אבל הכא מעלה עשו ביוחסין</w:t>
      </w:r>
      <w:r w:rsidRPr="002E3573">
        <w:rPr>
          <w:rStyle w:val="a5"/>
          <w:rFonts w:ascii="David" w:hAnsi="David" w:cs="David"/>
          <w:sz w:val="24"/>
          <w:szCs w:val="24"/>
          <w:rtl/>
        </w:rPr>
        <w:footnoteReference w:id="20"/>
      </w:r>
      <w:r w:rsidRPr="002E3573">
        <w:rPr>
          <w:rFonts w:ascii="David" w:hAnsi="David" w:cs="David"/>
          <w:sz w:val="24"/>
          <w:szCs w:val="24"/>
          <w:rtl/>
        </w:rPr>
        <w:t>".</w:t>
      </w:r>
    </w:p>
    <w:p w14:paraId="77EE877F" w14:textId="37385B5C" w:rsidR="003F79BD" w:rsidRPr="003A68B6" w:rsidRDefault="003F79BD" w:rsidP="003A68B6">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המשנה</w:t>
      </w:r>
      <w:r>
        <w:rPr>
          <w:rStyle w:val="a5"/>
          <w:rFonts w:asciiTheme="majorBidi" w:hAnsiTheme="majorBidi" w:cstheme="majorBidi"/>
          <w:sz w:val="24"/>
          <w:szCs w:val="24"/>
          <w:rtl/>
        </w:rPr>
        <w:footnoteReference w:id="21"/>
      </w:r>
      <w:r>
        <w:rPr>
          <w:rFonts w:asciiTheme="majorBidi" w:hAnsiTheme="majorBidi" w:cstheme="majorBidi" w:hint="cs"/>
          <w:sz w:val="24"/>
          <w:szCs w:val="24"/>
          <w:rtl/>
        </w:rPr>
        <w:t xml:space="preserve"> הסבירה שאדם אינו נאמן על ידי עצמו</w:t>
      </w:r>
      <w:r w:rsidR="009E007C">
        <w:rPr>
          <w:rStyle w:val="a5"/>
          <w:rFonts w:asciiTheme="majorBidi" w:hAnsiTheme="majorBidi" w:cstheme="majorBidi"/>
          <w:sz w:val="24"/>
          <w:szCs w:val="24"/>
          <w:rtl/>
        </w:rPr>
        <w:footnoteReference w:id="22"/>
      </w:r>
      <w:r>
        <w:rPr>
          <w:rFonts w:asciiTheme="majorBidi" w:hAnsiTheme="majorBidi" w:cstheme="majorBidi" w:hint="cs"/>
          <w:sz w:val="24"/>
          <w:szCs w:val="24"/>
          <w:rtl/>
        </w:rPr>
        <w:t xml:space="preserve">. </w:t>
      </w:r>
      <w:r w:rsidR="003A68B6">
        <w:rPr>
          <w:rFonts w:asciiTheme="majorBidi" w:hAnsiTheme="majorBidi" w:cstheme="majorBidi" w:hint="cs"/>
          <w:sz w:val="24"/>
          <w:szCs w:val="24"/>
          <w:rtl/>
        </w:rPr>
        <w:t>מקשה הנודע ביהודה מדוע לא אסרו שהרי</w:t>
      </w:r>
      <w:r w:rsidR="003A68B6" w:rsidRPr="003A68B6">
        <w:rPr>
          <w:rFonts w:asciiTheme="majorBidi" w:hAnsiTheme="majorBidi" w:cstheme="majorBidi" w:hint="cs"/>
          <w:sz w:val="20"/>
          <w:szCs w:val="20"/>
          <w:rtl/>
        </w:rPr>
        <w:t xml:space="preserve"> </w:t>
      </w:r>
      <w:r w:rsidR="003A68B6" w:rsidRPr="003A68B6">
        <w:rPr>
          <w:rFonts w:asciiTheme="majorBidi" w:hAnsiTheme="majorBidi" w:cstheme="majorBidi" w:hint="cs"/>
          <w:sz w:val="24"/>
          <w:szCs w:val="24"/>
          <w:rtl/>
        </w:rPr>
        <w:t xml:space="preserve">לגבי כהן שהעיד על שבויה: </w:t>
      </w:r>
      <w:r w:rsidR="003A68B6" w:rsidRPr="003A68B6">
        <w:rPr>
          <w:rFonts w:ascii="David" w:hAnsi="David" w:cs="David"/>
          <w:sz w:val="24"/>
          <w:szCs w:val="24"/>
          <w:rtl/>
        </w:rPr>
        <w:t xml:space="preserve">"שנינו </w:t>
      </w:r>
      <w:r w:rsidR="003A68B6" w:rsidRPr="003A68B6">
        <w:rPr>
          <w:rFonts w:ascii="David" w:hAnsi="David" w:cs="David"/>
          <w:sz w:val="18"/>
          <w:szCs w:val="18"/>
          <w:rtl/>
        </w:rPr>
        <w:t>בכתובות דף ל"ו ע"ב</w:t>
      </w:r>
      <w:r w:rsidR="003A68B6" w:rsidRPr="003A68B6">
        <w:rPr>
          <w:rFonts w:ascii="David" w:hAnsi="David" w:cs="David"/>
          <w:sz w:val="24"/>
          <w:szCs w:val="24"/>
          <w:rtl/>
        </w:rPr>
        <w:t xml:space="preserve"> </w:t>
      </w:r>
      <w:r w:rsidR="003A68B6">
        <w:rPr>
          <w:rFonts w:ascii="David" w:hAnsi="David" w:cs="David" w:hint="cs"/>
          <w:sz w:val="24"/>
          <w:szCs w:val="24"/>
          <w:rtl/>
        </w:rPr>
        <w:t>לא</w:t>
      </w:r>
      <w:r w:rsidR="003A68B6" w:rsidRPr="003A68B6">
        <w:rPr>
          <w:rFonts w:ascii="David" w:hAnsi="David" w:cs="David"/>
          <w:sz w:val="24"/>
          <w:szCs w:val="24"/>
          <w:rtl/>
        </w:rPr>
        <w:t xml:space="preserve"> ישאנה דחיישינן שמא עיניו נתן בה..</w:t>
      </w:r>
      <w:r w:rsidR="003A68B6" w:rsidRPr="003A68B6">
        <w:rPr>
          <w:rtl/>
        </w:rPr>
        <w:t xml:space="preserve"> </w:t>
      </w:r>
      <w:r w:rsidR="003A68B6">
        <w:rPr>
          <w:rFonts w:ascii="David" w:hAnsi="David" w:cs="David" w:hint="cs"/>
          <w:sz w:val="24"/>
          <w:szCs w:val="24"/>
          <w:rtl/>
        </w:rPr>
        <w:t xml:space="preserve"> </w:t>
      </w:r>
      <w:r w:rsidR="003A68B6" w:rsidRPr="003A68B6">
        <w:rPr>
          <w:rFonts w:ascii="David" w:hAnsi="David" w:cs="David"/>
          <w:sz w:val="24"/>
          <w:szCs w:val="24"/>
          <w:rtl/>
        </w:rPr>
        <w:t>א"ו דמשום זה לא הוה אסרינן באשתו שאין לך דיעבד גדול מזה</w:t>
      </w:r>
      <w:r w:rsidR="003A68B6">
        <w:rPr>
          <w:rStyle w:val="a5"/>
          <w:rFonts w:ascii="David" w:hAnsi="David" w:cs="David"/>
          <w:sz w:val="24"/>
          <w:szCs w:val="24"/>
          <w:rtl/>
        </w:rPr>
        <w:footnoteReference w:id="23"/>
      </w:r>
      <w:r w:rsidR="003A68B6">
        <w:rPr>
          <w:rFonts w:ascii="David" w:hAnsi="David" w:cs="David" w:hint="cs"/>
          <w:sz w:val="24"/>
          <w:szCs w:val="24"/>
          <w:rtl/>
        </w:rPr>
        <w:t>"</w:t>
      </w:r>
      <w:r w:rsidR="003A68B6" w:rsidRPr="003A68B6">
        <w:rPr>
          <w:rFonts w:ascii="David" w:hAnsi="David" w:cs="David"/>
          <w:sz w:val="24"/>
          <w:szCs w:val="24"/>
          <w:rtl/>
        </w:rPr>
        <w:t>.</w:t>
      </w:r>
    </w:p>
    <w:p w14:paraId="1F095DBC" w14:textId="1D07EBD5" w:rsidR="00270855" w:rsidRPr="00C5466D" w:rsidRDefault="007F2042" w:rsidP="003A68B6">
      <w:pPr>
        <w:tabs>
          <w:tab w:val="left" w:pos="5491"/>
        </w:tabs>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רבי עקיבא איגר שואל הפוך: כיצד יתכן שאינם נאמנים על עצמם, </w:t>
      </w:r>
    </w:p>
    <w:p w14:paraId="267984D1" w14:textId="5AA95071" w:rsidR="006F1185" w:rsidRDefault="007F2042" w:rsidP="00FC6717">
      <w:pPr>
        <w:spacing w:after="0" w:line="360" w:lineRule="auto"/>
        <w:rPr>
          <w:rFonts w:asciiTheme="majorBidi" w:hAnsiTheme="majorBidi" w:cstheme="majorBidi"/>
          <w:sz w:val="24"/>
          <w:szCs w:val="24"/>
          <w:rtl/>
        </w:rPr>
      </w:pPr>
      <w:r>
        <w:rPr>
          <w:rFonts w:ascii="David" w:hAnsi="David" w:cs="David" w:hint="cs"/>
          <w:color w:val="FF0000"/>
          <w:sz w:val="24"/>
          <w:szCs w:val="24"/>
          <w:rtl/>
        </w:rPr>
        <w:t xml:space="preserve"> </w:t>
      </w:r>
      <w:r w:rsidR="00206927">
        <w:rPr>
          <w:rFonts w:ascii="David" w:hAnsi="David" w:cs="David" w:hint="cs"/>
          <w:sz w:val="24"/>
          <w:szCs w:val="24"/>
          <w:rtl/>
        </w:rPr>
        <w:t xml:space="preserve"> </w:t>
      </w:r>
      <w:r w:rsidR="00FC6717">
        <w:rPr>
          <w:rFonts w:ascii="David" w:hAnsi="David" w:cs="David" w:hint="cs"/>
          <w:sz w:val="24"/>
          <w:szCs w:val="24"/>
          <w:rtl/>
        </w:rPr>
        <w:t>"</w:t>
      </w:r>
      <w:r w:rsidR="006F1185" w:rsidRPr="006F1185">
        <w:rPr>
          <w:rFonts w:ascii="David" w:hAnsi="David" w:cs="David"/>
          <w:sz w:val="24"/>
          <w:szCs w:val="24"/>
          <w:rtl/>
        </w:rPr>
        <w:t>תימא</w:t>
      </w:r>
      <w:r w:rsidR="00FC6717">
        <w:rPr>
          <w:rFonts w:ascii="David" w:hAnsi="David" w:cs="David" w:hint="cs"/>
          <w:sz w:val="24"/>
          <w:szCs w:val="24"/>
          <w:rtl/>
        </w:rPr>
        <w:t>:</w:t>
      </w:r>
      <w:r w:rsidR="006F1185" w:rsidRPr="006F1185">
        <w:rPr>
          <w:rFonts w:ascii="David" w:hAnsi="David" w:cs="David"/>
          <w:sz w:val="24"/>
          <w:szCs w:val="24"/>
          <w:rtl/>
        </w:rPr>
        <w:t xml:space="preserve"> מ"ש בשנים אומרים מת ושנים אומרים לא מת</w:t>
      </w:r>
      <w:r w:rsidR="00FC6717">
        <w:rPr>
          <w:rFonts w:ascii="David" w:hAnsi="David" w:cs="David" w:hint="cs"/>
          <w:sz w:val="24"/>
          <w:szCs w:val="24"/>
          <w:rtl/>
        </w:rPr>
        <w:t>,</w:t>
      </w:r>
      <w:r w:rsidR="006F1185" w:rsidRPr="006F1185">
        <w:rPr>
          <w:rFonts w:ascii="David" w:hAnsi="David" w:cs="David"/>
          <w:sz w:val="24"/>
          <w:szCs w:val="24"/>
          <w:rtl/>
        </w:rPr>
        <w:t xml:space="preserve"> דבנשאת לאחד מעידיה ואומרת ברי לי לא תצא</w:t>
      </w:r>
      <w:r w:rsidR="00FC6717">
        <w:rPr>
          <w:rStyle w:val="a5"/>
          <w:rFonts w:ascii="David" w:hAnsi="David" w:cs="David"/>
          <w:sz w:val="24"/>
          <w:szCs w:val="24"/>
          <w:rtl/>
        </w:rPr>
        <w:footnoteReference w:id="24"/>
      </w:r>
      <w:r w:rsidR="006F1185" w:rsidRPr="006F1185">
        <w:rPr>
          <w:rFonts w:ascii="David" w:hAnsi="David" w:cs="David"/>
          <w:sz w:val="24"/>
          <w:szCs w:val="24"/>
          <w:rtl/>
        </w:rPr>
        <w:t xml:space="preserve">, דודאי לאו מדין עדות אתינן עלה, ומשום דבשעה שהעיד עדיין לא היה בעלה ולא העיד </w:t>
      </w:r>
      <w:r w:rsidR="006F1185" w:rsidRPr="006F1185">
        <w:rPr>
          <w:rFonts w:ascii="David" w:hAnsi="David" w:cs="David"/>
          <w:sz w:val="24"/>
          <w:szCs w:val="24"/>
          <w:rtl/>
        </w:rPr>
        <w:lastRenderedPageBreak/>
        <w:t>על עצמו, דהא מ"מ הוי תרי ותרי ומה כח בעדותו, אע"כ משום דבספיקות</w:t>
      </w:r>
      <w:r w:rsidR="00FC6717">
        <w:rPr>
          <w:rFonts w:ascii="David" w:hAnsi="David" w:cs="David" w:hint="cs"/>
          <w:sz w:val="24"/>
          <w:szCs w:val="24"/>
          <w:rtl/>
        </w:rPr>
        <w:t>,</w:t>
      </w:r>
      <w:r w:rsidR="006F1185" w:rsidRPr="006F1185">
        <w:rPr>
          <w:rFonts w:ascii="David" w:hAnsi="David" w:cs="David"/>
          <w:sz w:val="24"/>
          <w:szCs w:val="24"/>
          <w:rtl/>
        </w:rPr>
        <w:t xml:space="preserve"> אם בעלי דברים שניהם</w:t>
      </w:r>
      <w:r w:rsidR="00FC6717">
        <w:rPr>
          <w:rFonts w:ascii="David" w:hAnsi="David" w:cs="David" w:hint="cs"/>
          <w:sz w:val="24"/>
          <w:szCs w:val="24"/>
          <w:rtl/>
        </w:rPr>
        <w:t xml:space="preserve">- </w:t>
      </w:r>
      <w:r w:rsidR="006F1185" w:rsidRPr="006F1185">
        <w:rPr>
          <w:rFonts w:ascii="David" w:hAnsi="David" w:cs="David"/>
          <w:sz w:val="24"/>
          <w:szCs w:val="24"/>
          <w:rtl/>
        </w:rPr>
        <w:t xml:space="preserve">היינו היא והבעל </w:t>
      </w:r>
      <w:r w:rsidR="00FC6717">
        <w:rPr>
          <w:rFonts w:ascii="David" w:hAnsi="David" w:cs="David" w:hint="cs"/>
          <w:sz w:val="24"/>
          <w:szCs w:val="24"/>
          <w:rtl/>
        </w:rPr>
        <w:t xml:space="preserve">- </w:t>
      </w:r>
      <w:r w:rsidR="006F1185" w:rsidRPr="006F1185">
        <w:rPr>
          <w:rFonts w:ascii="David" w:hAnsi="David" w:cs="David"/>
          <w:sz w:val="24"/>
          <w:szCs w:val="24"/>
          <w:rtl/>
        </w:rPr>
        <w:t>אומרים ברי לי</w:t>
      </w:r>
      <w:r w:rsidR="00FC6717">
        <w:rPr>
          <w:rFonts w:ascii="David" w:hAnsi="David" w:cs="David" w:hint="cs"/>
          <w:sz w:val="24"/>
          <w:szCs w:val="24"/>
          <w:rtl/>
        </w:rPr>
        <w:t>,</w:t>
      </w:r>
      <w:r w:rsidR="006F1185" w:rsidRPr="006F1185">
        <w:rPr>
          <w:rFonts w:ascii="David" w:hAnsi="David" w:cs="David"/>
          <w:sz w:val="24"/>
          <w:szCs w:val="24"/>
          <w:rtl/>
        </w:rPr>
        <w:t xml:space="preserve"> לא מפקינן אותה</w:t>
      </w:r>
      <w:r w:rsidR="00FC6717">
        <w:rPr>
          <w:rFonts w:ascii="David" w:hAnsi="David" w:cs="David" w:hint="cs"/>
          <w:sz w:val="24"/>
          <w:szCs w:val="24"/>
          <w:rtl/>
        </w:rPr>
        <w:t>.</w:t>
      </w:r>
      <w:r w:rsidR="006F1185" w:rsidRPr="006F1185">
        <w:rPr>
          <w:rFonts w:ascii="David" w:hAnsi="David" w:cs="David"/>
          <w:sz w:val="24"/>
          <w:szCs w:val="24"/>
          <w:rtl/>
        </w:rPr>
        <w:t xml:space="preserve"> והרי התם הוי ספיקא דאורייתא והבא עליה באשם תלוי</w:t>
      </w:r>
      <w:r w:rsidR="00C57353">
        <w:rPr>
          <w:rFonts w:ascii="David" w:hAnsi="David" w:cs="David" w:hint="cs"/>
          <w:sz w:val="24"/>
          <w:szCs w:val="24"/>
          <w:rtl/>
        </w:rPr>
        <w:t>,</w:t>
      </w:r>
      <w:r w:rsidR="006F1185" w:rsidRPr="006F1185">
        <w:rPr>
          <w:rFonts w:ascii="David" w:hAnsi="David" w:cs="David"/>
          <w:sz w:val="24"/>
          <w:szCs w:val="24"/>
          <w:rtl/>
        </w:rPr>
        <w:t xml:space="preserve"> מ"מ מהני ברי דבעלי דברים</w:t>
      </w:r>
      <w:r w:rsidR="00FC6717">
        <w:rPr>
          <w:rFonts w:ascii="David" w:hAnsi="David" w:cs="David" w:hint="cs"/>
          <w:sz w:val="24"/>
          <w:szCs w:val="24"/>
          <w:rtl/>
        </w:rPr>
        <w:t>.</w:t>
      </w:r>
      <w:r w:rsidR="006F1185" w:rsidRPr="006F1185">
        <w:rPr>
          <w:rFonts w:ascii="David" w:hAnsi="David" w:cs="David"/>
          <w:sz w:val="24"/>
          <w:szCs w:val="24"/>
          <w:rtl/>
        </w:rPr>
        <w:t xml:space="preserve"> ומכ"ש בשבויה דהספק הוא רק מדרבנן אסור, דמדאוריי' שבויה מותרת לבעלה דיועיל ברי דידה ודהבעל</w:t>
      </w:r>
      <w:r w:rsidR="00FC6717">
        <w:rPr>
          <w:rFonts w:ascii="David" w:hAnsi="David" w:cs="David" w:hint="cs"/>
          <w:sz w:val="24"/>
          <w:szCs w:val="24"/>
          <w:rtl/>
        </w:rPr>
        <w:t>!</w:t>
      </w:r>
      <w:r w:rsidR="006F1185" w:rsidRPr="006F1185">
        <w:rPr>
          <w:rFonts w:ascii="David" w:hAnsi="David" w:cs="David"/>
          <w:sz w:val="24"/>
          <w:szCs w:val="24"/>
          <w:rtl/>
        </w:rPr>
        <w:t xml:space="preserve"> ונהי דמדין עדות ליכא, דאין אדם מעיד על עצמו</w:t>
      </w:r>
      <w:r w:rsidR="00FC6717">
        <w:rPr>
          <w:rFonts w:ascii="David" w:hAnsi="David" w:cs="David" w:hint="cs"/>
          <w:sz w:val="24"/>
          <w:szCs w:val="24"/>
          <w:rtl/>
        </w:rPr>
        <w:t>,</w:t>
      </w:r>
      <w:r w:rsidR="006F1185" w:rsidRPr="006F1185">
        <w:rPr>
          <w:rFonts w:ascii="David" w:hAnsi="David" w:cs="David"/>
          <w:sz w:val="24"/>
          <w:szCs w:val="24"/>
          <w:rtl/>
        </w:rPr>
        <w:t xml:space="preserve"> מ"מ מדין ברי דידיה ודידה לא תצא מר' זכרי</w:t>
      </w:r>
      <w:r w:rsidR="00C57353">
        <w:rPr>
          <w:rFonts w:ascii="David" w:hAnsi="David" w:cs="David" w:hint="cs"/>
          <w:sz w:val="24"/>
          <w:szCs w:val="24"/>
          <w:rtl/>
        </w:rPr>
        <w:t>ה,</w:t>
      </w:r>
      <w:r w:rsidR="006F1185" w:rsidRPr="006F1185">
        <w:rPr>
          <w:rFonts w:ascii="David" w:hAnsi="David" w:cs="David"/>
          <w:sz w:val="24"/>
          <w:szCs w:val="24"/>
          <w:rtl/>
        </w:rPr>
        <w:t xml:space="preserve"> כמו בתרי ותרי דבנשאת לא </w:t>
      </w:r>
      <w:r w:rsidR="006F1185" w:rsidRPr="00FC6717">
        <w:rPr>
          <w:rFonts w:ascii="David" w:hAnsi="David" w:cs="David"/>
          <w:sz w:val="24"/>
          <w:szCs w:val="24"/>
          <w:rtl/>
        </w:rPr>
        <w:t>תצא</w:t>
      </w:r>
      <w:r w:rsidR="00FC6717" w:rsidRPr="00FC6717">
        <w:rPr>
          <w:rFonts w:ascii="David" w:hAnsi="David" w:cs="David" w:hint="cs"/>
          <w:sz w:val="24"/>
          <w:szCs w:val="24"/>
          <w:rtl/>
        </w:rPr>
        <w:t xml:space="preserve">". </w:t>
      </w:r>
      <w:r w:rsidR="006F1185" w:rsidRPr="00FC6717">
        <w:rPr>
          <w:rFonts w:ascii="David" w:hAnsi="David" w:cs="David"/>
          <w:sz w:val="24"/>
          <w:szCs w:val="24"/>
          <w:rtl/>
        </w:rPr>
        <w:t xml:space="preserve"> </w:t>
      </w:r>
      <w:r w:rsidR="00FC6717" w:rsidRPr="00FC6717">
        <w:rPr>
          <w:rFonts w:ascii="David" w:hAnsi="David" w:cs="David" w:hint="cs"/>
          <w:sz w:val="24"/>
          <w:szCs w:val="24"/>
          <w:rtl/>
        </w:rPr>
        <w:t xml:space="preserve"> </w:t>
      </w:r>
      <w:r w:rsidR="00FC6717" w:rsidRPr="00FC6717">
        <w:rPr>
          <w:rFonts w:asciiTheme="majorBidi" w:hAnsiTheme="majorBidi" w:cstheme="majorBidi" w:hint="cs"/>
          <w:sz w:val="24"/>
          <w:szCs w:val="24"/>
          <w:rtl/>
        </w:rPr>
        <w:t>קושיה זו העסיקה רבים מן האחרונים:</w:t>
      </w:r>
    </w:p>
    <w:p w14:paraId="1D845517" w14:textId="02BEA13A" w:rsidR="008A770F" w:rsidRPr="008A770F" w:rsidRDefault="00BE729E" w:rsidP="008A770F">
      <w:pPr>
        <w:pStyle w:val="aa"/>
        <w:numPr>
          <w:ilvl w:val="0"/>
          <w:numId w:val="2"/>
        </w:numPr>
        <w:spacing w:after="0" w:line="360" w:lineRule="auto"/>
        <w:rPr>
          <w:rFonts w:ascii="David" w:hAnsi="David" w:cs="David"/>
          <w:sz w:val="24"/>
          <w:szCs w:val="24"/>
          <w:rtl/>
        </w:rPr>
      </w:pPr>
      <w:r w:rsidRPr="008A770F">
        <w:rPr>
          <w:rFonts w:asciiTheme="majorBidi" w:hAnsiTheme="majorBidi" w:cs="Times New Roman" w:hint="cs"/>
          <w:sz w:val="24"/>
          <w:szCs w:val="24"/>
          <w:rtl/>
        </w:rPr>
        <w:t xml:space="preserve">רע"א עצמו מתרץ: </w:t>
      </w:r>
      <w:r w:rsidRPr="008A770F">
        <w:rPr>
          <w:rFonts w:ascii="David" w:hAnsi="David" w:cs="David"/>
          <w:sz w:val="24"/>
          <w:szCs w:val="24"/>
          <w:rtl/>
        </w:rPr>
        <w:t>"באמת ברי וברי דהבע"ד מהני, אלא דבשבויה חיישינן דאמר בדדמי, דלדעתו ראויה להאמינה ולא לחוש לנטמאה, אלא דהב"ד חוששים לה, מש"ה משקר ואומר דברי לו</w:t>
      </w:r>
      <w:r w:rsidRPr="00BE729E">
        <w:rPr>
          <w:rStyle w:val="a5"/>
          <w:rFonts w:ascii="David" w:hAnsi="David" w:cs="David"/>
          <w:sz w:val="24"/>
          <w:szCs w:val="24"/>
          <w:rtl/>
        </w:rPr>
        <w:footnoteReference w:id="25"/>
      </w:r>
      <w:r w:rsidRPr="008A770F">
        <w:rPr>
          <w:rFonts w:ascii="David" w:hAnsi="David" w:cs="David"/>
          <w:sz w:val="24"/>
          <w:szCs w:val="24"/>
          <w:rtl/>
        </w:rPr>
        <w:t>".</w:t>
      </w:r>
      <w:r w:rsidR="008A770F" w:rsidRPr="008A770F">
        <w:rPr>
          <w:rFonts w:ascii="David" w:hAnsi="David" w:cs="David" w:hint="cs"/>
          <w:sz w:val="24"/>
          <w:szCs w:val="24"/>
          <w:rtl/>
        </w:rPr>
        <w:t xml:space="preserve"> "</w:t>
      </w:r>
      <w:r w:rsidR="008A770F" w:rsidRPr="008A770F">
        <w:rPr>
          <w:rFonts w:ascii="David" w:hAnsi="David" w:cs="David"/>
          <w:sz w:val="24"/>
          <w:szCs w:val="24"/>
          <w:rtl/>
        </w:rPr>
        <w:t xml:space="preserve">והקשה על זה בשו"ת דבר יהושע </w:t>
      </w:r>
      <w:r w:rsidR="008A770F" w:rsidRPr="008A770F">
        <w:rPr>
          <w:rFonts w:ascii="David" w:hAnsi="David" w:cs="David"/>
          <w:sz w:val="18"/>
          <w:szCs w:val="18"/>
          <w:rtl/>
        </w:rPr>
        <w:t xml:space="preserve">(ח"א סי' נט אות יב), </w:t>
      </w:r>
      <w:r w:rsidR="008A770F" w:rsidRPr="008A770F">
        <w:rPr>
          <w:rFonts w:ascii="David" w:hAnsi="David" w:cs="David"/>
          <w:sz w:val="24"/>
          <w:szCs w:val="24"/>
          <w:rtl/>
        </w:rPr>
        <w:t>דזה שייך לומר בשבויה בעלמא, אבל כאן אצל ר' זכריה בן הקצב הלא נשבע שבועה חמורה במקדש שלא זזה ידה מתוך ידו, וא"כ הרי היה ברי לו בלא אמירה שלא נטמאה, וא"כ מדוע אינו נאמן בדבריו לגבי עצמו.</w:t>
      </w:r>
    </w:p>
    <w:p w14:paraId="0B8463C3" w14:textId="62F58045" w:rsidR="00897C99" w:rsidRPr="00897C99" w:rsidRDefault="008A770F" w:rsidP="00897C99">
      <w:pPr>
        <w:pStyle w:val="aa"/>
        <w:numPr>
          <w:ilvl w:val="0"/>
          <w:numId w:val="2"/>
        </w:numPr>
        <w:spacing w:after="0" w:line="360" w:lineRule="auto"/>
        <w:rPr>
          <w:rFonts w:ascii="David" w:hAnsi="David" w:cs="David"/>
          <w:sz w:val="24"/>
          <w:szCs w:val="24"/>
          <w:rtl/>
        </w:rPr>
      </w:pPr>
      <w:r w:rsidRPr="00897C99">
        <w:rPr>
          <w:rFonts w:ascii="David" w:hAnsi="David" w:cs="David"/>
          <w:sz w:val="24"/>
          <w:szCs w:val="24"/>
          <w:rtl/>
        </w:rPr>
        <w:t xml:space="preserve">וע"כ תירץ שם עפ"י דברי הש"ך ביו"ד </w:t>
      </w:r>
      <w:r w:rsidRPr="00897C99">
        <w:rPr>
          <w:rFonts w:ascii="David" w:hAnsi="David" w:cs="David"/>
          <w:sz w:val="18"/>
          <w:szCs w:val="18"/>
          <w:rtl/>
        </w:rPr>
        <w:t xml:space="preserve">(סי' ק' דיני ספק ספיקא אות יח) </w:t>
      </w:r>
      <w:r w:rsidRPr="00897C99">
        <w:rPr>
          <w:rFonts w:ascii="David" w:hAnsi="David" w:cs="David"/>
          <w:sz w:val="24"/>
          <w:szCs w:val="24"/>
          <w:rtl/>
        </w:rPr>
        <w:t>דגבינות של עכו"ם אעפ"י שלא נאסרו אלא מדרבנן מחמת חשש ספק</w:t>
      </w:r>
      <w:r w:rsidRPr="00897C99">
        <w:rPr>
          <w:rFonts w:ascii="David" w:hAnsi="David" w:cs="David" w:hint="cs"/>
          <w:sz w:val="24"/>
          <w:szCs w:val="24"/>
          <w:rtl/>
        </w:rPr>
        <w:t>,</w:t>
      </w:r>
      <w:r w:rsidRPr="00897C99">
        <w:rPr>
          <w:rFonts w:ascii="David" w:hAnsi="David" w:cs="David"/>
          <w:sz w:val="24"/>
          <w:szCs w:val="24"/>
          <w:rtl/>
        </w:rPr>
        <w:t xml:space="preserve"> שמא העמידו בקיבת נבילה, מ"מ דינם כאיסור תורה, דמאחר שאסרוהו חכמים מחמת אותו ספק הרי הוא כאילו ראינו בהדיא שהעמידו בקיבת נבילה</w:t>
      </w:r>
      <w:r w:rsidR="00C57353">
        <w:rPr>
          <w:rFonts w:ascii="David" w:hAnsi="David" w:cs="David" w:hint="cs"/>
          <w:sz w:val="24"/>
          <w:szCs w:val="24"/>
          <w:rtl/>
        </w:rPr>
        <w:t>.</w:t>
      </w:r>
      <w:r w:rsidRPr="00897C99">
        <w:rPr>
          <w:rFonts w:ascii="David" w:hAnsi="David" w:cs="David"/>
          <w:sz w:val="24"/>
          <w:szCs w:val="24"/>
          <w:rtl/>
        </w:rPr>
        <w:t xml:space="preserve">. א"כ אף אנו נאמר בשבויה </w:t>
      </w:r>
      <w:r w:rsidRPr="00897C99">
        <w:rPr>
          <w:rFonts w:ascii="David" w:hAnsi="David" w:cs="David"/>
          <w:b/>
          <w:bCs/>
          <w:sz w:val="24"/>
          <w:szCs w:val="24"/>
          <w:rtl/>
        </w:rPr>
        <w:t>דמאחר שאסרו חכמים מחמת חשש שמא נאסרה הוי כאילו ראינו שנטמאה</w:t>
      </w:r>
      <w:r w:rsidRPr="00897C99">
        <w:rPr>
          <w:rFonts w:ascii="David" w:hAnsi="David" w:cs="David"/>
          <w:sz w:val="24"/>
          <w:szCs w:val="24"/>
          <w:rtl/>
        </w:rPr>
        <w:t>, לפיכך לא מהני מה שהוא אומר ברי לי שלא נטמאה</w:t>
      </w:r>
      <w:r w:rsidRPr="00897C99">
        <w:rPr>
          <w:rFonts w:ascii="David" w:hAnsi="David" w:cs="David" w:hint="cs"/>
          <w:sz w:val="24"/>
          <w:szCs w:val="24"/>
          <w:rtl/>
        </w:rPr>
        <w:t>..</w:t>
      </w:r>
      <w:r w:rsidRPr="00897C99">
        <w:rPr>
          <w:rFonts w:ascii="David" w:hAnsi="David" w:cs="David"/>
          <w:sz w:val="24"/>
          <w:szCs w:val="24"/>
          <w:rtl/>
        </w:rPr>
        <w:t>. ועיי"ש עוד מה שתירץ בזה</w:t>
      </w:r>
      <w:r>
        <w:rPr>
          <w:rStyle w:val="a5"/>
          <w:rFonts w:ascii="David" w:hAnsi="David" w:cs="David"/>
          <w:sz w:val="24"/>
          <w:szCs w:val="24"/>
          <w:rtl/>
        </w:rPr>
        <w:footnoteReference w:id="26"/>
      </w:r>
      <w:r w:rsidRPr="00897C99">
        <w:rPr>
          <w:rFonts w:ascii="David" w:hAnsi="David" w:cs="David" w:hint="cs"/>
          <w:sz w:val="24"/>
          <w:szCs w:val="24"/>
          <w:rtl/>
        </w:rPr>
        <w:t xml:space="preserve">. </w:t>
      </w:r>
      <w:r w:rsidRPr="00897C99">
        <w:rPr>
          <w:rFonts w:asciiTheme="majorBidi" w:hAnsiTheme="majorBidi" w:cstheme="majorBidi" w:hint="cs"/>
          <w:sz w:val="24"/>
          <w:szCs w:val="24"/>
          <w:rtl/>
        </w:rPr>
        <w:t xml:space="preserve">בדומה לכך כתב החתם סופר: </w:t>
      </w:r>
      <w:r w:rsidR="00FC6717" w:rsidRPr="00897C99">
        <w:rPr>
          <w:rFonts w:ascii="David" w:hAnsi="David" w:cs="David" w:hint="cs"/>
          <w:sz w:val="24"/>
          <w:szCs w:val="24"/>
          <w:rtl/>
        </w:rPr>
        <w:t>"</w:t>
      </w:r>
      <w:r w:rsidR="006F1185" w:rsidRPr="00897C99">
        <w:rPr>
          <w:rFonts w:ascii="David" w:hAnsi="David" w:cs="David"/>
          <w:sz w:val="24"/>
          <w:szCs w:val="24"/>
          <w:rtl/>
        </w:rPr>
        <w:t>נמצא ק' זו בס' קול הרמז</w:t>
      </w:r>
      <w:r w:rsidR="00BE729E" w:rsidRPr="00897C99">
        <w:rPr>
          <w:rFonts w:ascii="David" w:hAnsi="David" w:cs="David" w:hint="cs"/>
          <w:sz w:val="24"/>
          <w:szCs w:val="24"/>
          <w:rtl/>
        </w:rPr>
        <w:t>.</w:t>
      </w:r>
      <w:r w:rsidR="006F1185" w:rsidRPr="00897C99">
        <w:rPr>
          <w:rFonts w:ascii="David" w:hAnsi="David" w:cs="David"/>
          <w:sz w:val="24"/>
          <w:szCs w:val="24"/>
          <w:rtl/>
        </w:rPr>
        <w:t xml:space="preserve"> ותי' משום שהקילו טפי בשבוי' חששו טפי למורה היתרא ע"ש.</w:t>
      </w:r>
      <w:r w:rsidR="008D3CA3" w:rsidRPr="00897C99">
        <w:rPr>
          <w:rFonts w:ascii="David" w:hAnsi="David" w:cs="David" w:hint="cs"/>
          <w:sz w:val="24"/>
          <w:szCs w:val="24"/>
          <w:rtl/>
        </w:rPr>
        <w:t xml:space="preserve">.. </w:t>
      </w:r>
      <w:r w:rsidR="006F1185" w:rsidRPr="00897C99">
        <w:rPr>
          <w:rFonts w:ascii="David" w:hAnsi="David" w:cs="David"/>
          <w:sz w:val="24"/>
          <w:szCs w:val="24"/>
          <w:rtl/>
        </w:rPr>
        <w:t>בשבוי'</w:t>
      </w:r>
      <w:r w:rsidR="008D3CA3" w:rsidRPr="00897C99">
        <w:rPr>
          <w:rFonts w:ascii="David" w:hAnsi="David" w:cs="David" w:hint="cs"/>
          <w:sz w:val="24"/>
          <w:szCs w:val="24"/>
          <w:rtl/>
        </w:rPr>
        <w:t xml:space="preserve">, </w:t>
      </w:r>
      <w:r w:rsidR="006F1185" w:rsidRPr="00897C99">
        <w:rPr>
          <w:rFonts w:ascii="David" w:hAnsi="David" w:cs="David"/>
          <w:sz w:val="24"/>
          <w:szCs w:val="24"/>
          <w:rtl/>
        </w:rPr>
        <w:t xml:space="preserve"> קולא של שבוי' הוא חומרא</w:t>
      </w:r>
      <w:r w:rsidRPr="00897C99">
        <w:rPr>
          <w:rFonts w:ascii="David" w:hAnsi="David" w:cs="David" w:hint="cs"/>
          <w:sz w:val="24"/>
          <w:szCs w:val="24"/>
          <w:rtl/>
        </w:rPr>
        <w:t>,</w:t>
      </w:r>
      <w:r w:rsidR="006F1185" w:rsidRPr="00897C99">
        <w:rPr>
          <w:rFonts w:ascii="David" w:hAnsi="David" w:cs="David"/>
          <w:sz w:val="24"/>
          <w:szCs w:val="24"/>
          <w:rtl/>
        </w:rPr>
        <w:t xml:space="preserve"> דאי הוה ספק שבוי' ולא הוה תקינו רבנן מידי והוה ספיקא דאורייתא לחומרא</w:t>
      </w:r>
      <w:r w:rsidRPr="00897C99">
        <w:rPr>
          <w:rFonts w:ascii="David" w:hAnsi="David" w:cs="David" w:hint="cs"/>
          <w:sz w:val="24"/>
          <w:szCs w:val="24"/>
          <w:rtl/>
        </w:rPr>
        <w:t>-</w:t>
      </w:r>
      <w:r w:rsidR="006F1185" w:rsidRPr="00897C99">
        <w:rPr>
          <w:rFonts w:ascii="David" w:hAnsi="David" w:cs="David"/>
          <w:sz w:val="24"/>
          <w:szCs w:val="24"/>
          <w:rtl/>
        </w:rPr>
        <w:t xml:space="preserve"> הי' מועיל ברי שלו. אך באמת מן התורה מותר לגמרי וחכמי' החמירו משום יחוס כהונה </w:t>
      </w:r>
      <w:r w:rsidR="006F1185" w:rsidRPr="00897C99">
        <w:rPr>
          <w:rFonts w:ascii="David" w:hAnsi="David" w:cs="David"/>
          <w:b/>
          <w:bCs/>
          <w:sz w:val="24"/>
          <w:szCs w:val="24"/>
          <w:rtl/>
        </w:rPr>
        <w:t>ואסרו כוודאי</w:t>
      </w:r>
      <w:r w:rsidR="00897C99">
        <w:rPr>
          <w:rStyle w:val="a5"/>
          <w:rFonts w:ascii="David" w:hAnsi="David" w:cs="David"/>
          <w:sz w:val="24"/>
          <w:szCs w:val="24"/>
          <w:rtl/>
        </w:rPr>
        <w:footnoteReference w:id="27"/>
      </w:r>
      <w:r w:rsidR="008D3CA3" w:rsidRPr="00897C99">
        <w:rPr>
          <w:rFonts w:ascii="David" w:hAnsi="David" w:cs="David" w:hint="cs"/>
          <w:sz w:val="24"/>
          <w:szCs w:val="24"/>
          <w:rtl/>
        </w:rPr>
        <w:t>.</w:t>
      </w:r>
      <w:r w:rsidR="006F1185" w:rsidRPr="00897C99">
        <w:rPr>
          <w:rFonts w:ascii="David" w:hAnsi="David" w:cs="David"/>
          <w:sz w:val="24"/>
          <w:szCs w:val="24"/>
          <w:rtl/>
        </w:rPr>
        <w:t xml:space="preserve"> אף על פי שנאסר מספק</w:t>
      </w:r>
      <w:r w:rsidR="008D3CA3" w:rsidRPr="00897C99">
        <w:rPr>
          <w:rFonts w:ascii="David" w:hAnsi="David" w:cs="David" w:hint="cs"/>
          <w:sz w:val="24"/>
          <w:szCs w:val="24"/>
          <w:rtl/>
        </w:rPr>
        <w:t>-</w:t>
      </w:r>
      <w:r w:rsidR="006F1185" w:rsidRPr="00897C99">
        <w:rPr>
          <w:rFonts w:ascii="David" w:hAnsi="David" w:cs="David"/>
          <w:sz w:val="24"/>
          <w:szCs w:val="24"/>
          <w:rtl/>
        </w:rPr>
        <w:t xml:space="preserve"> מ"מ עשאוהו כספק שיש ח</w:t>
      </w:r>
      <w:r w:rsidR="00C57353">
        <w:rPr>
          <w:rFonts w:ascii="David" w:hAnsi="David" w:cs="David" w:hint="cs"/>
          <w:sz w:val="24"/>
          <w:szCs w:val="24"/>
          <w:rtl/>
        </w:rPr>
        <w:t>ז</w:t>
      </w:r>
      <w:r w:rsidR="006F1185" w:rsidRPr="00897C99">
        <w:rPr>
          <w:rFonts w:ascii="David" w:hAnsi="David" w:cs="David"/>
          <w:sz w:val="24"/>
          <w:szCs w:val="24"/>
          <w:rtl/>
        </w:rPr>
        <w:t>קת איסור</w:t>
      </w:r>
      <w:r w:rsidR="008D3CA3" w:rsidRPr="00897C99">
        <w:rPr>
          <w:rFonts w:ascii="David" w:hAnsi="David" w:cs="David" w:hint="cs"/>
          <w:sz w:val="24"/>
          <w:szCs w:val="24"/>
          <w:rtl/>
        </w:rPr>
        <w:t>,</w:t>
      </w:r>
      <w:r w:rsidR="006F1185" w:rsidRPr="00897C99">
        <w:rPr>
          <w:rFonts w:ascii="David" w:hAnsi="David" w:cs="David"/>
          <w:sz w:val="24"/>
          <w:szCs w:val="24"/>
          <w:rtl/>
        </w:rPr>
        <w:t xml:space="preserve"> ולא יועיל ברי של עצמו להוציא מודאי איסור. ודברי' אלו רמוזי' בקיצור לשון שיטה מקובצת במתני' ז"ל</w:t>
      </w:r>
      <w:r w:rsidR="008D3CA3" w:rsidRPr="00897C99">
        <w:rPr>
          <w:rFonts w:ascii="David" w:hAnsi="David" w:cs="David" w:hint="cs"/>
          <w:sz w:val="24"/>
          <w:szCs w:val="24"/>
          <w:rtl/>
        </w:rPr>
        <w:t>:</w:t>
      </w:r>
      <w:r w:rsidR="006F1185" w:rsidRPr="00897C99">
        <w:rPr>
          <w:rFonts w:ascii="David" w:hAnsi="David" w:cs="David"/>
          <w:sz w:val="24"/>
          <w:szCs w:val="24"/>
          <w:rtl/>
        </w:rPr>
        <w:t xml:space="preserve"> ואין אדם מעיד על עצמו כיון שידעו ששלטו עליהן ידי או"ה עכ"ל</w:t>
      </w:r>
      <w:r w:rsidR="008D3CA3">
        <w:rPr>
          <w:rStyle w:val="a5"/>
          <w:rFonts w:ascii="David" w:hAnsi="David" w:cs="David"/>
          <w:sz w:val="24"/>
          <w:szCs w:val="24"/>
          <w:rtl/>
        </w:rPr>
        <w:footnoteReference w:id="28"/>
      </w:r>
      <w:r w:rsidR="008D3CA3" w:rsidRPr="00897C99">
        <w:rPr>
          <w:rFonts w:ascii="David" w:hAnsi="David" w:cs="David" w:hint="cs"/>
          <w:sz w:val="24"/>
          <w:szCs w:val="24"/>
          <w:rtl/>
        </w:rPr>
        <w:t>"</w:t>
      </w:r>
      <w:r w:rsidR="00FC6717" w:rsidRPr="00897C99">
        <w:rPr>
          <w:rFonts w:ascii="David" w:hAnsi="David" w:cs="David" w:hint="cs"/>
          <w:sz w:val="24"/>
          <w:szCs w:val="24"/>
          <w:rtl/>
        </w:rPr>
        <w:t>.</w:t>
      </w:r>
      <w:r w:rsidR="0081434E" w:rsidRPr="00897C99">
        <w:rPr>
          <w:rFonts w:asciiTheme="majorBidi" w:hAnsiTheme="majorBidi" w:cstheme="majorBidi" w:hint="cs"/>
          <w:sz w:val="24"/>
          <w:szCs w:val="24"/>
          <w:rtl/>
        </w:rPr>
        <w:t xml:space="preserve"> אבל בתרי ותרי, אפילו לגבי שבויה מתקבל גדר  חדש: </w:t>
      </w:r>
      <w:r w:rsidR="0081434E" w:rsidRPr="00897C99">
        <w:rPr>
          <w:rFonts w:ascii="David" w:hAnsi="David" w:cs="David" w:hint="cs"/>
          <w:sz w:val="24"/>
          <w:szCs w:val="24"/>
          <w:rtl/>
        </w:rPr>
        <w:t>"</w:t>
      </w:r>
      <w:r w:rsidR="0081434E" w:rsidRPr="00897C99">
        <w:rPr>
          <w:rFonts w:ascii="David" w:hAnsi="David" w:cs="David"/>
          <w:sz w:val="24"/>
          <w:szCs w:val="24"/>
          <w:rtl/>
        </w:rPr>
        <w:t>היכא שבאו עדים המכחישים זה את זה, הרי לא הוי עתה ספק שבויה כלל, אלא ספק זונה מחמת העדים, ובזה לא אסרו מספק, ולכן שפיר מותרת מספק, דלא חשיב שלא הוברר הספק הקודם, כיון שמעכשיו הוא כבר ספק חדש</w:t>
      </w:r>
      <w:r w:rsidR="0081434E">
        <w:rPr>
          <w:rStyle w:val="a5"/>
          <w:rFonts w:ascii="David" w:hAnsi="David" w:cs="David"/>
          <w:sz w:val="24"/>
          <w:szCs w:val="24"/>
          <w:rtl/>
        </w:rPr>
        <w:footnoteReference w:id="29"/>
      </w:r>
      <w:r w:rsidR="005E55FD" w:rsidRPr="00897C99">
        <w:rPr>
          <w:rFonts w:asciiTheme="majorBidi" w:hAnsiTheme="majorBidi" w:cstheme="majorBidi" w:hint="cs"/>
          <w:sz w:val="24"/>
          <w:szCs w:val="24"/>
          <w:rtl/>
        </w:rPr>
        <w:t>".</w:t>
      </w:r>
      <w:r w:rsidR="00897C99" w:rsidRPr="00897C99">
        <w:rPr>
          <w:rFonts w:asciiTheme="majorBidi" w:hAnsiTheme="majorBidi" w:cstheme="majorBidi" w:hint="cs"/>
          <w:sz w:val="24"/>
          <w:szCs w:val="24"/>
          <w:rtl/>
        </w:rPr>
        <w:t xml:space="preserve"> בשיעורי הרב דוד כתב באופן דומה: </w:t>
      </w:r>
    </w:p>
    <w:p w14:paraId="323316CE" w14:textId="49D396C4" w:rsidR="00897C99" w:rsidRPr="00897C99" w:rsidRDefault="00897C99" w:rsidP="00761BF4">
      <w:pPr>
        <w:spacing w:after="0" w:line="360" w:lineRule="auto"/>
        <w:rPr>
          <w:rFonts w:ascii="David" w:hAnsi="David" w:cs="David"/>
          <w:sz w:val="24"/>
          <w:szCs w:val="24"/>
        </w:rPr>
      </w:pPr>
      <w:r>
        <w:rPr>
          <w:rFonts w:ascii="David" w:hAnsi="David" w:cs="David" w:hint="cs"/>
          <w:sz w:val="24"/>
          <w:szCs w:val="24"/>
          <w:rtl/>
        </w:rPr>
        <w:t>"</w:t>
      </w:r>
      <w:r w:rsidRPr="00BB453C">
        <w:rPr>
          <w:rFonts w:ascii="David" w:hAnsi="David" w:cs="David"/>
          <w:sz w:val="24"/>
          <w:szCs w:val="24"/>
          <w:rtl/>
        </w:rPr>
        <w:t xml:space="preserve">היכא דהיא ודאי שבויה, ורק ספק אם נבעלה, בזה אסרו רבנן מספק, ועשו ספק זה לאיסור ודאי, אבל היכא דהוי </w:t>
      </w:r>
      <w:r w:rsidRPr="00761BF4">
        <w:rPr>
          <w:rFonts w:ascii="David" w:hAnsi="David" w:cs="David"/>
          <w:b/>
          <w:bCs/>
          <w:sz w:val="24"/>
          <w:szCs w:val="24"/>
          <w:rtl/>
        </w:rPr>
        <w:t xml:space="preserve">ספק אם היא שבויה כלל, </w:t>
      </w:r>
      <w:r w:rsidRPr="00BB453C">
        <w:rPr>
          <w:rFonts w:ascii="David" w:hAnsi="David" w:cs="David"/>
          <w:sz w:val="24"/>
          <w:szCs w:val="24"/>
          <w:rtl/>
        </w:rPr>
        <w:t xml:space="preserve">בזה לא החמירו רבנן, ונשאר דין התורה </w:t>
      </w:r>
      <w:r w:rsidRPr="00BB453C">
        <w:rPr>
          <w:rFonts w:ascii="David" w:hAnsi="David" w:cs="David"/>
          <w:sz w:val="24"/>
          <w:szCs w:val="24"/>
          <w:rtl/>
        </w:rPr>
        <w:lastRenderedPageBreak/>
        <w:t>דמוקמינן אחזקה, ואפי' ספק איסור ליכא.</w:t>
      </w:r>
      <w:r w:rsidR="00761BF4">
        <w:rPr>
          <w:rFonts w:ascii="David" w:hAnsi="David" w:cs="David" w:hint="cs"/>
          <w:sz w:val="24"/>
          <w:szCs w:val="24"/>
          <w:rtl/>
        </w:rPr>
        <w:t xml:space="preserve">.. </w:t>
      </w:r>
      <w:r w:rsidRPr="00BB453C">
        <w:rPr>
          <w:rFonts w:ascii="David" w:hAnsi="David" w:cs="David"/>
          <w:sz w:val="24"/>
          <w:szCs w:val="24"/>
          <w:rtl/>
        </w:rPr>
        <w:t>דוקא בתרי ותרי דהוי ספק, הרי בספיקות מהני ברי לי, אבל בשבויה דאסרו חכמים ספק זה ועשאוהו לודאי איסור, תו לא שייך שיועיל ברי לי</w:t>
      </w:r>
      <w:r w:rsidR="00761BF4">
        <w:rPr>
          <w:rFonts w:ascii="David" w:hAnsi="David" w:cs="David" w:hint="cs"/>
          <w:sz w:val="24"/>
          <w:szCs w:val="24"/>
          <w:rtl/>
        </w:rPr>
        <w:t>"</w:t>
      </w:r>
      <w:r w:rsidRPr="00BB453C">
        <w:rPr>
          <w:rFonts w:ascii="David" w:hAnsi="David" w:cs="David"/>
          <w:sz w:val="24"/>
          <w:szCs w:val="24"/>
          <w:rtl/>
        </w:rPr>
        <w:t>.</w:t>
      </w:r>
    </w:p>
    <w:p w14:paraId="406713C2" w14:textId="6CFEAE6E" w:rsidR="005E55FD" w:rsidRPr="00897C99" w:rsidRDefault="005E55FD" w:rsidP="00897C99">
      <w:pPr>
        <w:spacing w:after="0" w:line="360" w:lineRule="auto"/>
        <w:rPr>
          <w:rFonts w:ascii="David" w:hAnsi="David" w:cs="David"/>
          <w:sz w:val="24"/>
          <w:szCs w:val="24"/>
          <w:rtl/>
        </w:rPr>
      </w:pPr>
      <w:r w:rsidRPr="00897C99">
        <w:rPr>
          <w:rFonts w:asciiTheme="majorBidi" w:hAnsiTheme="majorBidi" w:cstheme="majorBidi" w:hint="cs"/>
          <w:sz w:val="24"/>
          <w:szCs w:val="24"/>
          <w:rtl/>
        </w:rPr>
        <w:t>הרב שמעון שקופ הבהיר</w:t>
      </w:r>
      <w:r w:rsidR="000C704C" w:rsidRPr="00897C99">
        <w:rPr>
          <w:rFonts w:asciiTheme="majorBidi" w:hAnsiTheme="majorBidi" w:cstheme="majorBidi" w:hint="cs"/>
          <w:sz w:val="24"/>
          <w:szCs w:val="24"/>
          <w:rtl/>
        </w:rPr>
        <w:t xml:space="preserve"> </w:t>
      </w:r>
      <w:r w:rsidRPr="00897C99">
        <w:rPr>
          <w:rFonts w:asciiTheme="majorBidi" w:hAnsiTheme="majorBidi" w:cstheme="majorBidi" w:hint="cs"/>
          <w:sz w:val="24"/>
          <w:szCs w:val="24"/>
          <w:rtl/>
        </w:rPr>
        <w:t xml:space="preserve">את ההגדרות כאן: </w:t>
      </w:r>
      <w:r w:rsidRPr="00897C99">
        <w:rPr>
          <w:rFonts w:ascii="David" w:hAnsi="David" w:cs="David" w:hint="cs"/>
          <w:sz w:val="24"/>
          <w:szCs w:val="24"/>
          <w:rtl/>
        </w:rPr>
        <w:t>"</w:t>
      </w:r>
      <w:r w:rsidRPr="00897C99">
        <w:rPr>
          <w:rFonts w:ascii="David" w:hAnsi="David" w:cs="David"/>
          <w:sz w:val="24"/>
          <w:szCs w:val="24"/>
          <w:rtl/>
        </w:rPr>
        <w:t xml:space="preserve">בספר פני יהושע </w:t>
      </w:r>
      <w:r w:rsidRPr="00897C99">
        <w:rPr>
          <w:rFonts w:ascii="David" w:hAnsi="David" w:cs="David"/>
          <w:sz w:val="18"/>
          <w:szCs w:val="18"/>
          <w:rtl/>
        </w:rPr>
        <w:t>דף כ"ו במשנה שם</w:t>
      </w:r>
      <w:r w:rsidRPr="00897C99">
        <w:rPr>
          <w:rFonts w:ascii="David" w:hAnsi="David" w:cs="David" w:hint="cs"/>
          <w:sz w:val="24"/>
          <w:szCs w:val="24"/>
          <w:rtl/>
        </w:rPr>
        <w:t xml:space="preserve">... </w:t>
      </w:r>
      <w:r w:rsidRPr="00897C99">
        <w:rPr>
          <w:rFonts w:ascii="David" w:hAnsi="David" w:cs="David"/>
          <w:sz w:val="24"/>
          <w:szCs w:val="24"/>
          <w:rtl/>
        </w:rPr>
        <w:t>אמרו לו אין אדם מעיד על עצמו, דמלשון זה משמע דכללא הוא</w:t>
      </w:r>
      <w:r w:rsidRPr="00897C99">
        <w:rPr>
          <w:rFonts w:ascii="David" w:hAnsi="David" w:cs="David" w:hint="cs"/>
          <w:sz w:val="24"/>
          <w:szCs w:val="24"/>
          <w:rtl/>
        </w:rPr>
        <w:t>,</w:t>
      </w:r>
      <w:r w:rsidRPr="00897C99">
        <w:rPr>
          <w:rFonts w:ascii="David" w:hAnsi="David" w:cs="David"/>
          <w:sz w:val="24"/>
          <w:szCs w:val="24"/>
          <w:rtl/>
        </w:rPr>
        <w:t xml:space="preserve"> דבכ"מ ל"ש עדות על עצמו אף באיסורין שהאמינה תורה ע"א</w:t>
      </w:r>
      <w:r w:rsidRPr="00897C99">
        <w:rPr>
          <w:rFonts w:ascii="David" w:hAnsi="David" w:cs="David" w:hint="cs"/>
          <w:sz w:val="24"/>
          <w:szCs w:val="24"/>
          <w:rtl/>
        </w:rPr>
        <w:t>.</w:t>
      </w:r>
      <w:r w:rsidRPr="00897C99">
        <w:rPr>
          <w:rFonts w:ascii="David" w:hAnsi="David" w:cs="David"/>
          <w:sz w:val="24"/>
          <w:szCs w:val="24"/>
          <w:rtl/>
        </w:rPr>
        <w:t xml:space="preserve"> וע"ז הקשה </w:t>
      </w:r>
      <w:r w:rsidRPr="00897C99">
        <w:rPr>
          <w:rFonts w:ascii="David" w:hAnsi="David" w:cs="David"/>
          <w:b/>
          <w:bCs/>
          <w:sz w:val="24"/>
          <w:szCs w:val="24"/>
          <w:rtl/>
        </w:rPr>
        <w:t>דהלא באיסורין בע"ד מהימן</w:t>
      </w:r>
      <w:r w:rsidRPr="00897C99">
        <w:rPr>
          <w:rFonts w:ascii="David" w:hAnsi="David" w:cs="David" w:hint="cs"/>
          <w:sz w:val="24"/>
          <w:szCs w:val="24"/>
          <w:rtl/>
        </w:rPr>
        <w:t>,</w:t>
      </w:r>
      <w:r w:rsidRPr="00897C99">
        <w:rPr>
          <w:rFonts w:ascii="David" w:hAnsi="David" w:cs="David"/>
          <w:sz w:val="24"/>
          <w:szCs w:val="24"/>
          <w:rtl/>
        </w:rPr>
        <w:t xml:space="preserve"> דהרי ילפינן לשיטת רוב הראשונים מקרא דוספרה לה ונשאר בצ"ע</w:t>
      </w:r>
      <w:r w:rsidRPr="00897C99">
        <w:rPr>
          <w:rFonts w:ascii="David" w:hAnsi="David" w:cs="David" w:hint="cs"/>
          <w:sz w:val="24"/>
          <w:szCs w:val="24"/>
          <w:rtl/>
        </w:rPr>
        <w:t>..</w:t>
      </w:r>
    </w:p>
    <w:p w14:paraId="4D6DC90D" w14:textId="77FB88F3" w:rsidR="005E55FD" w:rsidRPr="00ED5695" w:rsidRDefault="005E55FD" w:rsidP="005E55FD">
      <w:pPr>
        <w:spacing w:after="0" w:line="360" w:lineRule="auto"/>
        <w:rPr>
          <w:rFonts w:ascii="David" w:hAnsi="David" w:cs="David"/>
          <w:sz w:val="24"/>
          <w:szCs w:val="24"/>
          <w:rtl/>
        </w:rPr>
      </w:pPr>
      <w:r w:rsidRPr="00ED5695">
        <w:rPr>
          <w:rFonts w:ascii="David" w:hAnsi="David" w:cs="David"/>
          <w:sz w:val="24"/>
          <w:szCs w:val="24"/>
          <w:rtl/>
        </w:rPr>
        <w:t xml:space="preserve">לענין הנהגת אדם בדבר שיש לספק בו אם רשאי לעשות הדבר או לא צריך לו שני אופני עדות, עדות העקרית הוא שידע </w:t>
      </w:r>
      <w:r w:rsidRPr="00916ACC">
        <w:rPr>
          <w:rFonts w:ascii="David" w:hAnsi="David" w:cs="David"/>
          <w:b/>
          <w:bCs/>
          <w:sz w:val="24"/>
          <w:szCs w:val="24"/>
          <w:rtl/>
        </w:rPr>
        <w:t>לעצמו</w:t>
      </w:r>
      <w:r w:rsidRPr="00ED5695">
        <w:rPr>
          <w:rFonts w:ascii="David" w:hAnsi="David" w:cs="David"/>
          <w:sz w:val="24"/>
          <w:szCs w:val="24"/>
          <w:rtl/>
        </w:rPr>
        <w:t xml:space="preserve"> אם מותר לו הדבר או לא היינו לצאת ידי שמים, ועדות שניה צריך </w:t>
      </w:r>
      <w:r w:rsidRPr="00916ACC">
        <w:rPr>
          <w:rFonts w:ascii="David" w:hAnsi="David" w:cs="David"/>
          <w:b/>
          <w:bCs/>
          <w:sz w:val="24"/>
          <w:szCs w:val="24"/>
          <w:rtl/>
        </w:rPr>
        <w:t>לצאת ידי בי"ד</w:t>
      </w:r>
      <w:r w:rsidRPr="00ED5695">
        <w:rPr>
          <w:rFonts w:ascii="David" w:hAnsi="David" w:cs="David"/>
          <w:sz w:val="24"/>
          <w:szCs w:val="24"/>
          <w:rtl/>
        </w:rPr>
        <w:t>, כיון שמוטל על בי"ד לעכב את איש ישראל שלא לעבור על דברי תורה, ואם לפי דעת בי"ד הוא דבר אסור, עליהם לכופו ולהכותו עד שתצא נפשו אף אם יאמר שהוא ברי לו שהוא רשאי לעשות כן. ו</w:t>
      </w:r>
      <w:r w:rsidRPr="0081434E">
        <w:rPr>
          <w:rFonts w:ascii="David" w:hAnsi="David" w:cs="David"/>
          <w:b/>
          <w:bCs/>
          <w:sz w:val="24"/>
          <w:szCs w:val="24"/>
          <w:rtl/>
        </w:rPr>
        <w:t>להנצל מכפי</w:t>
      </w:r>
      <w:r w:rsidR="004B5294">
        <w:rPr>
          <w:rFonts w:ascii="David" w:hAnsi="David" w:cs="David" w:hint="cs"/>
          <w:b/>
          <w:bCs/>
          <w:sz w:val="24"/>
          <w:szCs w:val="24"/>
          <w:rtl/>
        </w:rPr>
        <w:t>י</w:t>
      </w:r>
      <w:r w:rsidRPr="0081434E">
        <w:rPr>
          <w:rFonts w:ascii="David" w:hAnsi="David" w:cs="David"/>
          <w:b/>
          <w:bCs/>
          <w:sz w:val="24"/>
          <w:szCs w:val="24"/>
          <w:rtl/>
        </w:rPr>
        <w:t>ת בי"ד</w:t>
      </w:r>
      <w:r w:rsidR="004B5294">
        <w:rPr>
          <w:rFonts w:ascii="David" w:hAnsi="David" w:cs="David" w:hint="cs"/>
          <w:b/>
          <w:bCs/>
          <w:sz w:val="24"/>
          <w:szCs w:val="24"/>
          <w:rtl/>
        </w:rPr>
        <w:t>,</w:t>
      </w:r>
      <w:r w:rsidRPr="0081434E">
        <w:rPr>
          <w:rFonts w:ascii="David" w:hAnsi="David" w:cs="David"/>
          <w:b/>
          <w:bCs/>
          <w:sz w:val="24"/>
          <w:szCs w:val="24"/>
          <w:rtl/>
        </w:rPr>
        <w:t xml:space="preserve"> עליו להביא עדות המועלת לענין זה</w:t>
      </w:r>
      <w:r w:rsidRPr="00ED5695">
        <w:rPr>
          <w:rFonts w:ascii="David" w:hAnsi="David" w:cs="David"/>
          <w:sz w:val="24"/>
          <w:szCs w:val="24"/>
          <w:rtl/>
        </w:rPr>
        <w:t xml:space="preserve">, והיכא שאדם יודע שהוא דבר המותר ולבי"ד הוא בתורת ספק </w:t>
      </w:r>
      <w:r w:rsidRPr="00916ACC">
        <w:rPr>
          <w:rFonts w:ascii="David" w:hAnsi="David" w:cs="David"/>
          <w:b/>
          <w:bCs/>
          <w:sz w:val="24"/>
          <w:szCs w:val="24"/>
          <w:rtl/>
        </w:rPr>
        <w:t>א"צ בזה שום עדות</w:t>
      </w:r>
      <w:r w:rsidRPr="00ED5695">
        <w:rPr>
          <w:rFonts w:ascii="David" w:hAnsi="David" w:cs="David"/>
          <w:sz w:val="24"/>
          <w:szCs w:val="24"/>
          <w:rtl/>
        </w:rPr>
        <w:t>, דמה שנוגע לעצמו לצאת ידי שמים כל שיודע ידיעה ברורה שהדבר מותר לו בודאי א"צ לעדות, שלא תהא שמיעה גדולה מראיה. ומה שנוגע להנצל מכפית בי"ד ג"כ א"צ עדות</w:t>
      </w:r>
      <w:r w:rsidR="004B5294">
        <w:rPr>
          <w:rFonts w:ascii="David" w:hAnsi="David" w:cs="David" w:hint="cs"/>
          <w:sz w:val="24"/>
          <w:szCs w:val="24"/>
          <w:rtl/>
        </w:rPr>
        <w:t>,</w:t>
      </w:r>
      <w:r w:rsidRPr="00ED5695">
        <w:rPr>
          <w:rFonts w:ascii="David" w:hAnsi="David" w:cs="David"/>
          <w:sz w:val="24"/>
          <w:szCs w:val="24"/>
          <w:rtl/>
        </w:rPr>
        <w:t xml:space="preserve"> כיון שהוא טוען ברי לי שהדבר מותר, ולבי"ד הוא בתורת ספק, בכה"ג ברי ושמא ברי עדיף, ואין לבי"ד שום כח למנוע את הנדון בזמן שהוא טוען ברי והם באים בטענת שמא הדבר אסור עליך. וענין זה הוא מה דאמרינן</w:t>
      </w:r>
      <w:r>
        <w:rPr>
          <w:rFonts w:ascii="David" w:hAnsi="David" w:cs="David" w:hint="cs"/>
          <w:sz w:val="24"/>
          <w:szCs w:val="24"/>
          <w:rtl/>
        </w:rPr>
        <w:t xml:space="preserve">.. </w:t>
      </w:r>
      <w:r w:rsidRPr="00ED5695">
        <w:rPr>
          <w:rFonts w:ascii="David" w:hAnsi="David" w:cs="David"/>
          <w:sz w:val="24"/>
          <w:szCs w:val="24"/>
          <w:rtl/>
        </w:rPr>
        <w:t>דבתרי ותרי</w:t>
      </w:r>
      <w:r>
        <w:rPr>
          <w:rFonts w:ascii="David" w:hAnsi="David" w:cs="David" w:hint="cs"/>
          <w:sz w:val="24"/>
          <w:szCs w:val="24"/>
          <w:rtl/>
        </w:rPr>
        <w:t xml:space="preserve">... </w:t>
      </w:r>
      <w:r w:rsidRPr="00ED5695">
        <w:rPr>
          <w:rFonts w:ascii="David" w:hAnsi="David" w:cs="David"/>
          <w:sz w:val="24"/>
          <w:szCs w:val="24"/>
          <w:rtl/>
        </w:rPr>
        <w:t>אם נשאת לא תצא</w:t>
      </w:r>
      <w:r>
        <w:rPr>
          <w:rFonts w:ascii="David" w:hAnsi="David" w:cs="David" w:hint="cs"/>
          <w:sz w:val="24"/>
          <w:szCs w:val="24"/>
          <w:rtl/>
        </w:rPr>
        <w:t xml:space="preserve">.. </w:t>
      </w:r>
      <w:r w:rsidRPr="00ED5695">
        <w:rPr>
          <w:rFonts w:ascii="David" w:hAnsi="David" w:cs="David"/>
          <w:sz w:val="24"/>
          <w:szCs w:val="24"/>
          <w:rtl/>
        </w:rPr>
        <w:t xml:space="preserve">שם ודאי אינו מועיל שום הוכחה להכריע בין העדים, אלא הענין כמש"כ </w:t>
      </w:r>
      <w:r w:rsidRPr="0081434E">
        <w:rPr>
          <w:rFonts w:ascii="David" w:hAnsi="David" w:cs="David"/>
          <w:b/>
          <w:bCs/>
          <w:sz w:val="24"/>
          <w:szCs w:val="24"/>
          <w:rtl/>
        </w:rPr>
        <w:t>דלעצמם א"צ לעדות</w:t>
      </w:r>
      <w:r>
        <w:rPr>
          <w:rFonts w:ascii="David" w:hAnsi="David" w:cs="David" w:hint="cs"/>
          <w:b/>
          <w:bCs/>
          <w:sz w:val="24"/>
          <w:szCs w:val="24"/>
          <w:rtl/>
        </w:rPr>
        <w:t>,</w:t>
      </w:r>
      <w:r w:rsidRPr="0081434E">
        <w:rPr>
          <w:rFonts w:ascii="David" w:hAnsi="David" w:cs="David"/>
          <w:b/>
          <w:bCs/>
          <w:sz w:val="24"/>
          <w:szCs w:val="24"/>
          <w:rtl/>
        </w:rPr>
        <w:t xml:space="preserve"> ולהנצל מיד בי"ד מהני טענת ברי</w:t>
      </w:r>
      <w:r>
        <w:rPr>
          <w:rFonts w:ascii="David" w:hAnsi="David" w:cs="David" w:hint="cs"/>
          <w:sz w:val="24"/>
          <w:szCs w:val="24"/>
          <w:rtl/>
        </w:rPr>
        <w:t>..</w:t>
      </w:r>
      <w:r w:rsidRPr="002354EE">
        <w:rPr>
          <w:rFonts w:ascii="David" w:hAnsi="David" w:cs="David" w:hint="cs"/>
          <w:rtl/>
        </w:rPr>
        <w:t xml:space="preserve"> </w:t>
      </w:r>
      <w:r w:rsidRPr="002354EE">
        <w:rPr>
          <w:rFonts w:ascii="David" w:hAnsi="David" w:cs="David"/>
          <w:rtl/>
        </w:rPr>
        <w:t>ובענין זה יש פלוגתא דרבוותא, דלשיטת תוס' אם היה דין בספק של תרי ותרי אם מת בעלה או לא</w:t>
      </w:r>
      <w:r w:rsidRPr="002354EE">
        <w:rPr>
          <w:rFonts w:ascii="David" w:hAnsi="David" w:cs="David" w:hint="cs"/>
          <w:rtl/>
        </w:rPr>
        <w:t>,</w:t>
      </w:r>
      <w:r w:rsidRPr="002354EE">
        <w:rPr>
          <w:rFonts w:ascii="David" w:hAnsi="David" w:cs="David"/>
          <w:rtl/>
        </w:rPr>
        <w:t xml:space="preserve"> להעמידה בחזקת אשת איש שמתורת דין חזקה נדונת בחנק, אז לא מהני טענת ברי שלה</w:t>
      </w:r>
      <w:r w:rsidRPr="002354EE">
        <w:rPr>
          <w:rFonts w:ascii="David" w:hAnsi="David" w:cs="David" w:hint="cs"/>
          <w:rtl/>
        </w:rPr>
        <w:t>,</w:t>
      </w:r>
      <w:r w:rsidRPr="002354EE">
        <w:rPr>
          <w:rFonts w:ascii="David" w:hAnsi="David" w:cs="David"/>
          <w:rtl/>
        </w:rPr>
        <w:t xml:space="preserve"> כיון שעל בי"ד לעשות דין ברור ע"פ תורת דין חזקה</w:t>
      </w:r>
      <w:r w:rsidRPr="002354EE">
        <w:rPr>
          <w:rFonts w:ascii="David" w:hAnsi="David" w:cs="David" w:hint="cs"/>
          <w:rtl/>
        </w:rPr>
        <w:t>,</w:t>
      </w:r>
      <w:r w:rsidRPr="002354EE">
        <w:rPr>
          <w:rFonts w:ascii="David" w:hAnsi="David" w:cs="David"/>
          <w:rtl/>
        </w:rPr>
        <w:t xml:space="preserve"> אינה מועלה טענת ברי של הנדון. ולשיטת הרשב"א גם בכה"ג מהני טענת ברי, דסובר כיון דהחזקה שייכת רק היכא שהדין בספק לענין הנהגה, ולפי טענת הנדון שאין לו תורת ספק בזה החזקה אינה מועלת להפקיע כחו, ובטל מזה כח בי"ד כיון שהוא והיא שניהם טוענים ברי. </w:t>
      </w:r>
      <w:r w:rsidRPr="00ED5695">
        <w:rPr>
          <w:rFonts w:ascii="David" w:hAnsi="David" w:cs="David"/>
          <w:sz w:val="24"/>
          <w:szCs w:val="24"/>
          <w:rtl/>
        </w:rPr>
        <w:t xml:space="preserve">אמנם נראה מסתבר דגם לשיטת הרשב"א הוא דוקא היכא שנולד ספק, כמו בתרי ותרי, אבל </w:t>
      </w:r>
      <w:r w:rsidRPr="0081434E">
        <w:rPr>
          <w:rFonts w:ascii="David" w:hAnsi="David" w:cs="David"/>
          <w:b/>
          <w:bCs/>
          <w:sz w:val="24"/>
          <w:szCs w:val="24"/>
          <w:rtl/>
        </w:rPr>
        <w:t>היכא שלא נולד לבי"ד שום ספק לא מהני בכה"ג טענת ברי של הנדו</w:t>
      </w:r>
      <w:r w:rsidRPr="00ED5695">
        <w:rPr>
          <w:rFonts w:ascii="David" w:hAnsi="David" w:cs="David"/>
          <w:sz w:val="24"/>
          <w:szCs w:val="24"/>
          <w:rtl/>
        </w:rPr>
        <w:t>ן, כמו קודם המעשה לענין אפרושי מאיסורא כמו כן לאחר המעשה</w:t>
      </w:r>
      <w:r w:rsidR="004B5294">
        <w:rPr>
          <w:rFonts w:ascii="David" w:hAnsi="David" w:cs="David" w:hint="cs"/>
          <w:sz w:val="24"/>
          <w:szCs w:val="24"/>
          <w:rtl/>
        </w:rPr>
        <w:t>-</w:t>
      </w:r>
      <w:r w:rsidRPr="00ED5695">
        <w:rPr>
          <w:rFonts w:ascii="David" w:hAnsi="David" w:cs="David"/>
          <w:sz w:val="24"/>
          <w:szCs w:val="24"/>
          <w:rtl/>
        </w:rPr>
        <w:t xml:space="preserve"> אם נוגע לענין עונשין שמוטל על בי"ד לעשות כשורת הדין כפי </w:t>
      </w:r>
      <w:r w:rsidR="004B5294">
        <w:rPr>
          <w:rFonts w:ascii="David" w:hAnsi="David" w:cs="David" w:hint="cs"/>
          <w:sz w:val="24"/>
          <w:szCs w:val="24"/>
          <w:rtl/>
        </w:rPr>
        <w:t>ה</w:t>
      </w:r>
      <w:r w:rsidRPr="00ED5695">
        <w:rPr>
          <w:rFonts w:ascii="David" w:hAnsi="David" w:cs="David"/>
          <w:sz w:val="24"/>
          <w:szCs w:val="24"/>
          <w:rtl/>
        </w:rPr>
        <w:t>מוחזק אצלם. וקצת מדברינו כמדומה לי שלמדתי מדברי הפנ"י</w:t>
      </w:r>
      <w:r>
        <w:rPr>
          <w:rFonts w:ascii="David" w:hAnsi="David" w:cs="David" w:hint="cs"/>
          <w:sz w:val="24"/>
          <w:szCs w:val="24"/>
          <w:rtl/>
        </w:rPr>
        <w:t xml:space="preserve">.. </w:t>
      </w:r>
      <w:r w:rsidRPr="00ED5695">
        <w:rPr>
          <w:rFonts w:ascii="David" w:hAnsi="David" w:cs="David"/>
          <w:sz w:val="24"/>
          <w:szCs w:val="24"/>
          <w:rtl/>
        </w:rPr>
        <w:t xml:space="preserve">ובזה ניחא מה דלא מהני ברי בשבויה שנשבית </w:t>
      </w:r>
    </w:p>
    <w:p w14:paraId="756C0815" w14:textId="3DF6F85F" w:rsidR="006F1185" w:rsidRPr="005E55FD" w:rsidRDefault="005E55FD" w:rsidP="005E55FD">
      <w:pPr>
        <w:spacing w:after="0" w:line="360" w:lineRule="auto"/>
        <w:rPr>
          <w:rFonts w:ascii="David" w:hAnsi="David" w:cs="David"/>
          <w:sz w:val="24"/>
          <w:szCs w:val="24"/>
          <w:rtl/>
        </w:rPr>
      </w:pPr>
      <w:r w:rsidRPr="00ED5695">
        <w:rPr>
          <w:rFonts w:ascii="David" w:hAnsi="David" w:cs="David"/>
          <w:sz w:val="24"/>
          <w:szCs w:val="24"/>
          <w:rtl/>
        </w:rPr>
        <w:t>אמנם כל זה הוא בנוגע אצל בי"ד, אבל אם נוגע הענין להנהגתם לשמים, בזה לא שייך לומר אשתו כגופו, ונאמנת האשה לבעלה בכל עניני איסור והיתר כע"א דעלמא, ומקרא דוספרה לה ילפינן דיכול הבעל לסמוך על האשה בטהרת נדה, דרק מכל ענין שעל אחרים לחוב או לזכות להבעל או להאשה או אינם מעידים זה לזה כלל אף היכא דנאמן קרוב או פסול, אבל בנוגע להנהגתם לשמים ל"ש בזה כלל ענין אשתו כגופו והם מעידים זה ככל ע"א דעלמא</w:t>
      </w:r>
      <w:r>
        <w:rPr>
          <w:rStyle w:val="a5"/>
          <w:rFonts w:ascii="David" w:hAnsi="David" w:cs="David"/>
          <w:sz w:val="24"/>
          <w:szCs w:val="24"/>
          <w:rtl/>
        </w:rPr>
        <w:footnoteReference w:id="30"/>
      </w:r>
      <w:r>
        <w:rPr>
          <w:rFonts w:ascii="David" w:hAnsi="David" w:cs="David" w:hint="cs"/>
          <w:sz w:val="24"/>
          <w:szCs w:val="24"/>
          <w:rtl/>
        </w:rPr>
        <w:t>".</w:t>
      </w:r>
    </w:p>
    <w:p w14:paraId="37B041BB" w14:textId="3D536A5F" w:rsidR="007869AD" w:rsidRPr="007869AD" w:rsidRDefault="00341316" w:rsidP="007869AD">
      <w:pPr>
        <w:pStyle w:val="aa"/>
        <w:numPr>
          <w:ilvl w:val="0"/>
          <w:numId w:val="2"/>
        </w:numPr>
        <w:spacing w:after="0" w:line="360" w:lineRule="auto"/>
        <w:rPr>
          <w:rFonts w:ascii="David" w:hAnsi="David" w:cs="David"/>
          <w:sz w:val="24"/>
          <w:szCs w:val="24"/>
          <w:rtl/>
        </w:rPr>
      </w:pPr>
      <w:r w:rsidRPr="007869AD">
        <w:rPr>
          <w:rFonts w:asciiTheme="majorBidi" w:hAnsiTheme="majorBidi" w:cstheme="majorBidi" w:hint="cs"/>
          <w:sz w:val="24"/>
          <w:szCs w:val="24"/>
          <w:rtl/>
        </w:rPr>
        <w:t>החיד"א הולך בעקבות התוספות, שמעלה ביוחסין עשו כאן. הוא נדרש לשאלה כיצד הייתה שרה מותרת לאברהם לאחר שנשבתה בידי אבימלך:</w:t>
      </w:r>
      <w:r w:rsidR="007869AD" w:rsidRPr="007869AD">
        <w:rPr>
          <w:rFonts w:asciiTheme="majorBidi" w:hAnsiTheme="majorBidi" w:cstheme="majorBidi" w:hint="cs"/>
          <w:sz w:val="24"/>
          <w:szCs w:val="24"/>
          <w:rtl/>
        </w:rPr>
        <w:t xml:space="preserve"> </w:t>
      </w:r>
      <w:r w:rsidR="007869AD" w:rsidRPr="007869AD">
        <w:rPr>
          <w:rFonts w:ascii="David" w:hAnsi="David" w:cs="David" w:hint="cs"/>
          <w:sz w:val="24"/>
          <w:szCs w:val="24"/>
          <w:rtl/>
        </w:rPr>
        <w:t>"</w:t>
      </w:r>
      <w:r w:rsidR="007869AD" w:rsidRPr="007869AD">
        <w:rPr>
          <w:rFonts w:ascii="David" w:hAnsi="David" w:cs="David"/>
          <w:sz w:val="24"/>
          <w:szCs w:val="24"/>
          <w:rtl/>
        </w:rPr>
        <w:t xml:space="preserve">מדברי הרב מהר"ח אבואלעפיא ז"ל </w:t>
      </w:r>
      <w:r w:rsidR="007869AD" w:rsidRPr="007869AD">
        <w:rPr>
          <w:rFonts w:ascii="David" w:hAnsi="David" w:cs="David"/>
          <w:sz w:val="18"/>
          <w:szCs w:val="18"/>
          <w:rtl/>
        </w:rPr>
        <w:t>בס' מקראי קדש דף ס"ה</w:t>
      </w:r>
      <w:r w:rsidR="007869AD" w:rsidRPr="007869AD">
        <w:rPr>
          <w:rFonts w:ascii="David" w:hAnsi="David" w:cs="David"/>
          <w:sz w:val="28"/>
          <w:szCs w:val="28"/>
          <w:rtl/>
        </w:rPr>
        <w:t xml:space="preserve"> </w:t>
      </w:r>
      <w:r w:rsidR="007869AD" w:rsidRPr="007869AD">
        <w:rPr>
          <w:rFonts w:ascii="David" w:hAnsi="David" w:cs="David"/>
          <w:sz w:val="24"/>
          <w:szCs w:val="24"/>
          <w:rtl/>
        </w:rPr>
        <w:t>מפורש</w:t>
      </w:r>
      <w:r w:rsidR="007869AD" w:rsidRPr="007869AD">
        <w:rPr>
          <w:rFonts w:ascii="David" w:hAnsi="David" w:cs="David" w:hint="cs"/>
          <w:sz w:val="24"/>
          <w:szCs w:val="24"/>
          <w:rtl/>
        </w:rPr>
        <w:t>,</w:t>
      </w:r>
      <w:r w:rsidR="007869AD" w:rsidRPr="007869AD">
        <w:rPr>
          <w:rFonts w:ascii="David" w:hAnsi="David" w:cs="David"/>
          <w:sz w:val="24"/>
          <w:szCs w:val="24"/>
          <w:rtl/>
        </w:rPr>
        <w:t xml:space="preserve"> </w:t>
      </w:r>
      <w:r w:rsidR="007869AD" w:rsidRPr="007869AD">
        <w:rPr>
          <w:rFonts w:ascii="David" w:hAnsi="David" w:cs="David"/>
          <w:b/>
          <w:bCs/>
          <w:sz w:val="24"/>
          <w:szCs w:val="24"/>
          <w:rtl/>
        </w:rPr>
        <w:t>דאפי' הוא נביא ואומר דידע שלא נגעו בה אינו נאמן על ידי עצמו</w:t>
      </w:r>
      <w:r w:rsidR="007869AD" w:rsidRPr="007869AD">
        <w:rPr>
          <w:rFonts w:ascii="David" w:hAnsi="David" w:cs="David" w:hint="cs"/>
          <w:sz w:val="24"/>
          <w:szCs w:val="24"/>
          <w:rtl/>
        </w:rPr>
        <w:t xml:space="preserve">.. </w:t>
      </w:r>
      <w:r w:rsidR="007869AD" w:rsidRPr="007869AD">
        <w:rPr>
          <w:rFonts w:ascii="David" w:hAnsi="David" w:cs="David"/>
          <w:sz w:val="24"/>
          <w:szCs w:val="24"/>
          <w:rtl/>
        </w:rPr>
        <w:t xml:space="preserve">הוא משום מעלת יוחסין והוא חומרא וכ"כ הרב בית שמואל </w:t>
      </w:r>
      <w:r w:rsidR="007869AD" w:rsidRPr="007869AD">
        <w:rPr>
          <w:rFonts w:ascii="David" w:hAnsi="David" w:cs="David"/>
          <w:sz w:val="18"/>
          <w:szCs w:val="18"/>
          <w:rtl/>
        </w:rPr>
        <w:t>סי' ז' ס"ק ד'</w:t>
      </w:r>
      <w:r w:rsidR="007869AD" w:rsidRPr="007869AD">
        <w:rPr>
          <w:rFonts w:ascii="David" w:hAnsi="David" w:cs="David"/>
          <w:sz w:val="24"/>
          <w:szCs w:val="24"/>
          <w:rtl/>
        </w:rPr>
        <w:t xml:space="preserve"> וסיים</w:t>
      </w:r>
      <w:r w:rsidR="007869AD" w:rsidRPr="007869AD">
        <w:rPr>
          <w:rFonts w:ascii="David" w:hAnsi="David" w:cs="David" w:hint="cs"/>
          <w:sz w:val="24"/>
          <w:szCs w:val="24"/>
          <w:rtl/>
        </w:rPr>
        <w:t>:</w:t>
      </w:r>
      <w:r w:rsidR="007869AD" w:rsidRPr="007869AD">
        <w:rPr>
          <w:rFonts w:ascii="David" w:hAnsi="David" w:cs="David"/>
          <w:sz w:val="24"/>
          <w:szCs w:val="24"/>
          <w:rtl/>
        </w:rPr>
        <w:t xml:space="preserve"> </w:t>
      </w:r>
      <w:r w:rsidR="007869AD" w:rsidRPr="007869AD">
        <w:rPr>
          <w:rFonts w:ascii="David" w:hAnsi="David" w:cs="David"/>
          <w:sz w:val="24"/>
          <w:szCs w:val="24"/>
          <w:rtl/>
        </w:rPr>
        <w:lastRenderedPageBreak/>
        <w:t>דדוקא להעיד אינו יכול אבל אם לא ידע שום אדם דהיתה שבויה אלא הוא והיה עמה וידע שלא נטמאת מותרת לו ע"כ</w:t>
      </w:r>
      <w:r w:rsidR="007869AD" w:rsidRPr="007869AD">
        <w:rPr>
          <w:rFonts w:ascii="David" w:hAnsi="David" w:cs="David" w:hint="cs"/>
          <w:sz w:val="24"/>
          <w:szCs w:val="24"/>
          <w:rtl/>
        </w:rPr>
        <w:t>.</w:t>
      </w:r>
      <w:r w:rsidR="007869AD" w:rsidRPr="007869AD">
        <w:rPr>
          <w:rFonts w:ascii="David" w:hAnsi="David" w:cs="David"/>
          <w:sz w:val="24"/>
          <w:szCs w:val="24"/>
          <w:rtl/>
        </w:rPr>
        <w:t xml:space="preserve"> ומאחר שכן באותו פרק דלא היו ישראל עד</w:t>
      </w:r>
      <w:r w:rsidR="004B5294">
        <w:rPr>
          <w:rFonts w:ascii="David" w:hAnsi="David" w:cs="David" w:hint="cs"/>
          <w:sz w:val="24"/>
          <w:szCs w:val="24"/>
          <w:rtl/>
        </w:rPr>
        <w:t>י</w:t>
      </w:r>
      <w:r w:rsidR="007869AD" w:rsidRPr="007869AD">
        <w:rPr>
          <w:rFonts w:ascii="David" w:hAnsi="David" w:cs="David"/>
          <w:sz w:val="24"/>
          <w:szCs w:val="24"/>
          <w:rtl/>
        </w:rPr>
        <w:t>ין בעולם לא היה צריך אברהם אע"ה לנהוג חומרא זו דמדינא שריא</w:t>
      </w:r>
      <w:r w:rsidR="007869AD" w:rsidRPr="007869AD">
        <w:rPr>
          <w:rFonts w:ascii="David" w:hAnsi="David" w:cs="David" w:hint="cs"/>
          <w:sz w:val="24"/>
          <w:szCs w:val="24"/>
          <w:rtl/>
        </w:rPr>
        <w:t>.</w:t>
      </w:r>
      <w:r w:rsidR="007869AD" w:rsidRPr="007869AD">
        <w:rPr>
          <w:rFonts w:ascii="David" w:hAnsi="David" w:cs="David"/>
          <w:sz w:val="24"/>
          <w:szCs w:val="24"/>
          <w:rtl/>
        </w:rPr>
        <w:t xml:space="preserve"> וגם</w:t>
      </w:r>
      <w:r w:rsidR="007869AD" w:rsidRPr="007869AD">
        <w:rPr>
          <w:rFonts w:ascii="David" w:hAnsi="David" w:cs="David" w:hint="cs"/>
          <w:sz w:val="24"/>
          <w:szCs w:val="24"/>
          <w:rtl/>
        </w:rPr>
        <w:t>,</w:t>
      </w:r>
      <w:r w:rsidR="007869AD" w:rsidRPr="007869AD">
        <w:rPr>
          <w:rFonts w:ascii="David" w:hAnsi="David" w:cs="David"/>
          <w:sz w:val="24"/>
          <w:szCs w:val="24"/>
          <w:rtl/>
        </w:rPr>
        <w:t xml:space="preserve"> אם לא ידע שום אדם אין להחמיר</w:t>
      </w:r>
      <w:r w:rsidR="007869AD" w:rsidRPr="007869AD">
        <w:rPr>
          <w:rFonts w:ascii="David" w:hAnsi="David" w:cs="David" w:hint="cs"/>
          <w:sz w:val="24"/>
          <w:szCs w:val="24"/>
          <w:rtl/>
        </w:rPr>
        <w:t>.</w:t>
      </w:r>
      <w:r w:rsidR="007869AD" w:rsidRPr="007869AD">
        <w:rPr>
          <w:rFonts w:ascii="David" w:hAnsi="David" w:cs="David"/>
          <w:sz w:val="24"/>
          <w:szCs w:val="24"/>
          <w:rtl/>
        </w:rPr>
        <w:t xml:space="preserve"> והשתא כלא ידע שום אדם דמי</w:t>
      </w:r>
      <w:r w:rsidR="007869AD" w:rsidRPr="007869AD">
        <w:rPr>
          <w:rFonts w:ascii="David" w:hAnsi="David" w:cs="David" w:hint="cs"/>
          <w:sz w:val="24"/>
          <w:szCs w:val="24"/>
          <w:rtl/>
        </w:rPr>
        <w:t>,</w:t>
      </w:r>
      <w:r w:rsidR="004B5294">
        <w:rPr>
          <w:rFonts w:ascii="David" w:hAnsi="David" w:cs="David" w:hint="cs"/>
          <w:sz w:val="24"/>
          <w:szCs w:val="24"/>
          <w:rtl/>
        </w:rPr>
        <w:t xml:space="preserve"> </w:t>
      </w:r>
      <w:r w:rsidR="007869AD" w:rsidRPr="007869AD">
        <w:rPr>
          <w:rFonts w:ascii="David" w:hAnsi="David" w:cs="David"/>
          <w:sz w:val="24"/>
          <w:szCs w:val="24"/>
          <w:rtl/>
        </w:rPr>
        <w:t>דגוים כמאן דליתנהו</w:t>
      </w:r>
      <w:r w:rsidR="007869AD" w:rsidRPr="007869AD">
        <w:rPr>
          <w:rFonts w:ascii="David" w:hAnsi="David" w:cs="David" w:hint="cs"/>
          <w:sz w:val="24"/>
          <w:szCs w:val="24"/>
          <w:rtl/>
        </w:rPr>
        <w:t>.</w:t>
      </w:r>
      <w:r w:rsidR="007869AD" w:rsidRPr="007869AD">
        <w:rPr>
          <w:rFonts w:ascii="David" w:hAnsi="David" w:cs="David"/>
          <w:sz w:val="24"/>
          <w:szCs w:val="24"/>
          <w:rtl/>
        </w:rPr>
        <w:t xml:space="preserve"> ומה ידעו מדיני וחומרות ישראל</w:t>
      </w:r>
      <w:r w:rsidR="007869AD" w:rsidRPr="007869AD">
        <w:rPr>
          <w:rFonts w:ascii="David" w:hAnsi="David" w:cs="David" w:hint="cs"/>
          <w:sz w:val="24"/>
          <w:szCs w:val="24"/>
          <w:rtl/>
        </w:rPr>
        <w:t>?</w:t>
      </w:r>
      <w:r w:rsidR="007869AD" w:rsidRPr="007869AD">
        <w:rPr>
          <w:rFonts w:ascii="David" w:hAnsi="David" w:cs="David"/>
          <w:sz w:val="24"/>
          <w:szCs w:val="24"/>
          <w:rtl/>
        </w:rPr>
        <w:t xml:space="preserve"> והשת' ניחא מש"ה</w:t>
      </w:r>
      <w:r w:rsidR="004B5294">
        <w:rPr>
          <w:rFonts w:ascii="David" w:hAnsi="David" w:cs="David" w:hint="cs"/>
          <w:sz w:val="24"/>
          <w:szCs w:val="24"/>
          <w:rtl/>
        </w:rPr>
        <w:t>:</w:t>
      </w:r>
      <w:r w:rsidR="007869AD" w:rsidRPr="007869AD">
        <w:rPr>
          <w:rFonts w:ascii="David" w:hAnsi="David" w:cs="David"/>
          <w:sz w:val="24"/>
          <w:szCs w:val="24"/>
          <w:rtl/>
        </w:rPr>
        <w:t xml:space="preserve"> </w:t>
      </w:r>
      <w:r w:rsidR="004B5294">
        <w:rPr>
          <w:rFonts w:ascii="David" w:hAnsi="David" w:cs="David" w:hint="cs"/>
          <w:sz w:val="24"/>
          <w:szCs w:val="24"/>
          <w:rtl/>
        </w:rPr>
        <w:t>'</w:t>
      </w:r>
      <w:r w:rsidR="007869AD" w:rsidRPr="007869AD">
        <w:rPr>
          <w:rFonts w:ascii="David" w:hAnsi="David" w:cs="David"/>
          <w:b/>
          <w:bCs/>
          <w:sz w:val="24"/>
          <w:szCs w:val="24"/>
          <w:rtl/>
        </w:rPr>
        <w:t>ועתה</w:t>
      </w:r>
      <w:r w:rsidR="007869AD" w:rsidRPr="007869AD">
        <w:rPr>
          <w:rFonts w:ascii="David" w:hAnsi="David" w:cs="David"/>
          <w:sz w:val="24"/>
          <w:szCs w:val="24"/>
          <w:rtl/>
        </w:rPr>
        <w:t xml:space="preserve"> השב אשת איש כי נביא הוא</w:t>
      </w:r>
      <w:r w:rsidR="004B5294">
        <w:rPr>
          <w:rFonts w:ascii="David" w:hAnsi="David" w:cs="David" w:hint="cs"/>
          <w:sz w:val="24"/>
          <w:szCs w:val="24"/>
          <w:rtl/>
        </w:rPr>
        <w:t>'</w:t>
      </w:r>
      <w:r w:rsidR="007869AD" w:rsidRPr="007869AD">
        <w:rPr>
          <w:rFonts w:ascii="David" w:hAnsi="David" w:cs="David"/>
          <w:sz w:val="24"/>
          <w:szCs w:val="24"/>
          <w:rtl/>
        </w:rPr>
        <w:t xml:space="preserve"> דתיב</w:t>
      </w:r>
      <w:r w:rsidR="007869AD" w:rsidRPr="007869AD">
        <w:rPr>
          <w:rFonts w:ascii="David" w:hAnsi="David" w:cs="David" w:hint="cs"/>
          <w:sz w:val="24"/>
          <w:szCs w:val="24"/>
          <w:rtl/>
        </w:rPr>
        <w:t>ת</w:t>
      </w:r>
      <w:r w:rsidR="007869AD" w:rsidRPr="007869AD">
        <w:rPr>
          <w:rFonts w:ascii="David" w:hAnsi="David" w:cs="David"/>
          <w:sz w:val="24"/>
          <w:szCs w:val="24"/>
          <w:rtl/>
        </w:rPr>
        <w:t xml:space="preserve"> </w:t>
      </w:r>
      <w:r w:rsidR="007869AD" w:rsidRPr="007869AD">
        <w:rPr>
          <w:rFonts w:ascii="David" w:hAnsi="David" w:cs="David" w:hint="cs"/>
          <w:sz w:val="24"/>
          <w:szCs w:val="24"/>
          <w:rtl/>
        </w:rPr>
        <w:t>'</w:t>
      </w:r>
      <w:r w:rsidR="007869AD" w:rsidRPr="007869AD">
        <w:rPr>
          <w:rFonts w:ascii="David" w:hAnsi="David" w:cs="David"/>
          <w:sz w:val="24"/>
          <w:szCs w:val="24"/>
          <w:rtl/>
        </w:rPr>
        <w:t>ועתה</w:t>
      </w:r>
      <w:r w:rsidR="007869AD" w:rsidRPr="007869AD">
        <w:rPr>
          <w:rFonts w:ascii="David" w:hAnsi="David" w:cs="David" w:hint="cs"/>
          <w:sz w:val="24"/>
          <w:szCs w:val="24"/>
          <w:rtl/>
        </w:rPr>
        <w:t>'</w:t>
      </w:r>
      <w:r w:rsidR="007869AD" w:rsidRPr="007869AD">
        <w:rPr>
          <w:rFonts w:ascii="David" w:hAnsi="David" w:cs="David"/>
          <w:sz w:val="24"/>
          <w:szCs w:val="24"/>
          <w:rtl/>
        </w:rPr>
        <w:t xml:space="preserve"> נראית מיותרת ח"ו אך הוא בדקדוק גמור לומר דלא מהני היותו נביא אלא באותו זמן</w:t>
      </w:r>
      <w:r w:rsidR="007869AD">
        <w:rPr>
          <w:rStyle w:val="a5"/>
          <w:rFonts w:ascii="David" w:hAnsi="David" w:cs="David"/>
          <w:sz w:val="24"/>
          <w:szCs w:val="24"/>
          <w:rtl/>
        </w:rPr>
        <w:footnoteReference w:id="31"/>
      </w:r>
      <w:r w:rsidR="007869AD" w:rsidRPr="007869AD">
        <w:rPr>
          <w:rFonts w:ascii="David" w:hAnsi="David" w:cs="David" w:hint="cs"/>
          <w:sz w:val="24"/>
          <w:szCs w:val="24"/>
          <w:rtl/>
        </w:rPr>
        <w:t>".</w:t>
      </w:r>
    </w:p>
    <w:p w14:paraId="19CE8712" w14:textId="44249F9E" w:rsidR="00D6373E" w:rsidRPr="00761BF4" w:rsidRDefault="00D6373E" w:rsidP="00D6373E">
      <w:pPr>
        <w:pStyle w:val="aa"/>
        <w:numPr>
          <w:ilvl w:val="0"/>
          <w:numId w:val="2"/>
        </w:numPr>
        <w:spacing w:after="0" w:line="360" w:lineRule="auto"/>
        <w:rPr>
          <w:rFonts w:asciiTheme="majorBidi" w:hAnsiTheme="majorBidi" w:cstheme="majorBidi"/>
          <w:sz w:val="24"/>
          <w:szCs w:val="24"/>
        </w:rPr>
      </w:pPr>
      <w:r>
        <w:rPr>
          <w:rFonts w:ascii="David" w:hAnsi="David" w:cs="David" w:hint="cs"/>
          <w:sz w:val="24"/>
          <w:szCs w:val="24"/>
          <w:rtl/>
        </w:rPr>
        <w:t>"</w:t>
      </w:r>
      <w:r w:rsidRPr="00A76E93">
        <w:rPr>
          <w:rFonts w:ascii="David" w:hAnsi="David" w:cs="David"/>
          <w:sz w:val="24"/>
          <w:szCs w:val="24"/>
          <w:rtl/>
        </w:rPr>
        <w:t>הרא"ש ס"ל בזה כדעת הרמב"ן</w:t>
      </w:r>
      <w:r w:rsidR="004B5294">
        <w:rPr>
          <w:rFonts w:ascii="David" w:hAnsi="David" w:cs="David" w:hint="cs"/>
          <w:sz w:val="24"/>
          <w:szCs w:val="24"/>
          <w:rtl/>
        </w:rPr>
        <w:t>,</w:t>
      </w:r>
      <w:r w:rsidRPr="00A76E93">
        <w:rPr>
          <w:rFonts w:ascii="David" w:hAnsi="David" w:cs="David"/>
          <w:sz w:val="24"/>
          <w:szCs w:val="24"/>
          <w:rtl/>
        </w:rPr>
        <w:t xml:space="preserve"> דלא מהני אמירת שניהם ברי לי אלא בתרי ותרי </w:t>
      </w:r>
      <w:r w:rsidRPr="00B544D7">
        <w:rPr>
          <w:rFonts w:ascii="David" w:hAnsi="David" w:cs="David"/>
          <w:b/>
          <w:bCs/>
          <w:sz w:val="24"/>
          <w:szCs w:val="24"/>
          <w:rtl/>
        </w:rPr>
        <w:t>דאיכא עכ"פ עדות למיסמך עלייהו</w:t>
      </w:r>
      <w:r w:rsidRPr="00A76E93">
        <w:rPr>
          <w:rFonts w:ascii="David" w:hAnsi="David" w:cs="David"/>
          <w:sz w:val="24"/>
          <w:szCs w:val="24"/>
          <w:rtl/>
        </w:rPr>
        <w:t xml:space="preserve">, אבל בע"א כנגד ע"א </w:t>
      </w:r>
      <w:r>
        <w:rPr>
          <w:rFonts w:ascii="David" w:hAnsi="David" w:cs="David" w:hint="cs"/>
          <w:sz w:val="24"/>
          <w:szCs w:val="24"/>
          <w:rtl/>
        </w:rPr>
        <w:t xml:space="preserve">- </w:t>
      </w:r>
      <w:r w:rsidRPr="00A76E93">
        <w:rPr>
          <w:rFonts w:ascii="David" w:hAnsi="David" w:cs="David"/>
          <w:sz w:val="24"/>
          <w:szCs w:val="24"/>
          <w:rtl/>
        </w:rPr>
        <w:t>אה"נ דלא מהני אמירת שניהם ברי לי</w:t>
      </w:r>
      <w:r>
        <w:rPr>
          <w:rStyle w:val="a5"/>
          <w:rFonts w:asciiTheme="majorBidi" w:hAnsiTheme="majorBidi" w:cstheme="majorBidi"/>
          <w:sz w:val="24"/>
          <w:szCs w:val="24"/>
          <w:rtl/>
        </w:rPr>
        <w:footnoteReference w:id="32"/>
      </w:r>
      <w:r>
        <w:rPr>
          <w:rFonts w:asciiTheme="majorBidi" w:hAnsiTheme="majorBidi" w:cstheme="majorBidi" w:hint="cs"/>
          <w:sz w:val="24"/>
          <w:szCs w:val="24"/>
          <w:rtl/>
        </w:rPr>
        <w:t>".</w:t>
      </w:r>
    </w:p>
    <w:p w14:paraId="278EA518" w14:textId="22E29D2F" w:rsidR="00647A3E" w:rsidRDefault="00647A3E" w:rsidP="00647A3E">
      <w:pPr>
        <w:pStyle w:val="aa"/>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האור שמח מחלק בין איסור רגיל לאיסור לכהונה</w:t>
      </w:r>
      <w:r w:rsidR="004347AF">
        <w:rPr>
          <w:rFonts w:asciiTheme="majorBidi" w:hAnsiTheme="majorBidi" w:cstheme="majorBidi" w:hint="cs"/>
          <w:sz w:val="24"/>
          <w:szCs w:val="24"/>
          <w:rtl/>
        </w:rPr>
        <w:t>. בסוגיה של תרי ותרי מקשה רבא:</w:t>
      </w:r>
    </w:p>
    <w:p w14:paraId="6AB4D183" w14:textId="207253BD" w:rsidR="004347AF" w:rsidRDefault="004347AF" w:rsidP="004347AF">
      <w:pPr>
        <w:pStyle w:val="aa"/>
        <w:spacing w:after="0" w:line="360" w:lineRule="auto"/>
        <w:rPr>
          <w:rFonts w:ascii="David" w:hAnsi="David" w:cs="David"/>
          <w:sz w:val="24"/>
          <w:szCs w:val="24"/>
          <w:rtl/>
        </w:rPr>
      </w:pPr>
      <w:r>
        <w:rPr>
          <w:rFonts w:ascii="David" w:hAnsi="David" w:cs="David" w:hint="cs"/>
          <w:sz w:val="24"/>
          <w:szCs w:val="24"/>
          <w:rtl/>
        </w:rPr>
        <w:t>"</w:t>
      </w:r>
      <w:r w:rsidRPr="004347AF">
        <w:rPr>
          <w:rFonts w:ascii="David" w:hAnsi="David" w:cs="David"/>
          <w:sz w:val="24"/>
          <w:szCs w:val="24"/>
          <w:rtl/>
        </w:rPr>
        <w:t xml:space="preserve">מתיב רבא: מנין שאם לא רצה דפנו? ת"ל: וקדשתו, בעל כרחו; היכי דמי? אילימא דלא ניסת לאחד מעדיה ולא קאמרה ברי לי, צריכא למימר דדפנו? אלא לאו דניסת לאחד מעדיה וקאמרה ברי לי, וקתני דפנו, אלמא מפקינן לה מיניה! </w:t>
      </w:r>
      <w:r w:rsidRPr="004347AF">
        <w:rPr>
          <w:rFonts w:ascii="David" w:hAnsi="David" w:cs="David"/>
          <w:b/>
          <w:bCs/>
          <w:sz w:val="24"/>
          <w:szCs w:val="24"/>
          <w:rtl/>
        </w:rPr>
        <w:t>איסור כהונה שאני</w:t>
      </w:r>
      <w:r>
        <w:rPr>
          <w:rStyle w:val="a5"/>
          <w:rFonts w:ascii="David" w:hAnsi="David" w:cs="David"/>
          <w:b/>
          <w:bCs/>
          <w:sz w:val="24"/>
          <w:szCs w:val="24"/>
          <w:rtl/>
        </w:rPr>
        <w:footnoteReference w:id="33"/>
      </w:r>
      <w:r>
        <w:rPr>
          <w:rFonts w:ascii="David" w:hAnsi="David" w:cs="David" w:hint="cs"/>
          <w:sz w:val="24"/>
          <w:szCs w:val="24"/>
          <w:rtl/>
        </w:rPr>
        <w:t>"</w:t>
      </w:r>
      <w:r w:rsidRPr="004347AF">
        <w:rPr>
          <w:rFonts w:ascii="David" w:hAnsi="David" w:cs="David"/>
          <w:sz w:val="24"/>
          <w:szCs w:val="24"/>
          <w:rtl/>
        </w:rPr>
        <w:t>.</w:t>
      </w:r>
    </w:p>
    <w:p w14:paraId="5D033753" w14:textId="2207D839" w:rsidR="00674CC0" w:rsidRPr="004347AF" w:rsidRDefault="00674CC0" w:rsidP="004347AF">
      <w:pPr>
        <w:pStyle w:val="aa"/>
        <w:spacing w:after="0" w:line="360" w:lineRule="auto"/>
        <w:rPr>
          <w:rFonts w:ascii="David" w:hAnsi="David" w:cs="David"/>
          <w:sz w:val="24"/>
          <w:szCs w:val="24"/>
          <w:rtl/>
        </w:rPr>
      </w:pPr>
      <w:r>
        <w:rPr>
          <w:rFonts w:ascii="David" w:hAnsi="David" w:cs="David" w:hint="cs"/>
          <w:sz w:val="24"/>
          <w:szCs w:val="24"/>
          <w:rtl/>
        </w:rPr>
        <w:t>"רוצה לומר: אע"פ שהם יודעים שמת הבעל קודם שנישאת, כיון שלשאר כהנים היא ספק זונה</w:t>
      </w:r>
      <w:r>
        <w:rPr>
          <w:rStyle w:val="a5"/>
          <w:rFonts w:ascii="David" w:hAnsi="David" w:cs="David"/>
          <w:sz w:val="24"/>
          <w:szCs w:val="24"/>
          <w:rtl/>
        </w:rPr>
        <w:footnoteReference w:id="34"/>
      </w:r>
      <w:r>
        <w:rPr>
          <w:rFonts w:ascii="David" w:hAnsi="David" w:cs="David" w:hint="cs"/>
          <w:sz w:val="24"/>
          <w:szCs w:val="24"/>
          <w:rtl/>
        </w:rPr>
        <w:t>, אסורה גם להם, ש</w:t>
      </w:r>
      <w:r w:rsidR="00617ABD">
        <w:rPr>
          <w:rFonts w:ascii="David" w:hAnsi="David" w:cs="David" w:hint="cs"/>
          <w:sz w:val="24"/>
          <w:szCs w:val="24"/>
          <w:rtl/>
        </w:rPr>
        <w:t>ז</w:t>
      </w:r>
      <w:r>
        <w:rPr>
          <w:rFonts w:ascii="David" w:hAnsi="David" w:cs="David" w:hint="cs"/>
          <w:sz w:val="24"/>
          <w:szCs w:val="24"/>
          <w:rtl/>
        </w:rPr>
        <w:t>ה גדרו של איסור כהונה</w:t>
      </w:r>
      <w:r w:rsidR="00617ABD">
        <w:rPr>
          <w:rFonts w:ascii="David" w:hAnsi="David" w:cs="David" w:hint="cs"/>
          <w:sz w:val="24"/>
          <w:szCs w:val="24"/>
          <w:rtl/>
        </w:rPr>
        <w:t>: כשאסורה לכהן אחד אסורה לכל הכהנים</w:t>
      </w:r>
      <w:r w:rsidR="00617ABD">
        <w:rPr>
          <w:rStyle w:val="a5"/>
          <w:rFonts w:ascii="David" w:hAnsi="David" w:cs="David"/>
          <w:sz w:val="24"/>
          <w:szCs w:val="24"/>
          <w:rtl/>
        </w:rPr>
        <w:footnoteReference w:id="35"/>
      </w:r>
      <w:r w:rsidR="00617ABD">
        <w:rPr>
          <w:rFonts w:ascii="David" w:hAnsi="David" w:cs="David" w:hint="cs"/>
          <w:sz w:val="24"/>
          <w:szCs w:val="24"/>
          <w:rtl/>
        </w:rPr>
        <w:t>".</w:t>
      </w:r>
    </w:p>
    <w:p w14:paraId="61F83CDB" w14:textId="2C01900B" w:rsidR="00341316" w:rsidRPr="00D6373E" w:rsidRDefault="00647A3E" w:rsidP="00647A3E">
      <w:pPr>
        <w:spacing w:after="0" w:line="360" w:lineRule="auto"/>
        <w:ind w:left="360"/>
        <w:rPr>
          <w:rFonts w:ascii="David" w:hAnsi="David" w:cs="David"/>
          <w:sz w:val="24"/>
          <w:szCs w:val="24"/>
          <w:rtl/>
        </w:rPr>
      </w:pPr>
      <w:r w:rsidRPr="00647A3E">
        <w:rPr>
          <w:rFonts w:ascii="David" w:hAnsi="David" w:cs="David"/>
          <w:sz w:val="24"/>
          <w:szCs w:val="24"/>
          <w:rtl/>
        </w:rPr>
        <w:t xml:space="preserve">"בתרי ותרי דהולד הוי ספק ממזר, ומה"ת מותר לבא בקהל יתכן דחכמים לא גזרו עליו, כיון שאין מוציאין אותה מתחת ידו, ושניהם טוענים ברי, משא"כ בכהונה, דאם נבעלה לפסול וניסת לכהן הולד חלל, </w:t>
      </w:r>
      <w:r w:rsidRPr="00D6373E">
        <w:rPr>
          <w:rFonts w:ascii="David" w:hAnsi="David" w:cs="David"/>
          <w:b/>
          <w:bCs/>
          <w:sz w:val="24"/>
          <w:szCs w:val="24"/>
          <w:rtl/>
        </w:rPr>
        <w:t>דספק חלל לא שרי מן התורה</w:t>
      </w:r>
      <w:r w:rsidRPr="00647A3E">
        <w:rPr>
          <w:rFonts w:ascii="David" w:hAnsi="David" w:cs="David"/>
          <w:sz w:val="24"/>
          <w:szCs w:val="24"/>
          <w:rtl/>
        </w:rPr>
        <w:t>, לכן בשביל הבנים גזרו עליהם שתצא מתחת ידו, דלענין הולד לא יהא מועיל הברי שלו</w:t>
      </w:r>
      <w:r w:rsidRPr="00647A3E">
        <w:rPr>
          <w:rStyle w:val="a5"/>
          <w:rFonts w:ascii="David" w:hAnsi="David" w:cs="David"/>
          <w:sz w:val="24"/>
          <w:szCs w:val="24"/>
        </w:rPr>
        <w:footnoteReference w:id="36"/>
      </w:r>
      <w:r w:rsidRPr="00647A3E">
        <w:rPr>
          <w:rFonts w:ascii="David" w:hAnsi="David" w:cs="David"/>
          <w:sz w:val="24"/>
          <w:szCs w:val="24"/>
          <w:rtl/>
        </w:rPr>
        <w:t>".</w:t>
      </w:r>
      <w:r w:rsidR="000C704C">
        <w:rPr>
          <w:rFonts w:ascii="David" w:hAnsi="David" w:cs="David" w:hint="cs"/>
          <w:sz w:val="24"/>
          <w:szCs w:val="24"/>
          <w:rtl/>
        </w:rPr>
        <w:t xml:space="preserve"> </w:t>
      </w:r>
      <w:r w:rsidR="00D6373E">
        <w:rPr>
          <w:rFonts w:asciiTheme="majorBidi" w:hAnsiTheme="majorBidi" w:cstheme="majorBidi" w:hint="cs"/>
          <w:sz w:val="24"/>
          <w:szCs w:val="24"/>
          <w:rtl/>
        </w:rPr>
        <w:t>"</w:t>
      </w:r>
      <w:r w:rsidR="00D6373E">
        <w:rPr>
          <w:rFonts w:ascii="David" w:hAnsi="David" w:cs="David" w:hint="cs"/>
          <w:sz w:val="24"/>
          <w:szCs w:val="24"/>
          <w:rtl/>
        </w:rPr>
        <w:t xml:space="preserve">ביאורו של הגאון מוסיף לנו פירוש בלשון המשנה: מקודם אמרו: 'אין אדם </w:t>
      </w:r>
      <w:r w:rsidR="00D6373E">
        <w:rPr>
          <w:rFonts w:ascii="David" w:hAnsi="David" w:cs="David" w:hint="cs"/>
          <w:b/>
          <w:bCs/>
          <w:sz w:val="24"/>
          <w:szCs w:val="24"/>
          <w:rtl/>
        </w:rPr>
        <w:t>מעיד</w:t>
      </w:r>
      <w:r w:rsidR="00D6373E">
        <w:rPr>
          <w:rFonts w:ascii="David" w:hAnsi="David" w:cs="David" w:hint="cs"/>
          <w:sz w:val="24"/>
          <w:szCs w:val="24"/>
          <w:rtl/>
        </w:rPr>
        <w:t xml:space="preserve"> על</w:t>
      </w:r>
      <w:r w:rsidR="00D6373E" w:rsidRPr="00291D2E">
        <w:rPr>
          <w:rFonts w:ascii="David" w:hAnsi="David" w:cs="David" w:hint="cs"/>
          <w:b/>
          <w:bCs/>
          <w:sz w:val="24"/>
          <w:szCs w:val="24"/>
          <w:rtl/>
        </w:rPr>
        <w:t xml:space="preserve"> ידי</w:t>
      </w:r>
      <w:r w:rsidR="00D6373E">
        <w:rPr>
          <w:rFonts w:ascii="David" w:hAnsi="David" w:cs="David" w:hint="cs"/>
          <w:sz w:val="24"/>
          <w:szCs w:val="24"/>
          <w:rtl/>
        </w:rPr>
        <w:t xml:space="preserve"> עצמו', ובמעשה של רבי זכריה אמרו: 'אין אדם </w:t>
      </w:r>
      <w:r w:rsidR="00D6373E">
        <w:rPr>
          <w:rFonts w:ascii="David" w:hAnsi="David" w:cs="David" w:hint="cs"/>
          <w:b/>
          <w:bCs/>
          <w:sz w:val="24"/>
          <w:szCs w:val="24"/>
          <w:rtl/>
        </w:rPr>
        <w:t>מעיד</w:t>
      </w:r>
      <w:r w:rsidR="00D6373E">
        <w:rPr>
          <w:rFonts w:ascii="David" w:hAnsi="David" w:cs="David" w:hint="cs"/>
          <w:sz w:val="24"/>
          <w:szCs w:val="24"/>
          <w:rtl/>
        </w:rPr>
        <w:t xml:space="preserve"> על עצמו'. מה נשתנה?.. באמת על עצמו לא שייך לשון עדות אלא נאמנות, אבל ברבי זכריה, ששניהם אומרים ברי, היו צריכים להיות נאמנים, אלא ש'אין אדם מעיד' -על אחרים- 'על ידי עצמו'. וממילא אסורה גם עליו</w:t>
      </w:r>
      <w:r w:rsidR="00D6373E">
        <w:rPr>
          <w:rStyle w:val="a5"/>
          <w:rFonts w:ascii="David" w:hAnsi="David" w:cs="David"/>
          <w:sz w:val="24"/>
          <w:szCs w:val="24"/>
          <w:rtl/>
        </w:rPr>
        <w:footnoteReference w:id="37"/>
      </w:r>
      <w:r w:rsidR="00D6373E">
        <w:rPr>
          <w:rFonts w:ascii="David" w:hAnsi="David" w:cs="David" w:hint="cs"/>
          <w:sz w:val="24"/>
          <w:szCs w:val="24"/>
          <w:rtl/>
        </w:rPr>
        <w:t>".</w:t>
      </w:r>
    </w:p>
    <w:p w14:paraId="47070D3E" w14:textId="77777777" w:rsidR="00341316" w:rsidRPr="00647A3E" w:rsidRDefault="00341316" w:rsidP="00341316">
      <w:pPr>
        <w:pStyle w:val="aa"/>
        <w:spacing w:after="0" w:line="360" w:lineRule="auto"/>
        <w:rPr>
          <w:rFonts w:ascii="David" w:hAnsi="David" w:cs="David"/>
          <w:sz w:val="24"/>
          <w:szCs w:val="24"/>
          <w:rtl/>
        </w:rPr>
      </w:pPr>
    </w:p>
    <w:p w14:paraId="03A8DB53" w14:textId="4F30CD0D" w:rsidR="00C5466D" w:rsidRPr="00C5466D" w:rsidRDefault="009E007C" w:rsidP="00C5466D">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 </w:t>
      </w:r>
      <w:r w:rsidR="00291D2E">
        <w:drawing>
          <wp:inline distT="0" distB="0" distL="0" distR="0" wp14:anchorId="1E375AD8" wp14:editId="4CA4D241">
            <wp:extent cx="4448175" cy="30861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8175" cy="3086100"/>
                    </a:xfrm>
                    <a:prstGeom prst="rect">
                      <a:avLst/>
                    </a:prstGeom>
                  </pic:spPr>
                </pic:pic>
              </a:graphicData>
            </a:graphic>
          </wp:inline>
        </w:drawing>
      </w:r>
    </w:p>
    <w:sectPr w:rsidR="00C5466D" w:rsidRPr="00C5466D"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E206" w14:textId="77777777" w:rsidR="005C1F9E" w:rsidRDefault="005C1F9E" w:rsidP="00861F43">
      <w:pPr>
        <w:spacing w:after="0" w:line="240" w:lineRule="auto"/>
      </w:pPr>
      <w:r>
        <w:separator/>
      </w:r>
    </w:p>
  </w:endnote>
  <w:endnote w:type="continuationSeparator" w:id="0">
    <w:p w14:paraId="22EEE8BC" w14:textId="77777777" w:rsidR="005C1F9E" w:rsidRDefault="005C1F9E" w:rsidP="0086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BD98" w14:textId="77777777" w:rsidR="005C1F9E" w:rsidRDefault="005C1F9E" w:rsidP="00861F43">
      <w:pPr>
        <w:spacing w:after="0" w:line="240" w:lineRule="auto"/>
      </w:pPr>
      <w:r>
        <w:separator/>
      </w:r>
    </w:p>
  </w:footnote>
  <w:footnote w:type="continuationSeparator" w:id="0">
    <w:p w14:paraId="0F39C889" w14:textId="77777777" w:rsidR="005C1F9E" w:rsidRDefault="005C1F9E" w:rsidP="00861F43">
      <w:pPr>
        <w:spacing w:after="0" w:line="240" w:lineRule="auto"/>
      </w:pPr>
      <w:r>
        <w:continuationSeparator/>
      </w:r>
    </w:p>
  </w:footnote>
  <w:footnote w:id="1">
    <w:p w14:paraId="16E377C3" w14:textId="71097A88" w:rsidR="007D73AE" w:rsidRPr="00A81792" w:rsidRDefault="007D73AE" w:rsidP="00A81792">
      <w:pPr>
        <w:spacing w:after="0" w:line="360" w:lineRule="auto"/>
        <w:rPr>
          <w:rFonts w:asciiTheme="majorBidi" w:hAnsiTheme="majorBidi" w:cs="Times New Roman"/>
          <w:sz w:val="20"/>
          <w:szCs w:val="20"/>
        </w:rPr>
      </w:pPr>
      <w:r w:rsidRPr="00A81792">
        <w:rPr>
          <w:rStyle w:val="a5"/>
          <w:sz w:val="20"/>
          <w:szCs w:val="20"/>
        </w:rPr>
        <w:footnoteRef/>
      </w:r>
      <w:r w:rsidRPr="00A81792">
        <w:rPr>
          <w:sz w:val="20"/>
          <w:szCs w:val="20"/>
          <w:rtl/>
        </w:rPr>
        <w:t xml:space="preserve"> </w:t>
      </w:r>
      <w:r w:rsidRPr="00A81792">
        <w:rPr>
          <w:rFonts w:asciiTheme="majorBidi" w:hAnsiTheme="majorBidi" w:cs="Times New Roman" w:hint="cs"/>
          <w:sz w:val="20"/>
          <w:szCs w:val="20"/>
          <w:rtl/>
        </w:rPr>
        <w:t xml:space="preserve"> </w:t>
      </w:r>
      <w:r w:rsidRPr="00A81792">
        <w:rPr>
          <w:rFonts w:asciiTheme="majorBidi" w:hAnsiTheme="majorBidi" w:cs="Times New Roman"/>
          <w:sz w:val="20"/>
          <w:szCs w:val="20"/>
          <w:rtl/>
        </w:rPr>
        <w:t xml:space="preserve"> מסכת כתובות פרק א</w:t>
      </w:r>
      <w:r w:rsidRPr="00A81792">
        <w:rPr>
          <w:rFonts w:asciiTheme="majorBidi" w:hAnsiTheme="majorBidi" w:cs="Times New Roman" w:hint="cs"/>
          <w:sz w:val="20"/>
          <w:szCs w:val="20"/>
          <w:rtl/>
        </w:rPr>
        <w:t xml:space="preserve"> משנה ד.</w:t>
      </w:r>
    </w:p>
  </w:footnote>
  <w:footnote w:id="2">
    <w:p w14:paraId="11A6FB0A" w14:textId="7761766F" w:rsidR="00861F43" w:rsidRPr="00A81792" w:rsidRDefault="00861F43" w:rsidP="00A81792">
      <w:pPr>
        <w:spacing w:after="0" w:line="360" w:lineRule="auto"/>
        <w:rPr>
          <w:rFonts w:asciiTheme="majorBidi" w:hAnsiTheme="majorBidi" w:cstheme="majorBidi"/>
          <w:sz w:val="20"/>
          <w:szCs w:val="20"/>
          <w:rtl/>
        </w:rPr>
      </w:pPr>
      <w:r w:rsidRPr="00A81792">
        <w:rPr>
          <w:rStyle w:val="a5"/>
          <w:sz w:val="20"/>
          <w:szCs w:val="20"/>
        </w:rPr>
        <w:footnoteRef/>
      </w:r>
      <w:r w:rsidRPr="00A81792">
        <w:rPr>
          <w:sz w:val="20"/>
          <w:szCs w:val="20"/>
          <w:rtl/>
        </w:rPr>
        <w:t xml:space="preserve"> </w:t>
      </w:r>
      <w:r w:rsidRPr="00A81792">
        <w:rPr>
          <w:rFonts w:asciiTheme="majorBidi" w:hAnsiTheme="majorBidi" w:cs="Times New Roman"/>
          <w:sz w:val="20"/>
          <w:szCs w:val="20"/>
          <w:rtl/>
        </w:rPr>
        <w:t>משנה מסכת כתובות פרק ב</w:t>
      </w:r>
      <w:r w:rsidRPr="00A81792">
        <w:rPr>
          <w:rFonts w:asciiTheme="majorBidi" w:hAnsiTheme="majorBidi" w:cstheme="majorBidi" w:hint="cs"/>
          <w:sz w:val="20"/>
          <w:szCs w:val="20"/>
          <w:rtl/>
        </w:rPr>
        <w:t xml:space="preserve"> משנה ה.</w:t>
      </w:r>
    </w:p>
  </w:footnote>
  <w:footnote w:id="3">
    <w:p w14:paraId="06EB5A3B" w14:textId="317358DE" w:rsidR="00A81792" w:rsidRPr="00A81792" w:rsidRDefault="00A81792" w:rsidP="00A81792">
      <w:pPr>
        <w:spacing w:after="0" w:line="360" w:lineRule="auto"/>
        <w:rPr>
          <w:rFonts w:asciiTheme="majorBidi" w:hAnsiTheme="majorBidi" w:cstheme="majorBidi"/>
          <w:sz w:val="20"/>
          <w:szCs w:val="20"/>
          <w:rtl/>
        </w:rPr>
      </w:pPr>
      <w:r w:rsidRPr="00A81792">
        <w:rPr>
          <w:rStyle w:val="a5"/>
          <w:sz w:val="20"/>
          <w:szCs w:val="20"/>
        </w:rPr>
        <w:footnoteRef/>
      </w:r>
      <w:r w:rsidRPr="00A81792">
        <w:rPr>
          <w:sz w:val="20"/>
          <w:szCs w:val="20"/>
          <w:rtl/>
        </w:rPr>
        <w:t xml:space="preserve"> </w:t>
      </w:r>
      <w:r w:rsidRPr="00A81792">
        <w:rPr>
          <w:rFonts w:asciiTheme="majorBidi" w:hAnsiTheme="majorBidi" w:cstheme="majorBidi"/>
          <w:sz w:val="20"/>
          <w:szCs w:val="20"/>
          <w:rtl/>
        </w:rPr>
        <w:t>תוספתא פרק ג</w:t>
      </w:r>
      <w:r w:rsidRPr="00A81792">
        <w:rPr>
          <w:rFonts w:asciiTheme="majorBidi" w:hAnsiTheme="majorBidi" w:cstheme="majorBidi" w:hint="cs"/>
          <w:sz w:val="20"/>
          <w:szCs w:val="20"/>
          <w:rtl/>
        </w:rPr>
        <w:t xml:space="preserve"> הלכה ב.</w:t>
      </w:r>
    </w:p>
  </w:footnote>
  <w:footnote w:id="4">
    <w:p w14:paraId="3C9D4158" w14:textId="7270F2D1" w:rsidR="00A81792" w:rsidRDefault="00A81792" w:rsidP="00A85822">
      <w:pPr>
        <w:spacing w:after="0" w:line="360" w:lineRule="auto"/>
      </w:pPr>
      <w:r w:rsidRPr="00A81792">
        <w:rPr>
          <w:rStyle w:val="a5"/>
          <w:sz w:val="20"/>
          <w:szCs w:val="20"/>
        </w:rPr>
        <w:footnoteRef/>
      </w:r>
      <w:r w:rsidRPr="00A81792">
        <w:rPr>
          <w:sz w:val="20"/>
          <w:szCs w:val="20"/>
          <w:rtl/>
        </w:rPr>
        <w:t xml:space="preserve"> </w:t>
      </w:r>
      <w:r w:rsidRPr="00A81792">
        <w:rPr>
          <w:rFonts w:asciiTheme="majorBidi" w:hAnsiTheme="majorBidi" w:cstheme="majorBidi"/>
          <w:sz w:val="20"/>
          <w:szCs w:val="20"/>
          <w:rtl/>
        </w:rPr>
        <w:t xml:space="preserve">תלמוד ירושלמי פרק ב הלכה </w:t>
      </w:r>
      <w:r w:rsidR="00A85822">
        <w:rPr>
          <w:rFonts w:asciiTheme="majorBidi" w:hAnsiTheme="majorBidi" w:cstheme="majorBidi" w:hint="cs"/>
          <w:sz w:val="20"/>
          <w:szCs w:val="20"/>
          <w:rtl/>
        </w:rPr>
        <w:t>ט.</w:t>
      </w:r>
    </w:p>
  </w:footnote>
  <w:footnote w:id="5">
    <w:p w14:paraId="434CA9F7" w14:textId="5D277E04" w:rsidR="00A85822" w:rsidRPr="00B97CED" w:rsidRDefault="00A85822" w:rsidP="00B97CED">
      <w:pPr>
        <w:spacing w:after="0" w:line="360" w:lineRule="auto"/>
        <w:rPr>
          <w:rFonts w:asciiTheme="majorBidi" w:hAnsiTheme="majorBidi" w:cstheme="majorBidi"/>
          <w:sz w:val="20"/>
          <w:szCs w:val="20"/>
          <w:rtl/>
        </w:rPr>
      </w:pPr>
      <w:r w:rsidRPr="00B97CED">
        <w:rPr>
          <w:rStyle w:val="a5"/>
          <w:sz w:val="20"/>
          <w:szCs w:val="20"/>
        </w:rPr>
        <w:footnoteRef/>
      </w:r>
      <w:r w:rsidRPr="00B97CED">
        <w:rPr>
          <w:sz w:val="20"/>
          <w:szCs w:val="20"/>
          <w:rtl/>
        </w:rPr>
        <w:t xml:space="preserve"> </w:t>
      </w:r>
      <w:r w:rsidRPr="00B97CED">
        <w:rPr>
          <w:rFonts w:asciiTheme="majorBidi" w:hAnsiTheme="majorBidi" w:cstheme="majorBidi"/>
          <w:sz w:val="20"/>
          <w:szCs w:val="20"/>
          <w:rtl/>
        </w:rPr>
        <w:t xml:space="preserve">מהרש"א </w:t>
      </w:r>
      <w:r w:rsidRPr="00B97CED">
        <w:rPr>
          <w:rFonts w:asciiTheme="majorBidi" w:hAnsiTheme="majorBidi" w:cstheme="majorBidi" w:hint="cs"/>
          <w:sz w:val="20"/>
          <w:szCs w:val="20"/>
          <w:rtl/>
        </w:rPr>
        <w:t>.</w:t>
      </w:r>
    </w:p>
  </w:footnote>
  <w:footnote w:id="6">
    <w:p w14:paraId="771EAE8A" w14:textId="6F2F7E7A" w:rsidR="00321986" w:rsidRPr="00A41602" w:rsidRDefault="00321986" w:rsidP="00A41602">
      <w:pPr>
        <w:spacing w:after="0" w:line="360" w:lineRule="auto"/>
        <w:rPr>
          <w:rFonts w:asciiTheme="majorBidi" w:hAnsiTheme="majorBidi" w:cstheme="majorBidi"/>
          <w:sz w:val="20"/>
          <w:szCs w:val="20"/>
          <w:rtl/>
        </w:rPr>
      </w:pPr>
      <w:r w:rsidRPr="00A41602">
        <w:rPr>
          <w:rStyle w:val="a5"/>
          <w:rFonts w:asciiTheme="majorBidi" w:hAnsiTheme="majorBidi" w:cstheme="majorBidi"/>
          <w:sz w:val="20"/>
          <w:szCs w:val="20"/>
        </w:rPr>
        <w:footnoteRef/>
      </w:r>
      <w:r w:rsidRPr="00A41602">
        <w:rPr>
          <w:rFonts w:asciiTheme="majorBidi" w:hAnsiTheme="majorBidi" w:cstheme="majorBidi"/>
          <w:sz w:val="20"/>
          <w:szCs w:val="20"/>
          <w:rtl/>
        </w:rPr>
        <w:t xml:space="preserve"> דף על הדף.</w:t>
      </w:r>
    </w:p>
  </w:footnote>
  <w:footnote w:id="7">
    <w:p w14:paraId="6B1BD81E" w14:textId="79167FBD" w:rsidR="00321986" w:rsidRPr="00A41602" w:rsidRDefault="00321986" w:rsidP="00A41602">
      <w:pPr>
        <w:spacing w:after="0" w:line="360" w:lineRule="auto"/>
        <w:rPr>
          <w:rFonts w:asciiTheme="majorBidi" w:hAnsiTheme="majorBidi" w:cstheme="majorBidi"/>
          <w:sz w:val="20"/>
          <w:szCs w:val="20"/>
          <w:rtl/>
        </w:rPr>
      </w:pPr>
      <w:r w:rsidRPr="00A41602">
        <w:rPr>
          <w:rStyle w:val="a5"/>
          <w:rFonts w:asciiTheme="majorBidi" w:hAnsiTheme="majorBidi" w:cstheme="majorBidi"/>
          <w:sz w:val="20"/>
          <w:szCs w:val="20"/>
        </w:rPr>
        <w:footnoteRef/>
      </w:r>
      <w:r w:rsidRPr="00A41602">
        <w:rPr>
          <w:rFonts w:asciiTheme="majorBidi" w:hAnsiTheme="majorBidi" w:cstheme="majorBidi"/>
          <w:sz w:val="20"/>
          <w:szCs w:val="20"/>
          <w:rtl/>
        </w:rPr>
        <w:t xml:space="preserve"> תוספות יום טוב פרק ב משנה ט.</w:t>
      </w:r>
    </w:p>
  </w:footnote>
  <w:footnote w:id="8">
    <w:p w14:paraId="25AF8B04" w14:textId="499AE7E1" w:rsidR="004D5CA2" w:rsidRPr="00A41602" w:rsidRDefault="004D5CA2" w:rsidP="00A41602">
      <w:pPr>
        <w:pStyle w:val="a3"/>
        <w:spacing w:line="360" w:lineRule="auto"/>
        <w:rPr>
          <w:rFonts w:asciiTheme="majorBidi" w:hAnsiTheme="majorBidi" w:cstheme="majorBidi"/>
          <w:rtl/>
        </w:rPr>
      </w:pPr>
      <w:r w:rsidRPr="00A41602">
        <w:rPr>
          <w:rStyle w:val="a5"/>
          <w:rFonts w:asciiTheme="majorBidi" w:hAnsiTheme="majorBidi" w:cstheme="majorBidi"/>
        </w:rPr>
        <w:footnoteRef/>
      </w:r>
      <w:r w:rsidRPr="00A41602">
        <w:rPr>
          <w:rFonts w:asciiTheme="majorBidi" w:hAnsiTheme="majorBidi" w:cstheme="majorBidi"/>
          <w:rtl/>
        </w:rPr>
        <w:t xml:space="preserve"> כנראה עם בניו. מכל מקום שלא כתוספתא וכירושלמי שהיה לה בית בפני עצמה.</w:t>
      </w:r>
    </w:p>
  </w:footnote>
  <w:footnote w:id="9">
    <w:p w14:paraId="624ECFDD" w14:textId="4D2E022E" w:rsidR="00FC2F8C" w:rsidRPr="00A41602" w:rsidRDefault="00FC2F8C" w:rsidP="00A41602">
      <w:pPr>
        <w:spacing w:after="0" w:line="360" w:lineRule="auto"/>
        <w:rPr>
          <w:rFonts w:asciiTheme="majorBidi" w:hAnsiTheme="majorBidi" w:cstheme="majorBidi"/>
          <w:sz w:val="20"/>
          <w:szCs w:val="20"/>
          <w:rtl/>
        </w:rPr>
      </w:pPr>
      <w:r w:rsidRPr="00A41602">
        <w:rPr>
          <w:rStyle w:val="a5"/>
          <w:rFonts w:asciiTheme="majorBidi" w:hAnsiTheme="majorBidi" w:cstheme="majorBidi"/>
          <w:sz w:val="20"/>
          <w:szCs w:val="20"/>
        </w:rPr>
        <w:footnoteRef/>
      </w:r>
      <w:r w:rsidRPr="00A41602">
        <w:rPr>
          <w:rFonts w:asciiTheme="majorBidi" w:hAnsiTheme="majorBidi" w:cstheme="majorBidi"/>
          <w:sz w:val="20"/>
          <w:szCs w:val="20"/>
          <w:rtl/>
        </w:rPr>
        <w:t xml:space="preserve"> מדרש תהלים שוחר טוב מזמור ו אות ח.</w:t>
      </w:r>
    </w:p>
  </w:footnote>
  <w:footnote w:id="10">
    <w:p w14:paraId="24735A5B" w14:textId="76FED73E" w:rsidR="004D5CA2" w:rsidRPr="00A41602" w:rsidRDefault="004D5CA2" w:rsidP="00A41602">
      <w:pPr>
        <w:pStyle w:val="a3"/>
        <w:spacing w:line="360" w:lineRule="auto"/>
        <w:rPr>
          <w:rFonts w:asciiTheme="majorBidi" w:hAnsiTheme="majorBidi" w:cstheme="majorBidi"/>
        </w:rPr>
      </w:pPr>
      <w:r w:rsidRPr="00A41602">
        <w:rPr>
          <w:rStyle w:val="a5"/>
          <w:rFonts w:asciiTheme="majorBidi" w:hAnsiTheme="majorBidi" w:cstheme="majorBidi"/>
        </w:rPr>
        <w:footnoteRef/>
      </w:r>
      <w:r w:rsidRPr="00A41602">
        <w:rPr>
          <w:rFonts w:asciiTheme="majorBidi" w:hAnsiTheme="majorBidi" w:cstheme="majorBidi"/>
          <w:rtl/>
        </w:rPr>
        <w:t xml:space="preserve"> </w:t>
      </w:r>
      <w:r w:rsidR="0020735F" w:rsidRPr="00A41602">
        <w:rPr>
          <w:rFonts w:asciiTheme="majorBidi" w:hAnsiTheme="majorBidi" w:cstheme="majorBidi"/>
          <w:rtl/>
        </w:rPr>
        <w:t>שיטה מקובצת.</w:t>
      </w:r>
    </w:p>
  </w:footnote>
  <w:footnote w:id="11">
    <w:p w14:paraId="2479CFA2" w14:textId="5D3BA355" w:rsidR="0020735F" w:rsidRPr="00A41602" w:rsidRDefault="0020735F" w:rsidP="00A41602">
      <w:pPr>
        <w:spacing w:after="0" w:line="360" w:lineRule="auto"/>
        <w:rPr>
          <w:rFonts w:asciiTheme="majorBidi" w:hAnsiTheme="majorBidi" w:cstheme="majorBidi"/>
          <w:sz w:val="20"/>
          <w:szCs w:val="20"/>
          <w:rtl/>
        </w:rPr>
      </w:pPr>
      <w:r w:rsidRPr="00A41602">
        <w:rPr>
          <w:rStyle w:val="a5"/>
          <w:rFonts w:asciiTheme="majorBidi" w:hAnsiTheme="majorBidi" w:cstheme="majorBidi"/>
          <w:sz w:val="20"/>
          <w:szCs w:val="20"/>
        </w:rPr>
        <w:footnoteRef/>
      </w:r>
      <w:r w:rsidRPr="00A41602">
        <w:rPr>
          <w:rFonts w:asciiTheme="majorBidi" w:hAnsiTheme="majorBidi" w:cstheme="majorBidi"/>
          <w:sz w:val="20"/>
          <w:szCs w:val="20"/>
          <w:rtl/>
        </w:rPr>
        <w:t xml:space="preserve"> דף כז</w:t>
      </w:r>
      <w:r w:rsidR="00E33DCE">
        <w:rPr>
          <w:rFonts w:asciiTheme="majorBidi" w:hAnsiTheme="majorBidi" w:cstheme="majorBidi" w:hint="cs"/>
          <w:sz w:val="20"/>
          <w:szCs w:val="20"/>
          <w:rtl/>
        </w:rPr>
        <w:t xml:space="preserve"> עמוד א.</w:t>
      </w:r>
    </w:p>
  </w:footnote>
  <w:footnote w:id="12">
    <w:p w14:paraId="2C05B738" w14:textId="0B2AB870" w:rsidR="00A41602" w:rsidRPr="009E007C" w:rsidRDefault="00A41602" w:rsidP="009E007C">
      <w:pPr>
        <w:spacing w:after="0" w:line="360" w:lineRule="auto"/>
        <w:rPr>
          <w:rFonts w:asciiTheme="majorBidi" w:hAnsiTheme="majorBidi" w:cstheme="majorBidi"/>
          <w:sz w:val="20"/>
          <w:szCs w:val="20"/>
        </w:rPr>
      </w:pPr>
      <w:r w:rsidRPr="00A41602">
        <w:rPr>
          <w:rStyle w:val="a5"/>
          <w:rFonts w:asciiTheme="majorBidi" w:hAnsiTheme="majorBidi" w:cstheme="majorBidi"/>
          <w:sz w:val="20"/>
          <w:szCs w:val="20"/>
        </w:rPr>
        <w:footnoteRef/>
      </w:r>
      <w:r w:rsidRPr="00A41602">
        <w:rPr>
          <w:rFonts w:asciiTheme="majorBidi" w:hAnsiTheme="majorBidi" w:cstheme="majorBidi"/>
          <w:sz w:val="20"/>
          <w:szCs w:val="20"/>
          <w:rtl/>
        </w:rPr>
        <w:t xml:space="preserve"> שיטה מקובצת דף כז עמוד א.</w:t>
      </w:r>
    </w:p>
  </w:footnote>
  <w:footnote w:id="13">
    <w:p w14:paraId="76200E07" w14:textId="12E43A00" w:rsidR="009E007C" w:rsidRPr="009E007C" w:rsidRDefault="009E007C">
      <w:pPr>
        <w:pStyle w:val="a3"/>
      </w:pPr>
      <w:r w:rsidRPr="009E007C">
        <w:rPr>
          <w:rStyle w:val="a5"/>
        </w:rPr>
        <w:footnoteRef/>
      </w:r>
      <w:r w:rsidRPr="009E007C">
        <w:rPr>
          <w:rtl/>
        </w:rPr>
        <w:t xml:space="preserve"> </w:t>
      </w:r>
      <w:r w:rsidRPr="009E007C">
        <w:rPr>
          <w:rFonts w:asciiTheme="majorBidi" w:hAnsiTheme="majorBidi" w:cstheme="majorBidi"/>
          <w:rtl/>
        </w:rPr>
        <w:t>שיעורי ר' דוד</w:t>
      </w:r>
      <w:r w:rsidRPr="009E007C">
        <w:rPr>
          <w:rFonts w:asciiTheme="majorBidi" w:hAnsiTheme="majorBidi" w:cstheme="majorBidi" w:hint="cs"/>
          <w:rtl/>
        </w:rPr>
        <w:t>.</w:t>
      </w:r>
    </w:p>
  </w:footnote>
  <w:footnote w:id="14">
    <w:p w14:paraId="0780816F" w14:textId="705FB025" w:rsidR="004E069A" w:rsidRPr="007F2042" w:rsidRDefault="004E069A" w:rsidP="007F2042">
      <w:pPr>
        <w:pStyle w:val="a3"/>
        <w:spacing w:line="360" w:lineRule="auto"/>
        <w:rPr>
          <w:rFonts w:asciiTheme="majorBidi" w:hAnsiTheme="majorBidi" w:cstheme="majorBidi"/>
          <w:rtl/>
        </w:rPr>
      </w:pPr>
      <w:r w:rsidRPr="007F2042">
        <w:rPr>
          <w:rStyle w:val="a5"/>
          <w:rFonts w:asciiTheme="majorBidi" w:hAnsiTheme="majorBidi" w:cstheme="majorBidi"/>
        </w:rPr>
        <w:footnoteRef/>
      </w:r>
      <w:r w:rsidRPr="007F2042">
        <w:rPr>
          <w:rFonts w:asciiTheme="majorBidi" w:hAnsiTheme="majorBidi" w:cstheme="majorBidi"/>
          <w:rtl/>
        </w:rPr>
        <w:t xml:space="preserve"> שיטה מקובצת.</w:t>
      </w:r>
    </w:p>
  </w:footnote>
  <w:footnote w:id="15">
    <w:p w14:paraId="1702BA26" w14:textId="59D8AE81" w:rsidR="004E069A" w:rsidRPr="007F2042" w:rsidRDefault="004E069A" w:rsidP="007F2042">
      <w:pPr>
        <w:spacing w:after="0" w:line="360" w:lineRule="auto"/>
        <w:rPr>
          <w:rFonts w:asciiTheme="majorBidi" w:hAnsiTheme="majorBidi" w:cstheme="majorBidi"/>
          <w:sz w:val="20"/>
          <w:szCs w:val="20"/>
        </w:rPr>
      </w:pPr>
      <w:r w:rsidRPr="007F2042">
        <w:rPr>
          <w:rStyle w:val="a5"/>
          <w:rFonts w:asciiTheme="majorBidi" w:hAnsiTheme="majorBidi" w:cstheme="majorBidi"/>
          <w:sz w:val="20"/>
          <w:szCs w:val="20"/>
        </w:rPr>
        <w:footnoteRef/>
      </w:r>
      <w:r w:rsidRPr="007F2042">
        <w:rPr>
          <w:rFonts w:asciiTheme="majorBidi" w:hAnsiTheme="majorBidi" w:cstheme="majorBidi"/>
          <w:sz w:val="20"/>
          <w:szCs w:val="20"/>
          <w:rtl/>
        </w:rPr>
        <w:t xml:space="preserve"> רמב"ם הלכות איסורי ביאה פרק יח הלכה כה, שולחן ערוך אבן העזר סימן ז סעיף ט.</w:t>
      </w:r>
    </w:p>
  </w:footnote>
  <w:footnote w:id="16">
    <w:p w14:paraId="224656FD" w14:textId="09A3DF49" w:rsidR="004E069A" w:rsidRPr="007F2042" w:rsidRDefault="004E069A" w:rsidP="007F2042">
      <w:pPr>
        <w:spacing w:after="0" w:line="360" w:lineRule="auto"/>
        <w:rPr>
          <w:rFonts w:asciiTheme="majorBidi" w:hAnsiTheme="majorBidi" w:cstheme="majorBidi"/>
          <w:sz w:val="20"/>
          <w:szCs w:val="20"/>
        </w:rPr>
      </w:pPr>
      <w:r w:rsidRPr="007F2042">
        <w:rPr>
          <w:rStyle w:val="a5"/>
          <w:rFonts w:asciiTheme="majorBidi" w:hAnsiTheme="majorBidi" w:cstheme="majorBidi"/>
          <w:sz w:val="20"/>
          <w:szCs w:val="20"/>
        </w:rPr>
        <w:footnoteRef/>
      </w:r>
      <w:r w:rsidRPr="007F2042">
        <w:rPr>
          <w:rFonts w:asciiTheme="majorBidi" w:hAnsiTheme="majorBidi" w:cstheme="majorBidi"/>
          <w:sz w:val="20"/>
          <w:szCs w:val="20"/>
          <w:rtl/>
        </w:rPr>
        <w:t xml:space="preserve"> ערוך השולחן אבן העזר סימן ז סעיף טז.</w:t>
      </w:r>
    </w:p>
  </w:footnote>
  <w:footnote w:id="17">
    <w:p w14:paraId="383A3453" w14:textId="17E5E395" w:rsidR="004315A7" w:rsidRPr="007F2042" w:rsidRDefault="004315A7" w:rsidP="007F2042">
      <w:pPr>
        <w:pStyle w:val="a3"/>
        <w:spacing w:line="360" w:lineRule="auto"/>
        <w:rPr>
          <w:rFonts w:asciiTheme="majorBidi" w:hAnsiTheme="majorBidi" w:cstheme="majorBidi"/>
        </w:rPr>
      </w:pPr>
      <w:r w:rsidRPr="007F2042">
        <w:rPr>
          <w:rStyle w:val="a5"/>
          <w:rFonts w:asciiTheme="majorBidi" w:hAnsiTheme="majorBidi" w:cstheme="majorBidi"/>
        </w:rPr>
        <w:footnoteRef/>
      </w:r>
      <w:r w:rsidRPr="007F2042">
        <w:rPr>
          <w:rFonts w:asciiTheme="majorBidi" w:hAnsiTheme="majorBidi" w:cstheme="majorBidi"/>
          <w:rtl/>
        </w:rPr>
        <w:t xml:space="preserve"> רע"א.</w:t>
      </w:r>
    </w:p>
  </w:footnote>
  <w:footnote w:id="18">
    <w:p w14:paraId="55D9E371" w14:textId="55969165" w:rsidR="003A68B6" w:rsidRPr="007F2042" w:rsidRDefault="003A68B6" w:rsidP="007F2042">
      <w:pPr>
        <w:pStyle w:val="a3"/>
        <w:spacing w:line="360" w:lineRule="auto"/>
        <w:rPr>
          <w:rFonts w:asciiTheme="majorBidi" w:hAnsiTheme="majorBidi" w:cstheme="majorBidi"/>
          <w:rtl/>
        </w:rPr>
      </w:pPr>
      <w:r w:rsidRPr="007F2042">
        <w:rPr>
          <w:rStyle w:val="a5"/>
          <w:rFonts w:asciiTheme="majorBidi" w:hAnsiTheme="majorBidi" w:cstheme="majorBidi"/>
        </w:rPr>
        <w:footnoteRef/>
      </w:r>
      <w:r w:rsidRPr="007F2042">
        <w:rPr>
          <w:rFonts w:asciiTheme="majorBidi" w:hAnsiTheme="majorBidi" w:cstheme="majorBidi"/>
          <w:rtl/>
        </w:rPr>
        <w:t xml:space="preserve"> שו"ת נודע ביהודה מהדורא תניינא - אבן העזר סימן כט.</w:t>
      </w:r>
    </w:p>
  </w:footnote>
  <w:footnote w:id="19">
    <w:p w14:paraId="6333E60B" w14:textId="2E8F7730" w:rsidR="000C704C" w:rsidRPr="000C704C" w:rsidRDefault="000C704C" w:rsidP="000C704C">
      <w:pPr>
        <w:pStyle w:val="a3"/>
        <w:spacing w:line="360" w:lineRule="auto"/>
        <w:rPr>
          <w:rFonts w:asciiTheme="majorBidi" w:hAnsiTheme="majorBidi" w:cstheme="majorBidi"/>
        </w:rPr>
      </w:pPr>
      <w:r w:rsidRPr="000C704C">
        <w:rPr>
          <w:rStyle w:val="a5"/>
          <w:rFonts w:asciiTheme="majorBidi" w:hAnsiTheme="majorBidi" w:cstheme="majorBidi"/>
        </w:rPr>
        <w:footnoteRef/>
      </w:r>
      <w:r w:rsidRPr="000C704C">
        <w:rPr>
          <w:rFonts w:asciiTheme="majorBidi" w:hAnsiTheme="majorBidi" w:cstheme="majorBidi"/>
          <w:rtl/>
        </w:rPr>
        <w:t xml:space="preserve"> בגידולי שמואל הסתפק אם אשת רבי זכריה רשאית להמשיך לאכול בתרומה.</w:t>
      </w:r>
    </w:p>
  </w:footnote>
  <w:footnote w:id="20">
    <w:p w14:paraId="58997ACC" w14:textId="64FAEEB1" w:rsidR="002E3573" w:rsidRPr="007F2042" w:rsidRDefault="002E3573" w:rsidP="000C704C">
      <w:pPr>
        <w:pStyle w:val="a3"/>
        <w:spacing w:line="360" w:lineRule="auto"/>
        <w:rPr>
          <w:rFonts w:asciiTheme="majorBidi" w:hAnsiTheme="majorBidi" w:cstheme="majorBidi"/>
          <w:rtl/>
        </w:rPr>
      </w:pPr>
      <w:r w:rsidRPr="007F2042">
        <w:rPr>
          <w:rStyle w:val="a5"/>
          <w:rFonts w:asciiTheme="majorBidi" w:hAnsiTheme="majorBidi" w:cstheme="majorBidi"/>
        </w:rPr>
        <w:footnoteRef/>
      </w:r>
      <w:r w:rsidRPr="007F2042">
        <w:rPr>
          <w:rFonts w:asciiTheme="majorBidi" w:hAnsiTheme="majorBidi" w:cstheme="majorBidi"/>
          <w:rtl/>
        </w:rPr>
        <w:t xml:space="preserve"> תוספות מסכת כתובות דף כז עמוד ב ד"ה מסיח לפי תומו.</w:t>
      </w:r>
    </w:p>
  </w:footnote>
  <w:footnote w:id="21">
    <w:p w14:paraId="1D487164" w14:textId="5A1175E1" w:rsidR="003F79BD" w:rsidRPr="007F2042" w:rsidRDefault="003F79BD" w:rsidP="007F2042">
      <w:pPr>
        <w:pStyle w:val="a3"/>
        <w:spacing w:line="360" w:lineRule="auto"/>
        <w:rPr>
          <w:rFonts w:asciiTheme="majorBidi" w:hAnsiTheme="majorBidi" w:cstheme="majorBidi"/>
        </w:rPr>
      </w:pPr>
      <w:r w:rsidRPr="007F2042">
        <w:rPr>
          <w:rStyle w:val="a5"/>
          <w:rFonts w:asciiTheme="majorBidi" w:hAnsiTheme="majorBidi" w:cstheme="majorBidi"/>
        </w:rPr>
        <w:footnoteRef/>
      </w:r>
      <w:r w:rsidRPr="007F2042">
        <w:rPr>
          <w:rFonts w:asciiTheme="majorBidi" w:hAnsiTheme="majorBidi" w:cstheme="majorBidi"/>
          <w:rtl/>
        </w:rPr>
        <w:t xml:space="preserve"> פרק ב משנה ט.</w:t>
      </w:r>
    </w:p>
  </w:footnote>
  <w:footnote w:id="22">
    <w:p w14:paraId="0815A1EE" w14:textId="17813684" w:rsidR="009E007C" w:rsidRDefault="009E007C">
      <w:pPr>
        <w:pStyle w:val="a3"/>
        <w:rPr>
          <w:rFonts w:asciiTheme="majorBidi" w:hAnsiTheme="majorBidi" w:cstheme="majorBidi"/>
          <w:rtl/>
        </w:rPr>
      </w:pPr>
      <w:r w:rsidRPr="009E007C">
        <w:rPr>
          <w:rStyle w:val="a5"/>
          <w:rFonts w:asciiTheme="majorBidi" w:hAnsiTheme="majorBidi" w:cstheme="majorBidi"/>
        </w:rPr>
        <w:footnoteRef/>
      </w:r>
      <w:r w:rsidRPr="009E007C">
        <w:rPr>
          <w:rFonts w:asciiTheme="majorBidi" w:hAnsiTheme="majorBidi" w:cstheme="majorBidi"/>
          <w:rtl/>
        </w:rPr>
        <w:t xml:space="preserve"> הפני יהושע הסביר שהוא כבעל דין. והקשה בשיעורי רבי דוד</w:t>
      </w:r>
      <w:r>
        <w:rPr>
          <w:rFonts w:asciiTheme="majorBidi" w:hAnsiTheme="majorBidi" w:cstheme="majorBidi" w:hint="cs"/>
          <w:rtl/>
        </w:rPr>
        <w:t xml:space="preserve"> כאן</w:t>
      </w:r>
      <w:r w:rsidRPr="009E007C">
        <w:rPr>
          <w:rFonts w:asciiTheme="majorBidi" w:hAnsiTheme="majorBidi" w:cstheme="majorBidi"/>
          <w:rtl/>
        </w:rPr>
        <w:t>, אם כן כיצד הציעה הגמרא ששפחתה כמוה. לדעתו הפסול הוא חשש משקר.</w:t>
      </w:r>
    </w:p>
    <w:p w14:paraId="531521F8" w14:textId="77777777" w:rsidR="009E007C" w:rsidRPr="009E007C" w:rsidRDefault="009E007C">
      <w:pPr>
        <w:pStyle w:val="a3"/>
        <w:rPr>
          <w:rFonts w:asciiTheme="majorBidi" w:hAnsiTheme="majorBidi" w:cstheme="majorBidi"/>
        </w:rPr>
      </w:pPr>
    </w:p>
  </w:footnote>
  <w:footnote w:id="23">
    <w:p w14:paraId="56037AB2" w14:textId="1A148F7D" w:rsidR="003A68B6" w:rsidRPr="007F2042" w:rsidRDefault="003A68B6" w:rsidP="00FC6717">
      <w:pPr>
        <w:spacing w:after="0" w:line="360" w:lineRule="auto"/>
        <w:rPr>
          <w:rFonts w:asciiTheme="majorBidi" w:hAnsiTheme="majorBidi" w:cstheme="majorBidi"/>
          <w:sz w:val="20"/>
          <w:szCs w:val="20"/>
        </w:rPr>
      </w:pPr>
      <w:r w:rsidRPr="007F2042">
        <w:rPr>
          <w:rStyle w:val="a5"/>
          <w:rFonts w:asciiTheme="majorBidi" w:hAnsiTheme="majorBidi" w:cstheme="majorBidi"/>
          <w:sz w:val="20"/>
          <w:szCs w:val="20"/>
        </w:rPr>
        <w:footnoteRef/>
      </w:r>
      <w:r w:rsidRPr="007F2042">
        <w:rPr>
          <w:rFonts w:asciiTheme="majorBidi" w:hAnsiTheme="majorBidi" w:cstheme="majorBidi"/>
          <w:sz w:val="20"/>
          <w:szCs w:val="20"/>
          <w:rtl/>
        </w:rPr>
        <w:t xml:space="preserve"> שו"ת נודע ביהודה מהדורא תניינא - אבן העזר סימן כט.</w:t>
      </w:r>
    </w:p>
  </w:footnote>
  <w:footnote w:id="24">
    <w:p w14:paraId="06D22C5C" w14:textId="5C1D2EED" w:rsidR="00FC6717" w:rsidRPr="00FC6717" w:rsidRDefault="00FC6717" w:rsidP="00FC6717">
      <w:pPr>
        <w:pStyle w:val="a3"/>
        <w:rPr>
          <w:rFonts w:asciiTheme="majorBidi" w:hAnsiTheme="majorBidi" w:cstheme="majorBidi"/>
          <w:rtl/>
        </w:rPr>
      </w:pPr>
      <w:r w:rsidRPr="00FC6717">
        <w:rPr>
          <w:rStyle w:val="a5"/>
          <w:rFonts w:asciiTheme="majorBidi" w:hAnsiTheme="majorBidi" w:cstheme="majorBidi"/>
        </w:rPr>
        <w:footnoteRef/>
      </w:r>
      <w:r w:rsidRPr="00FC6717">
        <w:rPr>
          <w:rFonts w:asciiTheme="majorBidi" w:hAnsiTheme="majorBidi" w:cstheme="majorBidi"/>
          <w:rtl/>
        </w:rPr>
        <w:t xml:space="preserve">  דף כב עמוד ב.</w:t>
      </w:r>
    </w:p>
    <w:p w14:paraId="7B2B4944" w14:textId="35CB8795" w:rsidR="00FC6717" w:rsidRDefault="00FC6717" w:rsidP="00FC6717">
      <w:pPr>
        <w:pStyle w:val="a3"/>
      </w:pPr>
    </w:p>
  </w:footnote>
  <w:footnote w:id="25">
    <w:p w14:paraId="644C5CDE" w14:textId="4643B2FA" w:rsidR="00BE729E" w:rsidRPr="008A770F" w:rsidRDefault="00BE729E" w:rsidP="008A770F">
      <w:pPr>
        <w:spacing w:after="0" w:line="360" w:lineRule="auto"/>
        <w:rPr>
          <w:rFonts w:asciiTheme="majorBidi" w:hAnsiTheme="majorBidi" w:cstheme="majorBidi"/>
          <w:sz w:val="20"/>
          <w:szCs w:val="20"/>
          <w:rtl/>
        </w:rPr>
      </w:pPr>
      <w:r>
        <w:rPr>
          <w:rStyle w:val="a5"/>
        </w:rPr>
        <w:footnoteRef/>
      </w:r>
      <w:r>
        <w:rPr>
          <w:rtl/>
        </w:rPr>
        <w:t xml:space="preserve"> </w:t>
      </w:r>
      <w:r w:rsidRPr="00BE729E">
        <w:rPr>
          <w:rFonts w:asciiTheme="majorBidi" w:hAnsiTheme="majorBidi" w:cs="Times New Roman"/>
          <w:sz w:val="20"/>
          <w:szCs w:val="20"/>
          <w:rtl/>
        </w:rPr>
        <w:t>ש</w:t>
      </w:r>
      <w:r w:rsidRPr="00BE729E">
        <w:rPr>
          <w:rFonts w:asciiTheme="majorBidi" w:hAnsiTheme="majorBidi" w:cs="Times New Roman" w:hint="cs"/>
          <w:sz w:val="20"/>
          <w:szCs w:val="20"/>
          <w:rtl/>
        </w:rPr>
        <w:t xml:space="preserve">ו"ת </w:t>
      </w:r>
      <w:r w:rsidRPr="00BE729E">
        <w:rPr>
          <w:rFonts w:asciiTheme="majorBidi" w:hAnsiTheme="majorBidi" w:cs="Times New Roman"/>
          <w:sz w:val="20"/>
          <w:szCs w:val="20"/>
          <w:rtl/>
        </w:rPr>
        <w:t>רבי עקיבא איגר מהדורא תניינא סימן נד</w:t>
      </w:r>
      <w:r>
        <w:rPr>
          <w:rFonts w:asciiTheme="majorBidi" w:hAnsiTheme="majorBidi" w:cstheme="majorBidi" w:hint="cs"/>
          <w:sz w:val="20"/>
          <w:szCs w:val="20"/>
          <w:rtl/>
        </w:rPr>
        <w:t>.</w:t>
      </w:r>
    </w:p>
  </w:footnote>
  <w:footnote w:id="26">
    <w:p w14:paraId="55389F87" w14:textId="26032747" w:rsidR="008A770F" w:rsidRPr="008A770F" w:rsidRDefault="008A770F" w:rsidP="008A770F">
      <w:pPr>
        <w:spacing w:after="0" w:line="360" w:lineRule="auto"/>
        <w:rPr>
          <w:rFonts w:asciiTheme="majorBidi" w:hAnsiTheme="majorBidi" w:cstheme="majorBidi"/>
          <w:sz w:val="20"/>
          <w:szCs w:val="20"/>
        </w:rPr>
      </w:pPr>
      <w:r w:rsidRPr="008A770F">
        <w:rPr>
          <w:rStyle w:val="a5"/>
          <w:sz w:val="20"/>
          <w:szCs w:val="20"/>
        </w:rPr>
        <w:footnoteRef/>
      </w:r>
      <w:r w:rsidRPr="008A770F">
        <w:rPr>
          <w:sz w:val="20"/>
          <w:szCs w:val="20"/>
          <w:rtl/>
        </w:rPr>
        <w:t xml:space="preserve"> </w:t>
      </w:r>
      <w:r w:rsidRPr="008A770F">
        <w:rPr>
          <w:rFonts w:asciiTheme="majorBidi" w:hAnsiTheme="majorBidi" w:cstheme="majorBidi"/>
          <w:sz w:val="20"/>
          <w:szCs w:val="20"/>
          <w:rtl/>
        </w:rPr>
        <w:t xml:space="preserve">דף על הדף </w:t>
      </w:r>
      <w:r w:rsidRPr="008A770F">
        <w:rPr>
          <w:rFonts w:asciiTheme="majorBidi" w:hAnsiTheme="majorBidi" w:cstheme="majorBidi" w:hint="cs"/>
          <w:sz w:val="20"/>
          <w:szCs w:val="20"/>
          <w:rtl/>
        </w:rPr>
        <w:t>כאן.</w:t>
      </w:r>
    </w:p>
  </w:footnote>
  <w:footnote w:id="27">
    <w:p w14:paraId="15FA96C1" w14:textId="364DC0E2" w:rsidR="00897C99" w:rsidRPr="00897C99" w:rsidRDefault="00897C99" w:rsidP="00897C99">
      <w:pPr>
        <w:spacing w:after="0" w:line="240" w:lineRule="auto"/>
        <w:rPr>
          <w:rFonts w:ascii="David" w:hAnsi="David" w:cs="David"/>
          <w:sz w:val="20"/>
          <w:szCs w:val="20"/>
          <w:rtl/>
        </w:rPr>
      </w:pPr>
      <w:r w:rsidRPr="00897C99">
        <w:rPr>
          <w:rStyle w:val="a5"/>
          <w:sz w:val="20"/>
          <w:szCs w:val="20"/>
        </w:rPr>
        <w:footnoteRef/>
      </w:r>
      <w:r w:rsidRPr="00897C99">
        <w:rPr>
          <w:sz w:val="20"/>
          <w:szCs w:val="20"/>
          <w:rtl/>
        </w:rPr>
        <w:t xml:space="preserve"> </w:t>
      </w:r>
      <w:r w:rsidRPr="00897C99">
        <w:rPr>
          <w:rFonts w:asciiTheme="majorBidi" w:hAnsiTheme="majorBidi" w:cstheme="majorBidi"/>
          <w:sz w:val="20"/>
          <w:szCs w:val="20"/>
          <w:rtl/>
        </w:rPr>
        <w:t>בטעם הדבר כתב בשיעור ר' דוד:</w:t>
      </w:r>
      <w:r w:rsidRPr="00897C99">
        <w:rPr>
          <w:rFonts w:hint="cs"/>
          <w:sz w:val="20"/>
          <w:szCs w:val="20"/>
          <w:rtl/>
        </w:rPr>
        <w:t xml:space="preserve"> </w:t>
      </w:r>
      <w:r>
        <w:rPr>
          <w:rFonts w:ascii="David" w:hAnsi="David" w:cs="David" w:hint="cs"/>
          <w:sz w:val="20"/>
          <w:szCs w:val="20"/>
          <w:rtl/>
        </w:rPr>
        <w:t>"</w:t>
      </w:r>
      <w:r w:rsidRPr="00897C99">
        <w:rPr>
          <w:rFonts w:ascii="David" w:hAnsi="David" w:cs="David"/>
          <w:sz w:val="20"/>
          <w:szCs w:val="20"/>
          <w:rtl/>
        </w:rPr>
        <w:t>אפשר דבאמת הטעם שעשו רבנן האיסור שבויה לאיסור ודאי, הוי משום זה גופיה, דאם היה רק איסור ספק, הרי לעולם תאמר ברי לי שאני טהורה, וכן הוא יאמר ברי לי, ולא יהא איסור לעולם, ולכן עשו זה לאיסור ודאי, שלא יועיל ברי לי.</w:t>
      </w:r>
      <w:r>
        <w:rPr>
          <w:rFonts w:ascii="David" w:hAnsi="David" w:cs="David" w:hint="cs"/>
          <w:sz w:val="20"/>
          <w:szCs w:val="20"/>
          <w:rtl/>
        </w:rPr>
        <w:t xml:space="preserve"> </w:t>
      </w:r>
      <w:r w:rsidRPr="00897C99">
        <w:rPr>
          <w:rFonts w:ascii="David" w:hAnsi="David" w:cs="David"/>
          <w:sz w:val="20"/>
          <w:szCs w:val="20"/>
          <w:rtl/>
        </w:rPr>
        <w:t>ועוד י"ל, דהטעם שעשו לאיסור ודאי, הוא משום דאם היה רק ספק איסור, הרי איכא חזקת כשרו</w:t>
      </w:r>
      <w:r w:rsidRPr="00897C99">
        <w:rPr>
          <w:rFonts w:ascii="David" w:hAnsi="David" w:cs="David" w:hint="cs"/>
          <w:sz w:val="20"/>
          <w:szCs w:val="20"/>
          <w:rtl/>
        </w:rPr>
        <w:t>ת</w:t>
      </w:r>
      <w:r>
        <w:rPr>
          <w:rFonts w:ascii="David" w:hAnsi="David" w:cs="David" w:hint="cs"/>
          <w:sz w:val="20"/>
          <w:szCs w:val="20"/>
          <w:rtl/>
        </w:rPr>
        <w:t>"</w:t>
      </w:r>
    </w:p>
    <w:p w14:paraId="3CF29436" w14:textId="497628AE" w:rsidR="00897C99" w:rsidRPr="00897C99" w:rsidRDefault="00897C99">
      <w:pPr>
        <w:pStyle w:val="a3"/>
        <w:rPr>
          <w:rtl/>
        </w:rPr>
      </w:pPr>
    </w:p>
  </w:footnote>
  <w:footnote w:id="28">
    <w:p w14:paraId="31078F06" w14:textId="17120E01" w:rsidR="008D3CA3" w:rsidRPr="008A770F" w:rsidRDefault="008D3CA3" w:rsidP="008A770F">
      <w:pPr>
        <w:spacing w:after="0" w:line="360" w:lineRule="auto"/>
        <w:rPr>
          <w:rFonts w:asciiTheme="majorBidi" w:hAnsiTheme="majorBidi" w:cstheme="majorBidi"/>
          <w:sz w:val="20"/>
          <w:szCs w:val="20"/>
        </w:rPr>
      </w:pPr>
      <w:r w:rsidRPr="008A770F">
        <w:rPr>
          <w:rStyle w:val="a5"/>
          <w:rFonts w:asciiTheme="majorBidi" w:hAnsiTheme="majorBidi" w:cstheme="majorBidi"/>
          <w:sz w:val="20"/>
          <w:szCs w:val="20"/>
        </w:rPr>
        <w:footnoteRef/>
      </w:r>
      <w:r w:rsidRPr="008A770F">
        <w:rPr>
          <w:rFonts w:asciiTheme="majorBidi" w:hAnsiTheme="majorBidi" w:cstheme="majorBidi"/>
          <w:sz w:val="20"/>
          <w:szCs w:val="20"/>
          <w:rtl/>
        </w:rPr>
        <w:t xml:space="preserve"> חתם סופר.  </w:t>
      </w:r>
      <w:r w:rsidR="008A770F" w:rsidRPr="008A770F">
        <w:rPr>
          <w:rFonts w:asciiTheme="majorBidi" w:hAnsiTheme="majorBidi" w:cstheme="majorBidi"/>
          <w:sz w:val="20"/>
          <w:szCs w:val="20"/>
          <w:rtl/>
        </w:rPr>
        <w:t>וכן מובא בדף על הדף בשם הנחל יצחק (סי' ל"ח ענף ב'</w:t>
      </w:r>
      <w:r w:rsidR="008A770F">
        <w:rPr>
          <w:rFonts w:asciiTheme="majorBidi" w:hAnsiTheme="majorBidi" w:cstheme="majorBidi" w:hint="cs"/>
          <w:sz w:val="20"/>
          <w:szCs w:val="20"/>
          <w:rtl/>
        </w:rPr>
        <w:t>).</w:t>
      </w:r>
    </w:p>
  </w:footnote>
  <w:footnote w:id="29">
    <w:p w14:paraId="4408AC69" w14:textId="1326E6AF" w:rsidR="0081434E" w:rsidRPr="0081434E" w:rsidRDefault="0081434E">
      <w:pPr>
        <w:pStyle w:val="a3"/>
        <w:rPr>
          <w:rFonts w:asciiTheme="majorBidi" w:hAnsiTheme="majorBidi" w:cstheme="majorBidi"/>
        </w:rPr>
      </w:pPr>
      <w:r w:rsidRPr="0081434E">
        <w:rPr>
          <w:rStyle w:val="a5"/>
          <w:rFonts w:asciiTheme="majorBidi" w:hAnsiTheme="majorBidi" w:cstheme="majorBidi"/>
        </w:rPr>
        <w:footnoteRef/>
      </w:r>
      <w:r w:rsidRPr="0081434E">
        <w:rPr>
          <w:rFonts w:asciiTheme="majorBidi" w:hAnsiTheme="majorBidi" w:cstheme="majorBidi"/>
          <w:rtl/>
        </w:rPr>
        <w:t xml:space="preserve"> חידושי ר' דוד.</w:t>
      </w:r>
    </w:p>
  </w:footnote>
  <w:footnote w:id="30">
    <w:p w14:paraId="5A55B867" w14:textId="77777777" w:rsidR="005E55FD" w:rsidRPr="00916ACC" w:rsidRDefault="005E55FD" w:rsidP="005E55FD">
      <w:pPr>
        <w:spacing w:after="0" w:line="360" w:lineRule="auto"/>
        <w:rPr>
          <w:rFonts w:asciiTheme="majorBidi" w:hAnsiTheme="majorBidi" w:cstheme="majorBidi"/>
          <w:sz w:val="20"/>
          <w:szCs w:val="20"/>
          <w:rtl/>
        </w:rPr>
      </w:pPr>
      <w:r>
        <w:rPr>
          <w:rStyle w:val="a5"/>
        </w:rPr>
        <w:footnoteRef/>
      </w:r>
      <w:r>
        <w:rPr>
          <w:rtl/>
        </w:rPr>
        <w:t xml:space="preserve"> </w:t>
      </w:r>
      <w:r w:rsidRPr="00916ACC">
        <w:rPr>
          <w:rFonts w:asciiTheme="majorBidi" w:hAnsiTheme="majorBidi" w:cstheme="majorBidi"/>
          <w:sz w:val="20"/>
          <w:szCs w:val="20"/>
          <w:rtl/>
        </w:rPr>
        <w:t>חידושי ר' שמעון שקופ כתובות סימן יב</w:t>
      </w:r>
      <w:r>
        <w:rPr>
          <w:rFonts w:asciiTheme="majorBidi" w:hAnsiTheme="majorBidi" w:cstheme="majorBidi" w:hint="cs"/>
          <w:sz w:val="20"/>
          <w:szCs w:val="20"/>
          <w:rtl/>
        </w:rPr>
        <w:t>.</w:t>
      </w:r>
    </w:p>
    <w:p w14:paraId="2590295A" w14:textId="77777777" w:rsidR="005E55FD" w:rsidRDefault="005E55FD" w:rsidP="005E55FD">
      <w:pPr>
        <w:pStyle w:val="a3"/>
        <w:rPr>
          <w:rtl/>
        </w:rPr>
      </w:pPr>
    </w:p>
  </w:footnote>
  <w:footnote w:id="31">
    <w:p w14:paraId="682FFE21" w14:textId="7CD2F4F6" w:rsidR="007869AD" w:rsidRPr="00761BF4" w:rsidRDefault="007869AD" w:rsidP="00761BF4">
      <w:pPr>
        <w:spacing w:after="0" w:line="360" w:lineRule="auto"/>
        <w:rPr>
          <w:rFonts w:asciiTheme="majorBidi" w:hAnsiTheme="majorBidi" w:cstheme="majorBidi"/>
          <w:sz w:val="20"/>
          <w:szCs w:val="20"/>
        </w:rPr>
      </w:pPr>
      <w:r w:rsidRPr="00647A3E">
        <w:rPr>
          <w:rStyle w:val="a5"/>
          <w:sz w:val="20"/>
          <w:szCs w:val="20"/>
        </w:rPr>
        <w:footnoteRef/>
      </w:r>
      <w:r w:rsidRPr="00647A3E">
        <w:rPr>
          <w:sz w:val="20"/>
          <w:szCs w:val="20"/>
          <w:rtl/>
        </w:rPr>
        <w:t xml:space="preserve"> </w:t>
      </w:r>
      <w:r w:rsidRPr="00647A3E">
        <w:rPr>
          <w:rFonts w:asciiTheme="majorBidi" w:hAnsiTheme="majorBidi" w:cstheme="majorBidi"/>
          <w:sz w:val="20"/>
          <w:szCs w:val="20"/>
          <w:rtl/>
        </w:rPr>
        <w:t>פני דוד בראשית פרק ד</w:t>
      </w:r>
      <w:r w:rsidRPr="00647A3E">
        <w:rPr>
          <w:rFonts w:asciiTheme="majorBidi" w:hAnsiTheme="majorBidi" w:cstheme="majorBidi" w:hint="cs"/>
          <w:sz w:val="20"/>
          <w:szCs w:val="20"/>
          <w:rtl/>
        </w:rPr>
        <w:t>.</w:t>
      </w:r>
    </w:p>
  </w:footnote>
  <w:footnote w:id="32">
    <w:p w14:paraId="2FBBEB32" w14:textId="573A9A14" w:rsidR="00D6373E" w:rsidRPr="00D6373E" w:rsidRDefault="00D6373E" w:rsidP="00D6373E">
      <w:pPr>
        <w:spacing w:after="0" w:line="360" w:lineRule="auto"/>
        <w:rPr>
          <w:rFonts w:asciiTheme="majorBidi" w:hAnsiTheme="majorBidi" w:cstheme="majorBidi"/>
          <w:sz w:val="20"/>
          <w:szCs w:val="20"/>
          <w:rtl/>
        </w:rPr>
      </w:pPr>
      <w:r w:rsidRPr="00761BF4">
        <w:rPr>
          <w:rStyle w:val="a5"/>
          <w:sz w:val="20"/>
          <w:szCs w:val="20"/>
        </w:rPr>
        <w:footnoteRef/>
      </w:r>
      <w:r w:rsidRPr="00761BF4">
        <w:rPr>
          <w:sz w:val="20"/>
          <w:szCs w:val="20"/>
          <w:rtl/>
        </w:rPr>
        <w:t xml:space="preserve"> </w:t>
      </w:r>
      <w:r w:rsidRPr="00761BF4">
        <w:rPr>
          <w:rFonts w:asciiTheme="majorBidi" w:hAnsiTheme="majorBidi" w:cstheme="majorBidi"/>
          <w:sz w:val="20"/>
          <w:szCs w:val="20"/>
          <w:rtl/>
        </w:rPr>
        <w:t>אבן ישראל הלכות איסורי ביאה פרק יח</w:t>
      </w:r>
      <w:r w:rsidRPr="00761BF4">
        <w:rPr>
          <w:rFonts w:asciiTheme="majorBidi" w:hAnsiTheme="majorBidi" w:cstheme="majorBidi" w:hint="cs"/>
          <w:sz w:val="20"/>
          <w:szCs w:val="20"/>
          <w:rtl/>
        </w:rPr>
        <w:t xml:space="preserve"> הלכה יט.</w:t>
      </w:r>
      <w:r>
        <w:rPr>
          <w:rFonts w:asciiTheme="majorBidi" w:hAnsiTheme="majorBidi" w:cstheme="majorBidi" w:hint="cs"/>
          <w:sz w:val="20"/>
          <w:szCs w:val="20"/>
          <w:rtl/>
        </w:rPr>
        <w:t xml:space="preserve"> שם הוא מברר את השאלה האם גזירות כרקום ושבויה זהות.</w:t>
      </w:r>
    </w:p>
  </w:footnote>
  <w:footnote w:id="33">
    <w:p w14:paraId="632D9681" w14:textId="3187F1BD" w:rsidR="004347AF" w:rsidRPr="004347AF" w:rsidRDefault="004347AF" w:rsidP="004347AF">
      <w:pPr>
        <w:spacing w:after="0" w:line="360" w:lineRule="auto"/>
        <w:rPr>
          <w:rFonts w:asciiTheme="majorBidi" w:hAnsiTheme="majorBidi" w:cstheme="majorBidi"/>
          <w:sz w:val="20"/>
          <w:szCs w:val="20"/>
        </w:rPr>
      </w:pPr>
      <w:r w:rsidRPr="004347AF">
        <w:rPr>
          <w:rStyle w:val="a5"/>
          <w:sz w:val="20"/>
          <w:szCs w:val="20"/>
        </w:rPr>
        <w:footnoteRef/>
      </w:r>
      <w:r w:rsidRPr="004347AF">
        <w:rPr>
          <w:sz w:val="20"/>
          <w:szCs w:val="20"/>
          <w:rtl/>
        </w:rPr>
        <w:t xml:space="preserve"> </w:t>
      </w:r>
      <w:r w:rsidRPr="004347AF">
        <w:rPr>
          <w:rFonts w:asciiTheme="majorBidi" w:hAnsiTheme="majorBidi" w:cs="Times New Roman"/>
          <w:sz w:val="20"/>
          <w:szCs w:val="20"/>
          <w:rtl/>
        </w:rPr>
        <w:t>מסכת יבמות דף פח עמוד ב</w:t>
      </w:r>
      <w:r w:rsidRPr="004347AF">
        <w:rPr>
          <w:rFonts w:asciiTheme="majorBidi" w:hAnsiTheme="majorBidi" w:cstheme="majorBidi" w:hint="cs"/>
          <w:sz w:val="20"/>
          <w:szCs w:val="20"/>
          <w:rtl/>
        </w:rPr>
        <w:t>.</w:t>
      </w:r>
    </w:p>
  </w:footnote>
  <w:footnote w:id="34">
    <w:p w14:paraId="40442944" w14:textId="5BF4407A" w:rsidR="00674CC0" w:rsidRPr="00674CC0" w:rsidRDefault="00674CC0" w:rsidP="00674CC0">
      <w:pPr>
        <w:pStyle w:val="a3"/>
        <w:spacing w:line="360" w:lineRule="auto"/>
      </w:pPr>
      <w:r w:rsidRPr="00674CC0">
        <w:rPr>
          <w:rStyle w:val="a5"/>
        </w:rPr>
        <w:footnoteRef/>
      </w:r>
      <w:r w:rsidRPr="00674CC0">
        <w:rPr>
          <w:rtl/>
        </w:rPr>
        <w:t xml:space="preserve"> </w:t>
      </w:r>
      <w:r w:rsidRPr="00674CC0">
        <w:rPr>
          <w:rFonts w:asciiTheme="majorBidi" w:hAnsiTheme="majorBidi" w:cstheme="majorBidi" w:hint="cs"/>
          <w:rtl/>
        </w:rPr>
        <w:t>בהנח</w:t>
      </w:r>
      <w:r w:rsidR="00B86041">
        <w:rPr>
          <w:rFonts w:asciiTheme="majorBidi" w:hAnsiTheme="majorBidi" w:cstheme="majorBidi" w:hint="cs"/>
          <w:rtl/>
        </w:rPr>
        <w:t>ת יסוד,</w:t>
      </w:r>
      <w:r w:rsidRPr="00674CC0">
        <w:rPr>
          <w:rFonts w:asciiTheme="majorBidi" w:hAnsiTheme="majorBidi" w:cstheme="majorBidi" w:hint="cs"/>
          <w:rtl/>
        </w:rPr>
        <w:t xml:space="preserve"> שתהיה אסורה  לכהן אחר</w:t>
      </w:r>
      <w:r w:rsidR="00B86041">
        <w:rPr>
          <w:rFonts w:asciiTheme="majorBidi" w:hAnsiTheme="majorBidi" w:cstheme="majorBidi" w:hint="cs"/>
          <w:rtl/>
        </w:rPr>
        <w:t>,</w:t>
      </w:r>
      <w:r w:rsidRPr="00674CC0">
        <w:rPr>
          <w:rFonts w:asciiTheme="majorBidi" w:hAnsiTheme="majorBidi" w:cstheme="majorBidi" w:hint="cs"/>
          <w:rtl/>
        </w:rPr>
        <w:t xml:space="preserve"> אחר מות בעלה.</w:t>
      </w:r>
    </w:p>
  </w:footnote>
  <w:footnote w:id="35">
    <w:p w14:paraId="21FECB2A" w14:textId="0BA88842" w:rsidR="00617ABD" w:rsidRPr="00617ABD" w:rsidRDefault="00617ABD" w:rsidP="00D6373E">
      <w:pPr>
        <w:pStyle w:val="a3"/>
        <w:spacing w:line="360" w:lineRule="auto"/>
        <w:rPr>
          <w:rFonts w:asciiTheme="majorBidi" w:hAnsiTheme="majorBidi" w:cstheme="majorBidi"/>
          <w:rtl/>
        </w:rPr>
      </w:pPr>
      <w:r w:rsidRPr="00617ABD">
        <w:rPr>
          <w:rStyle w:val="a5"/>
          <w:rFonts w:asciiTheme="majorBidi" w:hAnsiTheme="majorBidi" w:cstheme="majorBidi"/>
        </w:rPr>
        <w:footnoteRef/>
      </w:r>
      <w:r w:rsidRPr="00617ABD">
        <w:rPr>
          <w:rFonts w:asciiTheme="majorBidi" w:hAnsiTheme="majorBidi" w:cstheme="majorBidi"/>
          <w:rtl/>
        </w:rPr>
        <w:t xml:space="preserve"> אישים ושיטות, עמוד 175 במהדורת תשל</w:t>
      </w:r>
      <w:r w:rsidR="00D6373E">
        <w:rPr>
          <w:rFonts w:asciiTheme="majorBidi" w:hAnsiTheme="majorBidi" w:cstheme="majorBidi" w:hint="cs"/>
          <w:rtl/>
        </w:rPr>
        <w:t>"</w:t>
      </w:r>
      <w:r w:rsidRPr="00617ABD">
        <w:rPr>
          <w:rFonts w:asciiTheme="majorBidi" w:hAnsiTheme="majorBidi" w:cstheme="majorBidi"/>
          <w:rtl/>
        </w:rPr>
        <w:t>ט.</w:t>
      </w:r>
    </w:p>
  </w:footnote>
  <w:footnote w:id="36">
    <w:p w14:paraId="2F4C2CA5" w14:textId="5163465C" w:rsidR="00647A3E" w:rsidRDefault="00647A3E" w:rsidP="00D6373E">
      <w:pPr>
        <w:pStyle w:val="a3"/>
        <w:spacing w:line="360" w:lineRule="auto"/>
        <w:rPr>
          <w:rtl/>
        </w:rPr>
      </w:pPr>
      <w:r>
        <w:rPr>
          <w:rStyle w:val="a5"/>
        </w:rPr>
        <w:footnoteRef/>
      </w:r>
      <w:r>
        <w:rPr>
          <w:rtl/>
        </w:rPr>
        <w:t xml:space="preserve"> </w:t>
      </w:r>
      <w:r w:rsidRPr="00647A3E">
        <w:rPr>
          <w:rFonts w:asciiTheme="majorBidi" w:hAnsiTheme="majorBidi" w:cs="Times New Roman"/>
          <w:rtl/>
        </w:rPr>
        <w:t>אור שמח הלכות גירושין פרק יב</w:t>
      </w:r>
      <w:r w:rsidRPr="00647A3E">
        <w:rPr>
          <w:rFonts w:asciiTheme="majorBidi" w:hAnsiTheme="majorBidi" w:cstheme="majorBidi" w:hint="cs"/>
          <w:rtl/>
        </w:rPr>
        <w:t xml:space="preserve"> הלכה ז</w:t>
      </w:r>
      <w:r>
        <w:rPr>
          <w:rFonts w:hint="cs"/>
          <w:rtl/>
        </w:rPr>
        <w:t>.</w:t>
      </w:r>
    </w:p>
  </w:footnote>
  <w:footnote w:id="37">
    <w:p w14:paraId="4050E01B" w14:textId="079D36CA" w:rsidR="00D6373E" w:rsidRPr="00D6373E" w:rsidRDefault="00D6373E" w:rsidP="00D6373E">
      <w:pPr>
        <w:pStyle w:val="a3"/>
        <w:spacing w:line="360" w:lineRule="auto"/>
        <w:rPr>
          <w:rFonts w:asciiTheme="majorBidi" w:hAnsiTheme="majorBidi" w:cstheme="majorBidi"/>
          <w:rtl/>
        </w:rPr>
      </w:pPr>
      <w:r w:rsidRPr="00D6373E">
        <w:rPr>
          <w:rStyle w:val="a5"/>
          <w:rFonts w:asciiTheme="majorBidi" w:hAnsiTheme="majorBidi" w:cstheme="majorBidi"/>
        </w:rPr>
        <w:footnoteRef/>
      </w:r>
      <w:r w:rsidRPr="00D6373E">
        <w:rPr>
          <w:rFonts w:asciiTheme="majorBidi" w:hAnsiTheme="majorBidi" w:cstheme="majorBidi"/>
          <w:rtl/>
        </w:rPr>
        <w:t xml:space="preserve"> אישים ושיטות.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1821109"/>
      <w:docPartObj>
        <w:docPartGallery w:val="Page Numbers (Top of Page)"/>
        <w:docPartUnique/>
      </w:docPartObj>
    </w:sdtPr>
    <w:sdtEndPr/>
    <w:sdtContent>
      <w:p w14:paraId="38092CFF" w14:textId="722A7710" w:rsidR="00761BF4" w:rsidRDefault="00761BF4">
        <w:pPr>
          <w:pStyle w:val="a6"/>
        </w:pPr>
        <w:r>
          <w:fldChar w:fldCharType="begin"/>
        </w:r>
        <w:r>
          <w:instrText>PAGE   \* MERGEFORMAT</w:instrText>
        </w:r>
        <w:r>
          <w:fldChar w:fldCharType="separate"/>
        </w:r>
        <w:r>
          <w:rPr>
            <w:rtl/>
            <w:lang w:val="he-IL"/>
          </w:rPr>
          <w:t>2</w:t>
        </w:r>
        <w:r>
          <w:fldChar w:fldCharType="end"/>
        </w:r>
      </w:p>
    </w:sdtContent>
  </w:sdt>
  <w:p w14:paraId="38959898" w14:textId="77777777" w:rsidR="00761BF4" w:rsidRDefault="00761BF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AF5"/>
    <w:multiLevelType w:val="hybridMultilevel"/>
    <w:tmpl w:val="641E3104"/>
    <w:lvl w:ilvl="0" w:tplc="97CAC3EA">
      <w:start w:val="1"/>
      <w:numFmt w:val="decimal"/>
      <w:lvlText w:val="%1."/>
      <w:lvlJc w:val="left"/>
      <w:pPr>
        <w:ind w:left="720" w:hanging="360"/>
      </w:pPr>
      <w:rPr>
        <w:rFonts w:asciiTheme="majorBidi" w:hAnsiTheme="majorBid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F31B3"/>
    <w:multiLevelType w:val="hybridMultilevel"/>
    <w:tmpl w:val="B8D2D9DE"/>
    <w:lvl w:ilvl="0" w:tplc="DA569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363EF"/>
    <w:multiLevelType w:val="hybridMultilevel"/>
    <w:tmpl w:val="6BC85FE6"/>
    <w:lvl w:ilvl="0" w:tplc="EB40B3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295373">
    <w:abstractNumId w:val="1"/>
  </w:num>
  <w:num w:numId="2" w16cid:durableId="740713877">
    <w:abstractNumId w:val="0"/>
  </w:num>
  <w:num w:numId="3" w16cid:durableId="341005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89"/>
    <w:rsid w:val="00021DE4"/>
    <w:rsid w:val="000C704C"/>
    <w:rsid w:val="00114429"/>
    <w:rsid w:val="001E2726"/>
    <w:rsid w:val="00206927"/>
    <w:rsid w:val="0020735F"/>
    <w:rsid w:val="002354EE"/>
    <w:rsid w:val="00270855"/>
    <w:rsid w:val="00291D2E"/>
    <w:rsid w:val="00293330"/>
    <w:rsid w:val="002E3573"/>
    <w:rsid w:val="00321986"/>
    <w:rsid w:val="00341316"/>
    <w:rsid w:val="003A68B6"/>
    <w:rsid w:val="003F7924"/>
    <w:rsid w:val="003F79BD"/>
    <w:rsid w:val="004315A7"/>
    <w:rsid w:val="004347AF"/>
    <w:rsid w:val="004817E3"/>
    <w:rsid w:val="004B5294"/>
    <w:rsid w:val="004D5CA2"/>
    <w:rsid w:val="004E069A"/>
    <w:rsid w:val="005C1F9E"/>
    <w:rsid w:val="005E55FD"/>
    <w:rsid w:val="00617ABD"/>
    <w:rsid w:val="00647A3E"/>
    <w:rsid w:val="00674CC0"/>
    <w:rsid w:val="006D21C8"/>
    <w:rsid w:val="006D2F81"/>
    <w:rsid w:val="006F1185"/>
    <w:rsid w:val="00761BF4"/>
    <w:rsid w:val="007869AD"/>
    <w:rsid w:val="007B5DA2"/>
    <w:rsid w:val="007D73AE"/>
    <w:rsid w:val="007F2042"/>
    <w:rsid w:val="0081434E"/>
    <w:rsid w:val="00861F43"/>
    <w:rsid w:val="00872891"/>
    <w:rsid w:val="00897C99"/>
    <w:rsid w:val="008A770F"/>
    <w:rsid w:val="008D3CA3"/>
    <w:rsid w:val="00916ACC"/>
    <w:rsid w:val="009E007C"/>
    <w:rsid w:val="00A01BF2"/>
    <w:rsid w:val="00A41602"/>
    <w:rsid w:val="00A76E93"/>
    <w:rsid w:val="00A81792"/>
    <w:rsid w:val="00A82CF4"/>
    <w:rsid w:val="00A85822"/>
    <w:rsid w:val="00B118A1"/>
    <w:rsid w:val="00B544D7"/>
    <w:rsid w:val="00B86041"/>
    <w:rsid w:val="00B97CED"/>
    <w:rsid w:val="00BB453C"/>
    <w:rsid w:val="00BE729E"/>
    <w:rsid w:val="00C26F1B"/>
    <w:rsid w:val="00C5466D"/>
    <w:rsid w:val="00C57353"/>
    <w:rsid w:val="00CC5D89"/>
    <w:rsid w:val="00D17A5D"/>
    <w:rsid w:val="00D6373E"/>
    <w:rsid w:val="00DA0E53"/>
    <w:rsid w:val="00DB0BD7"/>
    <w:rsid w:val="00E33DCE"/>
    <w:rsid w:val="00ED5695"/>
    <w:rsid w:val="00F104CD"/>
    <w:rsid w:val="00F82817"/>
    <w:rsid w:val="00FC2F8C"/>
    <w:rsid w:val="00FC6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7837"/>
  <w15:chartTrackingRefBased/>
  <w15:docId w15:val="{2B18CEED-ED2B-4932-86FD-DD6F54A4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F43"/>
    <w:pPr>
      <w:spacing w:after="0" w:line="240" w:lineRule="auto"/>
    </w:pPr>
    <w:rPr>
      <w:sz w:val="20"/>
      <w:szCs w:val="20"/>
    </w:rPr>
  </w:style>
  <w:style w:type="character" w:customStyle="1" w:styleId="a4">
    <w:name w:val="טקסט הערת שוליים תו"/>
    <w:basedOn w:val="a0"/>
    <w:link w:val="a3"/>
    <w:uiPriority w:val="99"/>
    <w:semiHidden/>
    <w:rsid w:val="00861F43"/>
    <w:rPr>
      <w:noProof/>
      <w:sz w:val="20"/>
      <w:szCs w:val="20"/>
    </w:rPr>
  </w:style>
  <w:style w:type="character" w:styleId="a5">
    <w:name w:val="footnote reference"/>
    <w:basedOn w:val="a0"/>
    <w:uiPriority w:val="99"/>
    <w:semiHidden/>
    <w:unhideWhenUsed/>
    <w:rsid w:val="00861F43"/>
    <w:rPr>
      <w:vertAlign w:val="superscript"/>
    </w:rPr>
  </w:style>
  <w:style w:type="paragraph" w:styleId="a6">
    <w:name w:val="header"/>
    <w:basedOn w:val="a"/>
    <w:link w:val="a7"/>
    <w:uiPriority w:val="99"/>
    <w:unhideWhenUsed/>
    <w:rsid w:val="00E33DCE"/>
    <w:pPr>
      <w:tabs>
        <w:tab w:val="center" w:pos="4153"/>
        <w:tab w:val="right" w:pos="8306"/>
      </w:tabs>
      <w:spacing w:after="0" w:line="240" w:lineRule="auto"/>
    </w:pPr>
  </w:style>
  <w:style w:type="character" w:customStyle="1" w:styleId="a7">
    <w:name w:val="כותרת עליונה תו"/>
    <w:basedOn w:val="a0"/>
    <w:link w:val="a6"/>
    <w:uiPriority w:val="99"/>
    <w:rsid w:val="00E33DCE"/>
    <w:rPr>
      <w:noProof/>
    </w:rPr>
  </w:style>
  <w:style w:type="paragraph" w:styleId="a8">
    <w:name w:val="footer"/>
    <w:basedOn w:val="a"/>
    <w:link w:val="a9"/>
    <w:uiPriority w:val="99"/>
    <w:unhideWhenUsed/>
    <w:rsid w:val="00E33DCE"/>
    <w:pPr>
      <w:tabs>
        <w:tab w:val="center" w:pos="4153"/>
        <w:tab w:val="right" w:pos="8306"/>
      </w:tabs>
      <w:spacing w:after="0" w:line="240" w:lineRule="auto"/>
    </w:pPr>
  </w:style>
  <w:style w:type="character" w:customStyle="1" w:styleId="a9">
    <w:name w:val="כותרת תחתונה תו"/>
    <w:basedOn w:val="a0"/>
    <w:link w:val="a8"/>
    <w:uiPriority w:val="99"/>
    <w:rsid w:val="00E33DCE"/>
    <w:rPr>
      <w:noProof/>
    </w:rPr>
  </w:style>
  <w:style w:type="paragraph" w:styleId="aa">
    <w:name w:val="List Paragraph"/>
    <w:basedOn w:val="a"/>
    <w:uiPriority w:val="34"/>
    <w:qFormat/>
    <w:rsid w:val="00FC6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FD8E4-9682-44BA-B341-6C0CCAEE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2034</Words>
  <Characters>10173</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14</cp:revision>
  <dcterms:created xsi:type="dcterms:W3CDTF">2022-05-04T09:59:00Z</dcterms:created>
  <dcterms:modified xsi:type="dcterms:W3CDTF">2022-07-11T09:38:00Z</dcterms:modified>
</cp:coreProperties>
</file>