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3C12" w14:textId="2DE1CD8B" w:rsidR="00EB2F0F" w:rsidRPr="00EB2F0F" w:rsidRDefault="00EB2F0F" w:rsidP="00EB2F0F">
      <w:pPr>
        <w:spacing w:after="0" w:line="360" w:lineRule="auto"/>
        <w:rPr>
          <w:rFonts w:asciiTheme="majorBidi" w:hAnsiTheme="majorBidi" w:cstheme="majorBidi"/>
          <w:sz w:val="24"/>
          <w:szCs w:val="24"/>
          <w:rtl/>
        </w:rPr>
      </w:pPr>
      <w:r w:rsidRPr="00EB2F0F">
        <w:rPr>
          <w:rFonts w:asciiTheme="majorBidi" w:hAnsiTheme="majorBidi" w:cstheme="majorBidi"/>
          <w:sz w:val="24"/>
          <w:szCs w:val="24"/>
          <w:rtl/>
        </w:rPr>
        <w:t>מסכת קידושין דף מב עמוד ב</w:t>
      </w:r>
    </w:p>
    <w:p w14:paraId="659DAC86" w14:textId="26BB6305" w:rsidR="00A82CF4" w:rsidRDefault="00EB2F0F" w:rsidP="00EB2F0F">
      <w:pPr>
        <w:spacing w:after="0" w:line="360" w:lineRule="auto"/>
        <w:rPr>
          <w:rFonts w:asciiTheme="majorBidi" w:hAnsiTheme="majorBidi" w:cstheme="majorBidi"/>
          <w:sz w:val="24"/>
          <w:szCs w:val="24"/>
          <w:rtl/>
        </w:rPr>
      </w:pPr>
      <w:r w:rsidRPr="00EB2F0F">
        <w:rPr>
          <w:rFonts w:asciiTheme="majorBidi" w:hAnsiTheme="majorBidi" w:cstheme="majorBidi"/>
          <w:sz w:val="24"/>
          <w:szCs w:val="24"/>
          <w:rtl/>
        </w:rPr>
        <w:t>השולח את הבעירה ביד חרש שוטה וקטן - פטור מדיני אדם וחייב בדיני שמים, שילח ביד פיקח - פיקח חייב; ואמאי? נימא: שלוחו של אדם כמותו! שאני התם, דאין שליח לדבר עבירה, דאמרינן: דברי הרב ודברי תלמיד - דברי מי שומעים?</w:t>
      </w:r>
    </w:p>
    <w:p w14:paraId="210F7F79" w14:textId="2B01BFE0" w:rsidR="00EB2F0F" w:rsidRDefault="00EB2F0F" w:rsidP="00EB2F0F">
      <w:pPr>
        <w:spacing w:after="0" w:line="360" w:lineRule="auto"/>
        <w:jc w:val="center"/>
        <w:rPr>
          <w:rFonts w:asciiTheme="majorBidi" w:hAnsiTheme="majorBidi" w:cstheme="majorBidi"/>
          <w:b/>
          <w:bCs/>
          <w:sz w:val="28"/>
          <w:szCs w:val="28"/>
          <w:u w:val="single"/>
          <w:rtl/>
        </w:rPr>
      </w:pPr>
      <w:r w:rsidRPr="00EB2F0F">
        <w:rPr>
          <w:rFonts w:asciiTheme="majorBidi" w:hAnsiTheme="majorBidi" w:cstheme="majorBidi"/>
          <w:b/>
          <w:bCs/>
          <w:sz w:val="28"/>
          <w:szCs w:val="28"/>
          <w:u w:val="single"/>
          <w:rtl/>
        </w:rPr>
        <w:t>אין שליח לדבר עבירה</w:t>
      </w:r>
    </w:p>
    <w:p w14:paraId="0502FE24" w14:textId="39217863" w:rsidR="00EB2F0F" w:rsidRDefault="00EB2F0F" w:rsidP="00EB2F0F">
      <w:pPr>
        <w:pStyle w:val="a3"/>
        <w:numPr>
          <w:ilvl w:val="0"/>
          <w:numId w:val="1"/>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הסוגיה</w:t>
      </w:r>
    </w:p>
    <w:p w14:paraId="298C3614" w14:textId="69ABF620" w:rsidR="00EB2F0F" w:rsidRPr="00152A57" w:rsidRDefault="00EB2F0F" w:rsidP="00152A57">
      <w:pPr>
        <w:spacing w:after="0" w:line="360" w:lineRule="auto"/>
        <w:rPr>
          <w:rFonts w:ascii="David" w:hAnsi="David" w:cs="David"/>
          <w:sz w:val="24"/>
          <w:szCs w:val="24"/>
          <w:rtl/>
        </w:rPr>
      </w:pPr>
      <w:r>
        <w:rPr>
          <w:rFonts w:asciiTheme="majorBidi" w:hAnsiTheme="majorBidi" w:cstheme="majorBidi" w:hint="cs"/>
          <w:sz w:val="24"/>
          <w:szCs w:val="24"/>
          <w:rtl/>
        </w:rPr>
        <w:t>ההסבר הראשון לכך ש</w:t>
      </w:r>
      <w:r w:rsidR="001306C3">
        <w:rPr>
          <w:rFonts w:asciiTheme="majorBidi" w:hAnsiTheme="majorBidi" w:cstheme="majorBidi" w:hint="cs"/>
          <w:sz w:val="24"/>
          <w:szCs w:val="24"/>
          <w:rtl/>
        </w:rPr>
        <w:t>אין שליח לדבר עבירה</w:t>
      </w:r>
      <w:r>
        <w:rPr>
          <w:rFonts w:asciiTheme="majorBidi" w:hAnsiTheme="majorBidi" w:cstheme="majorBidi" w:hint="cs"/>
          <w:sz w:val="24"/>
          <w:szCs w:val="24"/>
          <w:rtl/>
        </w:rPr>
        <w:t xml:space="preserve"> הוא שאומרים: דברי הרב ודברי התלמיד, דברי מי שומעים. טענה זו בפשטות מופנית כלפי השליח, ומחייבת אותו באחריות למעשה. את השולח היא </w:t>
      </w:r>
      <w:r w:rsidR="00AC5888">
        <w:rPr>
          <w:rFonts w:asciiTheme="majorBidi" w:hAnsiTheme="majorBidi" w:cstheme="majorBidi" w:hint="cs"/>
          <w:sz w:val="24"/>
          <w:szCs w:val="24"/>
          <w:rtl/>
        </w:rPr>
        <w:t>עשויה לפטור</w:t>
      </w:r>
      <w:r>
        <w:rPr>
          <w:rFonts w:asciiTheme="majorBidi" w:hAnsiTheme="majorBidi" w:cstheme="majorBidi" w:hint="cs"/>
          <w:sz w:val="24"/>
          <w:szCs w:val="24"/>
          <w:rtl/>
        </w:rPr>
        <w:t xml:space="preserve"> מחיוב</w:t>
      </w:r>
      <w:r w:rsidR="00F11F6A">
        <w:rPr>
          <w:rStyle w:val="a6"/>
          <w:rFonts w:asciiTheme="majorBidi" w:hAnsiTheme="majorBidi" w:cstheme="majorBidi"/>
          <w:sz w:val="24"/>
          <w:szCs w:val="24"/>
          <w:rtl/>
        </w:rPr>
        <w:footnoteReference w:id="1"/>
      </w:r>
      <w:r>
        <w:rPr>
          <w:rFonts w:asciiTheme="majorBidi" w:hAnsiTheme="majorBidi" w:cstheme="majorBidi" w:hint="cs"/>
          <w:sz w:val="24"/>
          <w:szCs w:val="24"/>
          <w:rtl/>
        </w:rPr>
        <w:t xml:space="preserve">. לכאורה </w:t>
      </w:r>
      <w:r w:rsidR="00480DFF">
        <w:rPr>
          <w:rFonts w:asciiTheme="majorBidi" w:hAnsiTheme="majorBidi" w:cstheme="majorBidi" w:hint="cs"/>
          <w:sz w:val="24"/>
          <w:szCs w:val="24"/>
          <w:rtl/>
        </w:rPr>
        <w:t xml:space="preserve">הפטור הוא </w:t>
      </w:r>
      <w:r>
        <w:rPr>
          <w:rFonts w:asciiTheme="majorBidi" w:hAnsiTheme="majorBidi" w:cstheme="majorBidi" w:hint="cs"/>
          <w:sz w:val="24"/>
          <w:szCs w:val="24"/>
          <w:rtl/>
        </w:rPr>
        <w:t xml:space="preserve">בשל הטענה שלא העלה בדעתו שהשליח יעשה כן. טיעון זה אינו כולל שליחים חסרי בחירה, כגון חרש שוטה וקטן. </w:t>
      </w:r>
      <w:r w:rsidR="00152A57">
        <w:rPr>
          <w:rFonts w:asciiTheme="majorBidi" w:hAnsiTheme="majorBidi" w:cs="Times New Roman" w:hint="cs"/>
          <w:sz w:val="24"/>
          <w:szCs w:val="24"/>
          <w:rtl/>
        </w:rPr>
        <w:t xml:space="preserve"> כמו כן: </w:t>
      </w:r>
      <w:r w:rsidR="00152A57" w:rsidRPr="00152A57">
        <w:rPr>
          <w:rFonts w:asciiTheme="majorBidi" w:hAnsiTheme="majorBidi" w:cs="Times New Roman"/>
          <w:sz w:val="24"/>
          <w:szCs w:val="24"/>
          <w:rtl/>
        </w:rPr>
        <w:t xml:space="preserve"> </w:t>
      </w:r>
      <w:r w:rsidR="00152A57" w:rsidRPr="00152A57">
        <w:rPr>
          <w:rFonts w:ascii="David" w:hAnsi="David" w:cs="David"/>
          <w:sz w:val="24"/>
          <w:szCs w:val="24"/>
          <w:rtl/>
        </w:rPr>
        <w:t>"אמר רבינא: היכא אמרינן דאין שליח לדבר עבירה - היכא דשליח בר חיובא הוא, אבל בחצר דלאו בר חיובא הוא - מיחייב שולחו.</w:t>
      </w:r>
      <w:r w:rsidR="00152A57">
        <w:rPr>
          <w:rFonts w:ascii="David" w:hAnsi="David" w:cs="David" w:hint="cs"/>
          <w:sz w:val="24"/>
          <w:szCs w:val="24"/>
          <w:rtl/>
        </w:rPr>
        <w:t>..</w:t>
      </w:r>
      <w:r w:rsidR="00152A57" w:rsidRPr="00152A57">
        <w:rPr>
          <w:rFonts w:ascii="David" w:hAnsi="David" w:cs="David"/>
          <w:sz w:val="24"/>
          <w:szCs w:val="24"/>
          <w:rtl/>
        </w:rPr>
        <w:t>רב סמא אמר: היכא אמרינן אין שליח לדבר עבירה - היכא דאי בעי עביד, ואי בעי לא עביד. אבל חצר, דבעל כרחיה מותיב בה - מיחייב שולחו</w:t>
      </w:r>
      <w:r w:rsidR="00152A57" w:rsidRPr="00152A57">
        <w:rPr>
          <w:rStyle w:val="a6"/>
          <w:rFonts w:ascii="David" w:hAnsi="David" w:cs="David"/>
          <w:sz w:val="24"/>
          <w:szCs w:val="24"/>
          <w:rtl/>
        </w:rPr>
        <w:footnoteReference w:id="2"/>
      </w:r>
      <w:r w:rsidR="00152A57" w:rsidRPr="00152A57">
        <w:rPr>
          <w:rFonts w:ascii="David" w:hAnsi="David" w:cs="David"/>
          <w:sz w:val="24"/>
          <w:szCs w:val="24"/>
          <w:rtl/>
        </w:rPr>
        <w:t>"</w:t>
      </w:r>
      <w:r w:rsidRPr="00152A57">
        <w:rPr>
          <w:rFonts w:ascii="David" w:hAnsi="David" w:cs="David"/>
          <w:sz w:val="24"/>
          <w:szCs w:val="24"/>
          <w:rtl/>
        </w:rPr>
        <w:t>.</w:t>
      </w:r>
      <w:r w:rsidR="00152A57" w:rsidRPr="00152A57">
        <w:rPr>
          <w:rFonts w:ascii="David" w:hAnsi="David" w:cs="David"/>
          <w:sz w:val="24"/>
          <w:szCs w:val="24"/>
          <w:rtl/>
        </w:rPr>
        <w:t xml:space="preserve"> </w:t>
      </w:r>
      <w:r w:rsidR="00152A57" w:rsidRPr="00152A57">
        <w:rPr>
          <w:rFonts w:asciiTheme="majorBidi" w:hAnsiTheme="majorBidi" w:cstheme="majorBidi"/>
          <w:sz w:val="24"/>
          <w:szCs w:val="24"/>
          <w:rtl/>
        </w:rPr>
        <w:t xml:space="preserve">הסברה הזו גם אינה הולמת מקרה שבו השליח איננו מודע </w:t>
      </w:r>
      <w:r w:rsidR="004B75FA">
        <w:rPr>
          <w:rFonts w:asciiTheme="majorBidi" w:hAnsiTheme="majorBidi" w:cstheme="majorBidi" w:hint="cs"/>
          <w:sz w:val="24"/>
          <w:szCs w:val="24"/>
          <w:rtl/>
        </w:rPr>
        <w:t xml:space="preserve">לכך </w:t>
      </w:r>
      <w:r w:rsidR="00152A57" w:rsidRPr="00152A57">
        <w:rPr>
          <w:rFonts w:asciiTheme="majorBidi" w:hAnsiTheme="majorBidi" w:cstheme="majorBidi"/>
          <w:sz w:val="24"/>
          <w:szCs w:val="24"/>
          <w:rtl/>
        </w:rPr>
        <w:t>שהמעשה הוא עבירה</w:t>
      </w:r>
      <w:r w:rsidR="004B75FA">
        <w:rPr>
          <w:rFonts w:asciiTheme="majorBidi" w:hAnsiTheme="majorBidi" w:cstheme="majorBidi" w:hint="cs"/>
          <w:sz w:val="24"/>
          <w:szCs w:val="24"/>
          <w:rtl/>
        </w:rPr>
        <w:t>, כגון שהמשלח הראה לו רכוש אחר כ</w:t>
      </w:r>
      <w:r w:rsidR="00480DFF">
        <w:rPr>
          <w:rFonts w:asciiTheme="majorBidi" w:hAnsiTheme="majorBidi" w:cstheme="majorBidi" w:hint="cs"/>
          <w:sz w:val="24"/>
          <w:szCs w:val="24"/>
          <w:rtl/>
        </w:rPr>
        <w:t xml:space="preserve">שהוא מעמיד פנים שהרכוש </w:t>
      </w:r>
      <w:r w:rsidR="004B75FA">
        <w:rPr>
          <w:rFonts w:asciiTheme="majorBidi" w:hAnsiTheme="majorBidi" w:cstheme="majorBidi" w:hint="cs"/>
          <w:sz w:val="24"/>
          <w:szCs w:val="24"/>
          <w:rtl/>
        </w:rPr>
        <w:t>שלו</w:t>
      </w:r>
      <w:r w:rsidR="00152A57" w:rsidRPr="00152A57">
        <w:rPr>
          <w:rFonts w:asciiTheme="majorBidi" w:hAnsiTheme="majorBidi" w:cstheme="majorBidi"/>
          <w:sz w:val="24"/>
          <w:szCs w:val="24"/>
          <w:rtl/>
        </w:rPr>
        <w:t>.</w:t>
      </w:r>
    </w:p>
    <w:p w14:paraId="3696DBEC" w14:textId="2D82A1E7" w:rsidR="00EB2F0F" w:rsidRDefault="00EB2F0F"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בהמשך הסוגיה מוצעים כמה מקורות נוספים מהם עולה הכלל </w:t>
      </w:r>
      <w:r w:rsidR="001306C3">
        <w:rPr>
          <w:rFonts w:asciiTheme="majorBidi" w:hAnsiTheme="majorBidi" w:cstheme="majorBidi" w:hint="cs"/>
          <w:sz w:val="24"/>
          <w:szCs w:val="24"/>
          <w:rtl/>
        </w:rPr>
        <w:t>אין שליח לדבר עבירה</w:t>
      </w:r>
      <w:r>
        <w:rPr>
          <w:rFonts w:asciiTheme="majorBidi" w:hAnsiTheme="majorBidi" w:cstheme="majorBidi" w:hint="cs"/>
          <w:sz w:val="24"/>
          <w:szCs w:val="24"/>
          <w:rtl/>
        </w:rPr>
        <w:t xml:space="preserve">. </w:t>
      </w:r>
    </w:p>
    <w:p w14:paraId="02794151" w14:textId="32A6DA1B" w:rsidR="00EB2F0F" w:rsidRDefault="00EB2F0F"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2. מעילה ושליחות יד, בהם יש שליח הם שני כתובים הבאים כאחד.</w:t>
      </w:r>
    </w:p>
    <w:p w14:paraId="09A20ADB" w14:textId="48C5E8DE" w:rsidR="00EB2F0F" w:rsidRDefault="00EB2F0F"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3. לבית שמאי: מעילה וטביחה </w:t>
      </w:r>
      <w:r w:rsidR="00152A57">
        <w:rPr>
          <w:rFonts w:asciiTheme="majorBidi" w:hAnsiTheme="majorBidi" w:cstheme="majorBidi" w:hint="cs"/>
          <w:sz w:val="24"/>
          <w:szCs w:val="24"/>
          <w:rtl/>
        </w:rPr>
        <w:t>ו</w:t>
      </w:r>
      <w:r>
        <w:rPr>
          <w:rFonts w:asciiTheme="majorBidi" w:hAnsiTheme="majorBidi" w:cstheme="majorBidi" w:hint="cs"/>
          <w:sz w:val="24"/>
          <w:szCs w:val="24"/>
          <w:rtl/>
        </w:rPr>
        <w:t>מכירה הם שני כתובים הבאים כאחד.</w:t>
      </w:r>
    </w:p>
    <w:p w14:paraId="69F1F92B" w14:textId="47CD538F" w:rsidR="00EB2F0F" w:rsidRDefault="00EB2F0F"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4. לאומר ששני כתובים הבאים כאחד מלמדים, ישנו לימוד משחוטי חוץ, שם רק השוחט בפועל חייב, ולא שליח.    שיטה מיוחדת </w:t>
      </w:r>
      <w:r w:rsidR="004B75FA">
        <w:rPr>
          <w:rFonts w:asciiTheme="majorBidi" w:hAnsiTheme="majorBidi" w:cstheme="majorBidi" w:hint="cs"/>
          <w:sz w:val="24"/>
          <w:szCs w:val="24"/>
          <w:rtl/>
        </w:rPr>
        <w:t xml:space="preserve">ישנה </w:t>
      </w:r>
      <w:r>
        <w:rPr>
          <w:rFonts w:asciiTheme="majorBidi" w:hAnsiTheme="majorBidi" w:cstheme="majorBidi" w:hint="cs"/>
          <w:sz w:val="24"/>
          <w:szCs w:val="24"/>
          <w:rtl/>
        </w:rPr>
        <w:t xml:space="preserve">לשמאי הזקן המחייב </w:t>
      </w:r>
      <w:r w:rsidR="00480DFF">
        <w:rPr>
          <w:rFonts w:asciiTheme="majorBidi" w:hAnsiTheme="majorBidi" w:cstheme="majorBidi" w:hint="cs"/>
          <w:sz w:val="24"/>
          <w:szCs w:val="24"/>
          <w:rtl/>
        </w:rPr>
        <w:t>את ה</w:t>
      </w:r>
      <w:r>
        <w:rPr>
          <w:rFonts w:asciiTheme="majorBidi" w:hAnsiTheme="majorBidi" w:cstheme="majorBidi" w:hint="cs"/>
          <w:sz w:val="24"/>
          <w:szCs w:val="24"/>
          <w:rtl/>
        </w:rPr>
        <w:t>שולח רוצח. שלושה הסברים בדעתו:</w:t>
      </w:r>
    </w:p>
    <w:p w14:paraId="60DE4D18" w14:textId="6DA529D1" w:rsidR="00EB2F0F" w:rsidRDefault="00EB2F0F"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00A55B1D">
        <w:rPr>
          <w:rFonts w:asciiTheme="majorBidi" w:hAnsiTheme="majorBidi" w:cstheme="majorBidi" w:hint="cs"/>
          <w:sz w:val="24"/>
          <w:szCs w:val="24"/>
          <w:rtl/>
        </w:rPr>
        <w:t xml:space="preserve"> הוא סובר ששני כתובים הבאים כאחד מלמדים, ולא דורש לימוד משחוטי חוץ.</w:t>
      </w:r>
    </w:p>
    <w:p w14:paraId="27CEA6D4" w14:textId="019C0863" w:rsidR="00A55B1D" w:rsidRDefault="00A55B1D"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2. הוא מסכים שהשולח חייב רק בדיני שמים, אולם בעוצמה גדולה יותר מאשר לדעת חכמים.</w:t>
      </w:r>
    </w:p>
    <w:p w14:paraId="774F1430" w14:textId="45BD7F87" w:rsidR="00A55B1D" w:rsidRDefault="00A55B1D"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3. הוא סבור שיש דין מיוחד ברצח, הנלמד מהפסוק.   רבא מוסיף שגם שמאי מודה ששליח שביצע עבירה שכרוכה בה הנאה- וודאי שהוא חייב.</w:t>
      </w:r>
    </w:p>
    <w:p w14:paraId="4A0CBB62" w14:textId="20E921C0" w:rsidR="00A55B1D" w:rsidRDefault="00F11F6A" w:rsidP="00EB2F0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A55B1D">
        <w:rPr>
          <w:rFonts w:asciiTheme="majorBidi" w:hAnsiTheme="majorBidi" w:cstheme="majorBidi" w:hint="cs"/>
          <w:b/>
          <w:bCs/>
          <w:sz w:val="24"/>
          <w:szCs w:val="24"/>
          <w:rtl/>
        </w:rPr>
        <w:t>הטלה הגנוב והמעילה</w:t>
      </w:r>
    </w:p>
    <w:p w14:paraId="741B4F0C" w14:textId="116CE421" w:rsidR="00BE4172" w:rsidRPr="00BE4172" w:rsidRDefault="00A55B1D" w:rsidP="00BE4172">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שנינו</w:t>
      </w:r>
      <w:r w:rsidR="00480DFF">
        <w:rPr>
          <w:rFonts w:asciiTheme="majorBidi" w:hAnsiTheme="majorBidi" w:cs="Times New Roman" w:hint="cs"/>
          <w:sz w:val="24"/>
          <w:szCs w:val="24"/>
          <w:rtl/>
        </w:rPr>
        <w:t xml:space="preserve"> לגבי גנב</w:t>
      </w:r>
      <w:r>
        <w:rPr>
          <w:rFonts w:asciiTheme="majorBidi" w:hAnsiTheme="majorBidi" w:cs="Times New Roman" w:hint="cs"/>
          <w:sz w:val="24"/>
          <w:szCs w:val="24"/>
          <w:rtl/>
        </w:rPr>
        <w:t xml:space="preserve">: </w:t>
      </w:r>
      <w:r w:rsidRPr="00BE4172">
        <w:rPr>
          <w:rFonts w:ascii="David" w:hAnsi="David" w:cs="David"/>
          <w:sz w:val="24"/>
          <w:szCs w:val="24"/>
          <w:rtl/>
        </w:rPr>
        <w:t>"נתנו לבכורות בנו או לבעל חובו.. והיה מושכו ומת ברשות הבעלים פטור. הגביהו או שהוציאו מרשות הבעלים ומת חייב</w:t>
      </w:r>
      <w:r w:rsidRPr="00BE4172">
        <w:rPr>
          <w:rStyle w:val="a6"/>
          <w:rFonts w:ascii="David" w:hAnsi="David" w:cs="David"/>
          <w:sz w:val="24"/>
          <w:szCs w:val="24"/>
          <w:rtl/>
        </w:rPr>
        <w:footnoteReference w:id="3"/>
      </w:r>
      <w:r w:rsidRPr="00BE4172">
        <w:rPr>
          <w:rFonts w:ascii="David" w:hAnsi="David" w:cs="David"/>
          <w:sz w:val="24"/>
          <w:szCs w:val="24"/>
          <w:rtl/>
        </w:rPr>
        <w:t xml:space="preserve">". </w:t>
      </w:r>
      <w:r w:rsidR="00BE4172">
        <w:rPr>
          <w:rFonts w:asciiTheme="majorBidi" w:hAnsiTheme="majorBidi" w:cstheme="majorBidi" w:hint="cs"/>
          <w:sz w:val="24"/>
          <w:szCs w:val="24"/>
          <w:rtl/>
        </w:rPr>
        <w:t>הרי שמשיכתו של הכהן, מחייבת את הגנב. עמדו על כך בעלי התוספות</w:t>
      </w:r>
      <w:r w:rsidR="00BE4172">
        <w:rPr>
          <w:rStyle w:val="a6"/>
          <w:rFonts w:asciiTheme="majorBidi" w:hAnsiTheme="majorBidi" w:cstheme="majorBidi"/>
          <w:sz w:val="24"/>
          <w:szCs w:val="24"/>
          <w:rtl/>
        </w:rPr>
        <w:footnoteReference w:id="4"/>
      </w:r>
      <w:r w:rsidR="00BE4172">
        <w:rPr>
          <w:rFonts w:asciiTheme="majorBidi" w:hAnsiTheme="majorBidi" w:cstheme="majorBidi" w:hint="cs"/>
          <w:sz w:val="24"/>
          <w:szCs w:val="24"/>
          <w:rtl/>
        </w:rPr>
        <w:t xml:space="preserve">: </w:t>
      </w:r>
      <w:r w:rsidR="00BE4172">
        <w:rPr>
          <w:rFonts w:asciiTheme="majorBidi" w:hAnsiTheme="majorBidi" w:cs="Times New Roman" w:hint="cs"/>
          <w:sz w:val="24"/>
          <w:szCs w:val="24"/>
          <w:rtl/>
        </w:rPr>
        <w:t xml:space="preserve"> </w:t>
      </w:r>
      <w:r w:rsidR="00BE4172">
        <w:rPr>
          <w:rFonts w:asciiTheme="majorBidi" w:hAnsiTheme="majorBidi" w:cstheme="majorBidi" w:hint="cs"/>
          <w:sz w:val="24"/>
          <w:szCs w:val="24"/>
          <w:rtl/>
        </w:rPr>
        <w:t xml:space="preserve"> </w:t>
      </w:r>
      <w:r w:rsidR="00BE4172" w:rsidRPr="00BE4172">
        <w:rPr>
          <w:rFonts w:ascii="David" w:hAnsi="David" w:cs="David"/>
          <w:sz w:val="24"/>
          <w:szCs w:val="24"/>
          <w:rtl/>
        </w:rPr>
        <w:t>"הקשה ר"י התם אמאי חייב הגנב, נימא אין שליח לדבר עבירה</w:t>
      </w:r>
      <w:r w:rsidR="00480DFF">
        <w:rPr>
          <w:rFonts w:ascii="David" w:hAnsi="David" w:cs="David" w:hint="cs"/>
          <w:sz w:val="24"/>
          <w:szCs w:val="24"/>
          <w:rtl/>
        </w:rPr>
        <w:t>?</w:t>
      </w:r>
      <w:r w:rsidR="00BE4172" w:rsidRPr="00BE4172">
        <w:rPr>
          <w:rFonts w:ascii="David" w:hAnsi="David" w:cs="David"/>
          <w:sz w:val="24"/>
          <w:szCs w:val="24"/>
          <w:rtl/>
        </w:rPr>
        <w:t xml:space="preserve"> ותירץ כיון שאין הכהן יודע שהוא בא מגניבה לא שייך למימר דברי מי שומעין". </w:t>
      </w:r>
      <w:r w:rsidR="00BE4172">
        <w:rPr>
          <w:rFonts w:asciiTheme="majorBidi" w:hAnsiTheme="majorBidi" w:cstheme="majorBidi" w:hint="cs"/>
          <w:sz w:val="24"/>
          <w:szCs w:val="24"/>
          <w:rtl/>
        </w:rPr>
        <w:t xml:space="preserve">מתוך כך הוא מברר את סוגיית מעילה: </w:t>
      </w:r>
      <w:r w:rsidR="00BE4172">
        <w:rPr>
          <w:rFonts w:asciiTheme="majorBidi" w:hAnsiTheme="majorBidi" w:cs="Times New Roman" w:hint="cs"/>
          <w:sz w:val="24"/>
          <w:szCs w:val="24"/>
          <w:rtl/>
        </w:rPr>
        <w:t xml:space="preserve">  </w:t>
      </w:r>
      <w:r w:rsidR="00BE4172">
        <w:rPr>
          <w:rFonts w:ascii="David" w:hAnsi="David" w:cs="David" w:hint="cs"/>
          <w:sz w:val="24"/>
          <w:szCs w:val="24"/>
          <w:rtl/>
        </w:rPr>
        <w:t>"</w:t>
      </w:r>
      <w:r w:rsidR="00BE4172" w:rsidRPr="00BE4172">
        <w:rPr>
          <w:rFonts w:ascii="David" w:hAnsi="David" w:cs="David"/>
          <w:sz w:val="24"/>
          <w:szCs w:val="24"/>
          <w:rtl/>
        </w:rPr>
        <w:t>תימה הא ע"כ מיירי בשוגג</w:t>
      </w:r>
      <w:r w:rsidR="00BE4172">
        <w:rPr>
          <w:rFonts w:ascii="David" w:hAnsi="David" w:cs="David" w:hint="cs"/>
          <w:sz w:val="24"/>
          <w:szCs w:val="24"/>
          <w:rtl/>
        </w:rPr>
        <w:t>,</w:t>
      </w:r>
      <w:r w:rsidR="00BE4172" w:rsidRPr="00BE4172">
        <w:rPr>
          <w:rFonts w:ascii="David" w:hAnsi="David" w:cs="David"/>
          <w:sz w:val="24"/>
          <w:szCs w:val="24"/>
          <w:rtl/>
        </w:rPr>
        <w:t xml:space="preserve"> דאי במזיד ליכא מעילה דאין מעילה במזיד</w:t>
      </w:r>
      <w:r w:rsidR="00BE4172">
        <w:rPr>
          <w:rFonts w:ascii="David" w:hAnsi="David" w:cs="David" w:hint="cs"/>
          <w:sz w:val="24"/>
          <w:szCs w:val="24"/>
          <w:rtl/>
        </w:rPr>
        <w:t>.</w:t>
      </w:r>
      <w:r w:rsidR="00BE4172" w:rsidRPr="00BE4172">
        <w:rPr>
          <w:rFonts w:ascii="David" w:hAnsi="David" w:cs="David"/>
          <w:sz w:val="24"/>
          <w:szCs w:val="24"/>
          <w:rtl/>
        </w:rPr>
        <w:t xml:space="preserve"> א"כ יש שליח לדבר עבירה</w:t>
      </w:r>
      <w:r w:rsidR="00BE4172">
        <w:rPr>
          <w:rFonts w:ascii="David" w:hAnsi="David" w:cs="David" w:hint="cs"/>
          <w:sz w:val="24"/>
          <w:szCs w:val="24"/>
          <w:rtl/>
        </w:rPr>
        <w:t>,</w:t>
      </w:r>
      <w:r w:rsidR="00BE4172" w:rsidRPr="00BE4172">
        <w:rPr>
          <w:rFonts w:ascii="David" w:hAnsi="David" w:cs="David"/>
          <w:sz w:val="24"/>
          <w:szCs w:val="24"/>
          <w:rtl/>
        </w:rPr>
        <w:t xml:space="preserve"> דלא שייך למימר דברי הרב ודברי תלמיד דברי מי שומעים כיון שהוא שוגג</w:t>
      </w:r>
      <w:r w:rsidR="00BE4172">
        <w:rPr>
          <w:rFonts w:ascii="David" w:hAnsi="David" w:cs="David" w:hint="cs"/>
          <w:sz w:val="24"/>
          <w:szCs w:val="24"/>
          <w:rtl/>
        </w:rPr>
        <w:t>.</w:t>
      </w:r>
      <w:r w:rsidR="00BE4172" w:rsidRPr="00BE4172">
        <w:rPr>
          <w:rFonts w:ascii="David" w:hAnsi="David" w:cs="David"/>
          <w:sz w:val="24"/>
          <w:szCs w:val="24"/>
          <w:rtl/>
        </w:rPr>
        <w:t xml:space="preserve"> </w:t>
      </w:r>
    </w:p>
    <w:p w14:paraId="4C31F7E5" w14:textId="768F92A0" w:rsidR="00F11F6A" w:rsidRDefault="00BE4172" w:rsidP="00152A57">
      <w:pPr>
        <w:spacing w:after="0" w:line="360" w:lineRule="auto"/>
        <w:rPr>
          <w:rFonts w:asciiTheme="majorBidi" w:hAnsiTheme="majorBidi" w:cstheme="majorBidi"/>
          <w:sz w:val="24"/>
          <w:szCs w:val="24"/>
          <w:rtl/>
        </w:rPr>
      </w:pPr>
      <w:r w:rsidRPr="00BE4172">
        <w:rPr>
          <w:rFonts w:ascii="David" w:hAnsi="David" w:cs="David"/>
          <w:sz w:val="24"/>
          <w:szCs w:val="24"/>
          <w:rtl/>
        </w:rPr>
        <w:t xml:space="preserve">ואומר ר"י דהכא מיירי אפי' </w:t>
      </w:r>
      <w:r w:rsidRPr="00BE4172">
        <w:rPr>
          <w:rFonts w:ascii="David" w:hAnsi="David" w:cs="David"/>
          <w:b/>
          <w:bCs/>
          <w:sz w:val="24"/>
          <w:szCs w:val="24"/>
          <w:rtl/>
        </w:rPr>
        <w:t>דנזכר השליח</w:t>
      </w:r>
      <w:r w:rsidR="004B75FA">
        <w:rPr>
          <w:rFonts w:ascii="David" w:hAnsi="David" w:cs="David" w:hint="cs"/>
          <w:b/>
          <w:bCs/>
          <w:sz w:val="24"/>
          <w:szCs w:val="24"/>
          <w:rtl/>
        </w:rPr>
        <w:t>,</w:t>
      </w:r>
      <w:r w:rsidRPr="00BE4172">
        <w:rPr>
          <w:rFonts w:ascii="David" w:hAnsi="David" w:cs="David"/>
          <w:sz w:val="24"/>
          <w:szCs w:val="24"/>
          <w:rtl/>
        </w:rPr>
        <w:t xml:space="preserve"> קאמר דמעל בעל הבית. והשתא פריך</w:t>
      </w:r>
      <w:r>
        <w:rPr>
          <w:rFonts w:ascii="David" w:hAnsi="David" w:cs="David" w:hint="cs"/>
          <w:sz w:val="24"/>
          <w:szCs w:val="24"/>
          <w:rtl/>
        </w:rPr>
        <w:t>:</w:t>
      </w:r>
      <w:r w:rsidRPr="00BE4172">
        <w:rPr>
          <w:rFonts w:ascii="David" w:hAnsi="David" w:cs="David"/>
          <w:sz w:val="24"/>
          <w:szCs w:val="24"/>
          <w:rtl/>
        </w:rPr>
        <w:t xml:space="preserve"> אמאי מעל</w:t>
      </w:r>
      <w:r>
        <w:rPr>
          <w:rFonts w:ascii="David" w:hAnsi="David" w:cs="David" w:hint="cs"/>
          <w:sz w:val="24"/>
          <w:szCs w:val="24"/>
          <w:rtl/>
        </w:rPr>
        <w:t>?</w:t>
      </w:r>
      <w:r w:rsidRPr="00BE4172">
        <w:rPr>
          <w:rFonts w:ascii="David" w:hAnsi="David" w:cs="David"/>
          <w:sz w:val="24"/>
          <w:szCs w:val="24"/>
          <w:rtl/>
        </w:rPr>
        <w:t xml:space="preserve"> נימא אין שליח לדבר עבירה דדברי הרב ודברי התלמיד דברי מי שומעין</w:t>
      </w:r>
      <w:r>
        <w:rPr>
          <w:rFonts w:ascii="David" w:hAnsi="David" w:cs="David" w:hint="cs"/>
          <w:sz w:val="24"/>
          <w:szCs w:val="24"/>
          <w:rtl/>
        </w:rPr>
        <w:t>.</w:t>
      </w:r>
      <w:r w:rsidRPr="00BE4172">
        <w:rPr>
          <w:rFonts w:ascii="David" w:hAnsi="David" w:cs="David"/>
          <w:sz w:val="24"/>
          <w:szCs w:val="24"/>
          <w:rtl/>
        </w:rPr>
        <w:t xml:space="preserve"> </w:t>
      </w:r>
      <w:r w:rsidR="00152A57">
        <w:rPr>
          <w:rFonts w:ascii="David" w:hAnsi="David" w:cs="David" w:hint="cs"/>
          <w:sz w:val="24"/>
          <w:szCs w:val="24"/>
          <w:rtl/>
        </w:rPr>
        <w:t>ו</w:t>
      </w:r>
      <w:r w:rsidR="00152A57">
        <w:rPr>
          <w:rFonts w:ascii="David" w:hAnsi="David" w:cs="David" w:hint="cs"/>
          <w:sz w:val="18"/>
          <w:szCs w:val="18"/>
          <w:rtl/>
        </w:rPr>
        <w:t>אכן,</w:t>
      </w:r>
      <w:r>
        <w:rPr>
          <w:rFonts w:ascii="David" w:hAnsi="David" w:cs="David" w:hint="cs"/>
          <w:sz w:val="24"/>
          <w:szCs w:val="24"/>
          <w:rtl/>
        </w:rPr>
        <w:t xml:space="preserve"> </w:t>
      </w:r>
      <w:r w:rsidRPr="00BE4172">
        <w:rPr>
          <w:rFonts w:ascii="David" w:hAnsi="David" w:cs="David"/>
          <w:sz w:val="24"/>
          <w:szCs w:val="24"/>
          <w:rtl/>
        </w:rPr>
        <w:t xml:space="preserve">אף על גב דנזכר השליח מעל בעל הבית כדמוכח </w:t>
      </w:r>
      <w:r w:rsidRPr="00BE4172">
        <w:rPr>
          <w:rFonts w:ascii="David" w:hAnsi="David" w:cs="David"/>
          <w:sz w:val="24"/>
          <w:szCs w:val="24"/>
          <w:rtl/>
        </w:rPr>
        <w:lastRenderedPageBreak/>
        <w:t xml:space="preserve">במעילה </w:t>
      </w:r>
      <w:r w:rsidRPr="00BE4172">
        <w:rPr>
          <w:rFonts w:ascii="David" w:hAnsi="David" w:cs="David"/>
          <w:sz w:val="18"/>
          <w:szCs w:val="18"/>
          <w:rtl/>
        </w:rPr>
        <w:t>(דף כא.)</w:t>
      </w:r>
      <w:r w:rsidRPr="00BE4172">
        <w:rPr>
          <w:rFonts w:ascii="David" w:hAnsi="David" w:cs="David"/>
          <w:sz w:val="24"/>
          <w:szCs w:val="24"/>
          <w:rtl/>
        </w:rPr>
        <w:t xml:space="preserve"> דתני נזכר בעל הבית ולא נזכר שליח השליח מעל</w:t>
      </w:r>
      <w:r>
        <w:rPr>
          <w:rFonts w:ascii="David" w:hAnsi="David" w:cs="David" w:hint="cs"/>
          <w:sz w:val="24"/>
          <w:szCs w:val="24"/>
          <w:rtl/>
        </w:rPr>
        <w:t>,</w:t>
      </w:r>
      <w:r w:rsidRPr="00BE4172">
        <w:rPr>
          <w:rFonts w:ascii="David" w:hAnsi="David" w:cs="David"/>
          <w:sz w:val="24"/>
          <w:szCs w:val="24"/>
          <w:rtl/>
        </w:rPr>
        <w:t xml:space="preserve"> נזכרו שניהם</w:t>
      </w:r>
      <w:r>
        <w:rPr>
          <w:rFonts w:ascii="David" w:hAnsi="David" w:cs="David" w:hint="cs"/>
          <w:sz w:val="24"/>
          <w:szCs w:val="24"/>
          <w:rtl/>
        </w:rPr>
        <w:t>-</w:t>
      </w:r>
      <w:r w:rsidRPr="00BE4172">
        <w:rPr>
          <w:rFonts w:ascii="David" w:hAnsi="David" w:cs="David"/>
          <w:sz w:val="24"/>
          <w:szCs w:val="24"/>
          <w:rtl/>
        </w:rPr>
        <w:t xml:space="preserve"> חנוני מעל</w:t>
      </w:r>
      <w:r>
        <w:rPr>
          <w:rFonts w:ascii="David" w:hAnsi="David" w:cs="David" w:hint="cs"/>
          <w:sz w:val="24"/>
          <w:szCs w:val="24"/>
          <w:rtl/>
        </w:rPr>
        <w:t>,</w:t>
      </w:r>
      <w:r w:rsidRPr="00BE4172">
        <w:rPr>
          <w:rFonts w:ascii="David" w:hAnsi="David" w:cs="David"/>
          <w:sz w:val="24"/>
          <w:szCs w:val="24"/>
          <w:rtl/>
        </w:rPr>
        <w:t xml:space="preserve"> והטעם לפי </w:t>
      </w:r>
      <w:r w:rsidRPr="00BE4172">
        <w:rPr>
          <w:rFonts w:ascii="David" w:hAnsi="David" w:cs="David"/>
          <w:b/>
          <w:bCs/>
          <w:sz w:val="24"/>
          <w:szCs w:val="24"/>
          <w:rtl/>
        </w:rPr>
        <w:t xml:space="preserve">דמעילה אינו אלא בשוגג כדפרישית </w:t>
      </w:r>
      <w:r>
        <w:rPr>
          <w:rFonts w:ascii="David" w:hAnsi="David" w:cs="David" w:hint="cs"/>
          <w:b/>
          <w:bCs/>
          <w:sz w:val="24"/>
          <w:szCs w:val="24"/>
          <w:rtl/>
        </w:rPr>
        <w:t xml:space="preserve">. </w:t>
      </w:r>
      <w:r w:rsidRPr="00BE4172">
        <w:rPr>
          <w:rFonts w:ascii="David" w:hAnsi="David" w:cs="David"/>
          <w:b/>
          <w:bCs/>
          <w:sz w:val="24"/>
          <w:szCs w:val="24"/>
          <w:rtl/>
        </w:rPr>
        <w:t>לפיכך מעל אותו שלא נזכר ואותו שנזכר מזיד הוא</w:t>
      </w:r>
      <w:r>
        <w:rPr>
          <w:rFonts w:ascii="David" w:hAnsi="David" w:cs="David" w:hint="cs"/>
          <w:b/>
          <w:bCs/>
          <w:sz w:val="24"/>
          <w:szCs w:val="24"/>
          <w:rtl/>
        </w:rPr>
        <w:t>,</w:t>
      </w:r>
      <w:r w:rsidRPr="00BE4172">
        <w:rPr>
          <w:rFonts w:ascii="David" w:hAnsi="David" w:cs="David"/>
          <w:sz w:val="24"/>
          <w:szCs w:val="24"/>
          <w:rtl/>
        </w:rPr>
        <w:t xml:space="preserve"> מ"מ דוקא אם נזכרו שניהם. הא אם נזכר השליח לבד- בעל הבית מעל</w:t>
      </w:r>
      <w:r>
        <w:rPr>
          <w:rFonts w:ascii="David" w:hAnsi="David" w:cs="David" w:hint="cs"/>
          <w:sz w:val="24"/>
          <w:szCs w:val="24"/>
          <w:rtl/>
        </w:rPr>
        <w:t>"</w:t>
      </w:r>
      <w:r w:rsidRPr="00BE4172">
        <w:rPr>
          <w:rFonts w:ascii="David" w:hAnsi="David" w:cs="David"/>
          <w:sz w:val="24"/>
          <w:szCs w:val="24"/>
          <w:rtl/>
        </w:rPr>
        <w:t>.</w:t>
      </w:r>
      <w:r w:rsidR="00152A57">
        <w:rPr>
          <w:rFonts w:ascii="David" w:hAnsi="David" w:cs="David" w:hint="cs"/>
          <w:sz w:val="24"/>
          <w:szCs w:val="24"/>
          <w:rtl/>
        </w:rPr>
        <w:t xml:space="preserve"> </w:t>
      </w:r>
    </w:p>
    <w:p w14:paraId="416C07C2" w14:textId="44290B84" w:rsidR="00152A57" w:rsidRPr="00F11F6A" w:rsidRDefault="00F11F6A" w:rsidP="00F11F6A">
      <w:pPr>
        <w:spacing w:after="0" w:line="360" w:lineRule="auto"/>
        <w:rPr>
          <w:rFonts w:ascii="David" w:hAnsi="David" w:cs="David"/>
          <w:sz w:val="24"/>
          <w:szCs w:val="24"/>
          <w:rtl/>
        </w:rPr>
      </w:pPr>
      <w:r>
        <w:rPr>
          <w:rFonts w:asciiTheme="majorBidi" w:hAnsiTheme="majorBidi" w:cstheme="majorBidi" w:hint="cs"/>
          <w:b/>
          <w:bCs/>
          <w:sz w:val="24"/>
          <w:szCs w:val="24"/>
          <w:rtl/>
        </w:rPr>
        <w:t>ג.</w:t>
      </w:r>
      <w:r w:rsidRPr="00F11F6A">
        <w:rPr>
          <w:rFonts w:asciiTheme="majorBidi" w:hAnsiTheme="majorBidi" w:cstheme="majorBidi" w:hint="cs"/>
          <w:b/>
          <w:bCs/>
          <w:sz w:val="24"/>
          <w:szCs w:val="24"/>
          <w:rtl/>
        </w:rPr>
        <w:t xml:space="preserve">שיטת הריטב"א    </w:t>
      </w:r>
      <w:r w:rsidR="00152A57" w:rsidRPr="00F11F6A">
        <w:rPr>
          <w:rFonts w:asciiTheme="majorBidi" w:hAnsiTheme="majorBidi" w:cstheme="majorBidi"/>
          <w:sz w:val="24"/>
          <w:szCs w:val="24"/>
          <w:rtl/>
        </w:rPr>
        <w:t>הריטב"א</w:t>
      </w:r>
      <w:r w:rsidR="00152A57" w:rsidRPr="00F11F6A">
        <w:rPr>
          <w:rFonts w:ascii="David" w:hAnsi="David" w:cs="David"/>
          <w:sz w:val="24"/>
          <w:szCs w:val="24"/>
          <w:rtl/>
        </w:rPr>
        <w:t xml:space="preserve"> </w:t>
      </w:r>
      <w:r w:rsidR="00152A57" w:rsidRPr="00F11F6A">
        <w:rPr>
          <w:rFonts w:ascii="David" w:hAnsi="David" w:cs="David" w:hint="cs"/>
          <w:sz w:val="24"/>
          <w:szCs w:val="24"/>
          <w:rtl/>
        </w:rPr>
        <w:t xml:space="preserve"> </w:t>
      </w:r>
      <w:r w:rsidR="00152A57" w:rsidRPr="00F11F6A">
        <w:rPr>
          <w:rFonts w:asciiTheme="majorBidi" w:hAnsiTheme="majorBidi" w:cstheme="majorBidi"/>
          <w:sz w:val="24"/>
          <w:szCs w:val="24"/>
          <w:rtl/>
        </w:rPr>
        <w:t>חולק על התוספות:</w:t>
      </w:r>
      <w:r w:rsidR="00152A57" w:rsidRPr="00F11F6A">
        <w:rPr>
          <w:rFonts w:ascii="David" w:hAnsi="David" w:cs="David" w:hint="cs"/>
          <w:sz w:val="24"/>
          <w:szCs w:val="24"/>
          <w:rtl/>
        </w:rPr>
        <w:t xml:space="preserve"> </w:t>
      </w:r>
    </w:p>
    <w:p w14:paraId="25122A4E" w14:textId="69434370" w:rsidR="00A55B1D" w:rsidRDefault="00152A57" w:rsidP="00152A57">
      <w:pPr>
        <w:spacing w:after="0" w:line="360" w:lineRule="auto"/>
        <w:rPr>
          <w:rFonts w:ascii="David" w:hAnsi="David" w:cs="David"/>
          <w:sz w:val="24"/>
          <w:szCs w:val="24"/>
          <w:rtl/>
        </w:rPr>
      </w:pPr>
      <w:r>
        <w:rPr>
          <w:rFonts w:ascii="David" w:hAnsi="David" w:cs="David" w:hint="cs"/>
          <w:sz w:val="24"/>
          <w:szCs w:val="24"/>
          <w:rtl/>
        </w:rPr>
        <w:t>"</w:t>
      </w:r>
      <w:r w:rsidRPr="00152A57">
        <w:rPr>
          <w:rFonts w:ascii="David" w:hAnsi="David" w:cs="David"/>
          <w:sz w:val="24"/>
          <w:szCs w:val="24"/>
          <w:rtl/>
        </w:rPr>
        <w:t xml:space="preserve">טעמא קאמרינן שהוא כן על הרוב, מיהו </w:t>
      </w:r>
      <w:r w:rsidRPr="00152A57">
        <w:rPr>
          <w:rFonts w:ascii="David" w:hAnsi="David" w:cs="David"/>
          <w:b/>
          <w:bCs/>
          <w:sz w:val="24"/>
          <w:szCs w:val="24"/>
          <w:rtl/>
        </w:rPr>
        <w:t>דינא דאורייתא הוא</w:t>
      </w:r>
      <w:r w:rsidRPr="00152A57">
        <w:rPr>
          <w:rFonts w:ascii="David" w:hAnsi="David" w:cs="David"/>
          <w:sz w:val="24"/>
          <w:szCs w:val="24"/>
          <w:rtl/>
        </w:rPr>
        <w:t xml:space="preserve"> כדלקמן</w:t>
      </w:r>
      <w:r>
        <w:rPr>
          <w:rFonts w:ascii="David" w:hAnsi="David" w:cs="David" w:hint="cs"/>
          <w:sz w:val="24"/>
          <w:szCs w:val="24"/>
          <w:rtl/>
        </w:rPr>
        <w:t>,</w:t>
      </w:r>
      <w:r w:rsidRPr="00152A57">
        <w:rPr>
          <w:rFonts w:ascii="David" w:hAnsi="David" w:cs="David"/>
          <w:sz w:val="24"/>
          <w:szCs w:val="24"/>
          <w:rtl/>
        </w:rPr>
        <w:t xml:space="preserve"> ואפילו היכא </w:t>
      </w:r>
      <w:r w:rsidRPr="00480DFF">
        <w:rPr>
          <w:rFonts w:ascii="David" w:hAnsi="David" w:cs="David"/>
          <w:b/>
          <w:bCs/>
          <w:sz w:val="24"/>
          <w:szCs w:val="24"/>
          <w:rtl/>
        </w:rPr>
        <w:t>דליתיה להאי טעמא</w:t>
      </w:r>
      <w:r w:rsidRPr="00152A57">
        <w:rPr>
          <w:rFonts w:ascii="David" w:hAnsi="David" w:cs="David"/>
          <w:sz w:val="24"/>
          <w:szCs w:val="24"/>
          <w:rtl/>
        </w:rPr>
        <w:t xml:space="preserve"> כגון שהוא שוגג וכיוצא בזה</w:t>
      </w:r>
      <w:r>
        <w:rPr>
          <w:rFonts w:ascii="David" w:hAnsi="David" w:cs="David" w:hint="cs"/>
          <w:sz w:val="24"/>
          <w:szCs w:val="24"/>
          <w:rtl/>
        </w:rPr>
        <w:t xml:space="preserve">". </w:t>
      </w:r>
      <w:r w:rsidR="00DA0B84" w:rsidRPr="00DA0B84">
        <w:rPr>
          <w:rFonts w:asciiTheme="majorBidi" w:hAnsiTheme="majorBidi" w:cstheme="majorBidi"/>
          <w:sz w:val="24"/>
          <w:szCs w:val="24"/>
          <w:rtl/>
        </w:rPr>
        <w:t>נראה שהוא תופס כעיקר את מקורות ההלכה  2 או 4</w:t>
      </w:r>
      <w:r w:rsidR="001306C3">
        <w:rPr>
          <w:rFonts w:asciiTheme="majorBidi" w:hAnsiTheme="majorBidi" w:cstheme="majorBidi" w:hint="cs"/>
          <w:sz w:val="24"/>
          <w:szCs w:val="24"/>
          <w:rtl/>
        </w:rPr>
        <w:t xml:space="preserve"> לעיל</w:t>
      </w:r>
      <w:r w:rsidR="00DA0B84" w:rsidRPr="00DA0B84">
        <w:rPr>
          <w:rFonts w:asciiTheme="majorBidi" w:hAnsiTheme="majorBidi" w:cstheme="majorBidi"/>
          <w:sz w:val="24"/>
          <w:szCs w:val="24"/>
          <w:rtl/>
        </w:rPr>
        <w:t>.</w:t>
      </w:r>
      <w:r w:rsidR="00DA0B84">
        <w:rPr>
          <w:rFonts w:ascii="David" w:hAnsi="David" w:cs="David" w:hint="cs"/>
          <w:sz w:val="24"/>
          <w:szCs w:val="24"/>
          <w:rtl/>
        </w:rPr>
        <w:t xml:space="preserve"> </w:t>
      </w:r>
      <w:r w:rsidR="0045154B">
        <w:rPr>
          <w:rFonts w:asciiTheme="majorBidi" w:hAnsiTheme="majorBidi" w:cstheme="majorBidi" w:hint="cs"/>
          <w:sz w:val="24"/>
          <w:szCs w:val="24"/>
          <w:rtl/>
        </w:rPr>
        <w:t>כמה ראיות לדבר</w:t>
      </w:r>
      <w:r w:rsidRPr="00152A57">
        <w:rPr>
          <w:rFonts w:asciiTheme="majorBidi" w:hAnsiTheme="majorBidi" w:cstheme="majorBidi"/>
          <w:sz w:val="24"/>
          <w:szCs w:val="24"/>
          <w:rtl/>
        </w:rPr>
        <w:t>יו:</w:t>
      </w:r>
      <w:r>
        <w:rPr>
          <w:rFonts w:ascii="David" w:hAnsi="David" w:cs="David" w:hint="cs"/>
          <w:sz w:val="24"/>
          <w:szCs w:val="24"/>
          <w:rtl/>
        </w:rPr>
        <w:t xml:space="preserve"> </w:t>
      </w:r>
    </w:p>
    <w:p w14:paraId="2587115D" w14:textId="6000B177" w:rsidR="00152A57" w:rsidRPr="0061771A" w:rsidRDefault="00152A57" w:rsidP="00152A57">
      <w:pPr>
        <w:pStyle w:val="a3"/>
        <w:numPr>
          <w:ilvl w:val="0"/>
          <w:numId w:val="2"/>
        </w:numPr>
        <w:spacing w:after="0" w:line="360" w:lineRule="auto"/>
        <w:rPr>
          <w:rFonts w:asciiTheme="majorBidi" w:hAnsiTheme="majorBidi" w:cstheme="majorBidi"/>
          <w:sz w:val="24"/>
          <w:szCs w:val="24"/>
        </w:rPr>
      </w:pPr>
      <w:r w:rsidRPr="0061771A">
        <w:rPr>
          <w:rFonts w:asciiTheme="majorBidi" w:hAnsiTheme="majorBidi" w:cstheme="majorBidi"/>
          <w:sz w:val="24"/>
          <w:szCs w:val="24"/>
          <w:rtl/>
        </w:rPr>
        <w:t>הגמרא בבבא מציעא ששללה שליחות גם כשאין היא עבירה לשליח, כגון ישראל המקדש גרושה לכהן</w:t>
      </w:r>
      <w:r w:rsidR="008265DF">
        <w:rPr>
          <w:rStyle w:val="a6"/>
          <w:rFonts w:asciiTheme="majorBidi" w:hAnsiTheme="majorBidi" w:cstheme="majorBidi"/>
          <w:sz w:val="24"/>
          <w:szCs w:val="24"/>
          <w:rtl/>
        </w:rPr>
        <w:footnoteReference w:id="5"/>
      </w:r>
      <w:r w:rsidRPr="0061771A">
        <w:rPr>
          <w:rFonts w:asciiTheme="majorBidi" w:hAnsiTheme="majorBidi" w:cstheme="majorBidi"/>
          <w:sz w:val="24"/>
          <w:szCs w:val="24"/>
          <w:rtl/>
        </w:rPr>
        <w:t>.</w:t>
      </w:r>
      <w:r w:rsidR="008265DF">
        <w:rPr>
          <w:rFonts w:asciiTheme="majorBidi" w:hAnsiTheme="majorBidi" w:cstheme="majorBidi" w:hint="cs"/>
          <w:sz w:val="24"/>
          <w:szCs w:val="24"/>
          <w:rtl/>
        </w:rPr>
        <w:t xml:space="preserve"> אמנם ניתן לתרץ את שיטת התוספות, שעל השליח </w:t>
      </w:r>
      <w:r w:rsidR="004B75FA">
        <w:rPr>
          <w:rFonts w:asciiTheme="majorBidi" w:hAnsiTheme="majorBidi" w:cstheme="majorBidi" w:hint="cs"/>
          <w:sz w:val="24"/>
          <w:szCs w:val="24"/>
          <w:rtl/>
        </w:rPr>
        <w:t>ל</w:t>
      </w:r>
      <w:r w:rsidR="008265DF">
        <w:rPr>
          <w:rFonts w:asciiTheme="majorBidi" w:hAnsiTheme="majorBidi" w:cstheme="majorBidi" w:hint="cs"/>
          <w:sz w:val="24"/>
          <w:szCs w:val="24"/>
          <w:rtl/>
        </w:rPr>
        <w:t xml:space="preserve">משוך ידיו ברגע שיודע שיש כאן עבירה, גם אם </w:t>
      </w:r>
      <w:r w:rsidR="004B75FA">
        <w:rPr>
          <w:rFonts w:asciiTheme="majorBidi" w:hAnsiTheme="majorBidi" w:cstheme="majorBidi" w:hint="cs"/>
          <w:sz w:val="24"/>
          <w:szCs w:val="24"/>
          <w:rtl/>
        </w:rPr>
        <w:t>היא לא</w:t>
      </w:r>
      <w:r w:rsidR="008265DF">
        <w:rPr>
          <w:rFonts w:asciiTheme="majorBidi" w:hAnsiTheme="majorBidi" w:cstheme="majorBidi" w:hint="cs"/>
          <w:sz w:val="24"/>
          <w:szCs w:val="24"/>
          <w:rtl/>
        </w:rPr>
        <w:t xml:space="preserve"> קשורה אליו</w:t>
      </w:r>
      <w:r w:rsidR="008265DF">
        <w:rPr>
          <w:rStyle w:val="a6"/>
          <w:rFonts w:asciiTheme="majorBidi" w:hAnsiTheme="majorBidi" w:cstheme="majorBidi"/>
          <w:sz w:val="24"/>
          <w:szCs w:val="24"/>
          <w:rtl/>
        </w:rPr>
        <w:footnoteReference w:id="6"/>
      </w:r>
      <w:r w:rsidR="008265DF">
        <w:rPr>
          <w:rFonts w:asciiTheme="majorBidi" w:hAnsiTheme="majorBidi" w:cstheme="majorBidi" w:hint="cs"/>
          <w:sz w:val="24"/>
          <w:szCs w:val="24"/>
          <w:rtl/>
        </w:rPr>
        <w:t>.</w:t>
      </w:r>
    </w:p>
    <w:p w14:paraId="1AE2491F" w14:textId="56FDA808" w:rsidR="0061771A" w:rsidRPr="0061771A" w:rsidRDefault="0061771A" w:rsidP="00152A57">
      <w:pPr>
        <w:pStyle w:val="a3"/>
        <w:numPr>
          <w:ilvl w:val="0"/>
          <w:numId w:val="2"/>
        </w:numPr>
        <w:spacing w:after="0" w:line="360" w:lineRule="auto"/>
        <w:rPr>
          <w:rFonts w:asciiTheme="majorBidi" w:hAnsiTheme="majorBidi" w:cstheme="majorBidi"/>
          <w:sz w:val="24"/>
          <w:szCs w:val="24"/>
        </w:rPr>
      </w:pPr>
      <w:r w:rsidRPr="0061771A">
        <w:rPr>
          <w:rFonts w:asciiTheme="majorBidi" w:hAnsiTheme="majorBidi" w:cstheme="majorBidi"/>
          <w:sz w:val="24"/>
          <w:szCs w:val="24"/>
          <w:rtl/>
        </w:rPr>
        <w:t>ראיית הגמרא ממעילה, שהתייחסה למקרה של שוגג, ולא למקור שהביאו בעלי התוספות כשרק השליח נזכר. יש להוסיף שבעלי התוספות עצמם</w:t>
      </w:r>
      <w:r w:rsidRPr="0061771A">
        <w:rPr>
          <w:rStyle w:val="a6"/>
          <w:rFonts w:asciiTheme="majorBidi" w:hAnsiTheme="majorBidi" w:cstheme="majorBidi"/>
          <w:sz w:val="24"/>
          <w:szCs w:val="24"/>
          <w:rtl/>
        </w:rPr>
        <w:footnoteReference w:id="7"/>
      </w:r>
      <w:r w:rsidRPr="0061771A">
        <w:rPr>
          <w:rFonts w:asciiTheme="majorBidi" w:hAnsiTheme="majorBidi" w:cstheme="majorBidi"/>
          <w:sz w:val="24"/>
          <w:szCs w:val="24"/>
          <w:rtl/>
        </w:rPr>
        <w:t xml:space="preserve"> תהו לגבי טביחה ומכירה: </w:t>
      </w:r>
    </w:p>
    <w:p w14:paraId="0FDAAC92" w14:textId="15A51ED7" w:rsidR="0061771A" w:rsidRDefault="0061771A" w:rsidP="0061771A">
      <w:pPr>
        <w:pStyle w:val="a3"/>
        <w:spacing w:after="0" w:line="360" w:lineRule="auto"/>
        <w:rPr>
          <w:rFonts w:ascii="David" w:hAnsi="David" w:cs="David"/>
          <w:sz w:val="24"/>
          <w:szCs w:val="24"/>
          <w:rtl/>
        </w:rPr>
      </w:pPr>
      <w:r>
        <w:rPr>
          <w:rFonts w:ascii="David" w:hAnsi="David" w:cs="David" w:hint="cs"/>
          <w:sz w:val="24"/>
          <w:szCs w:val="24"/>
          <w:rtl/>
        </w:rPr>
        <w:t>"</w:t>
      </w:r>
      <w:r w:rsidRPr="0061771A">
        <w:rPr>
          <w:rFonts w:ascii="David" w:hAnsi="David" w:cs="David"/>
          <w:sz w:val="24"/>
          <w:szCs w:val="24"/>
          <w:rtl/>
        </w:rPr>
        <w:t>ק"ק היכי יליף מה מכירה ע"י אחר אף טביחה כו' דלמא דוקא כשסבור שהוא שלו</w:t>
      </w:r>
      <w:r w:rsidR="004B75FA">
        <w:rPr>
          <w:rFonts w:ascii="David" w:hAnsi="David" w:cs="David" w:hint="cs"/>
          <w:sz w:val="24"/>
          <w:szCs w:val="24"/>
          <w:rtl/>
        </w:rPr>
        <w:t>,</w:t>
      </w:r>
      <w:r w:rsidRPr="0061771A">
        <w:rPr>
          <w:rFonts w:ascii="David" w:hAnsi="David" w:cs="David"/>
          <w:sz w:val="24"/>
          <w:szCs w:val="24"/>
          <w:rtl/>
        </w:rPr>
        <w:t xml:space="preserve"> כיון דליכא יתור</w:t>
      </w:r>
      <w:r>
        <w:rPr>
          <w:rStyle w:val="a6"/>
          <w:rFonts w:ascii="David" w:hAnsi="David" w:cs="David"/>
          <w:sz w:val="24"/>
          <w:szCs w:val="24"/>
          <w:rtl/>
        </w:rPr>
        <w:footnoteReference w:id="8"/>
      </w:r>
      <w:r>
        <w:rPr>
          <w:rFonts w:ascii="David" w:hAnsi="David" w:cs="David" w:hint="cs"/>
          <w:sz w:val="24"/>
          <w:szCs w:val="24"/>
          <w:rtl/>
        </w:rPr>
        <w:t>".</w:t>
      </w:r>
    </w:p>
    <w:p w14:paraId="2C41887B" w14:textId="7A9CD433" w:rsidR="00DA0B84" w:rsidRDefault="00DA0B84" w:rsidP="00DA0B84">
      <w:pPr>
        <w:pStyle w:val="a3"/>
        <w:numPr>
          <w:ilvl w:val="0"/>
          <w:numId w:val="2"/>
        </w:numPr>
        <w:spacing w:after="0" w:line="360" w:lineRule="auto"/>
        <w:rPr>
          <w:rFonts w:asciiTheme="majorBidi" w:hAnsiTheme="majorBidi" w:cstheme="majorBidi"/>
          <w:sz w:val="24"/>
          <w:szCs w:val="24"/>
        </w:rPr>
      </w:pPr>
      <w:r w:rsidRPr="008265DF">
        <w:rPr>
          <w:rFonts w:asciiTheme="majorBidi" w:hAnsiTheme="majorBidi" w:cstheme="majorBidi"/>
          <w:sz w:val="24"/>
          <w:szCs w:val="24"/>
          <w:rtl/>
        </w:rPr>
        <w:t xml:space="preserve">ההווא אמינא במסכת בבא מציעא, להחיל את הכלל </w:t>
      </w:r>
      <w:r w:rsidR="001306C3">
        <w:rPr>
          <w:rFonts w:asciiTheme="majorBidi" w:hAnsiTheme="majorBidi" w:cstheme="majorBidi"/>
          <w:sz w:val="24"/>
          <w:szCs w:val="24"/>
          <w:rtl/>
        </w:rPr>
        <w:t>אין שליח לדבר עבירה</w:t>
      </w:r>
      <w:r w:rsidRPr="008265DF">
        <w:rPr>
          <w:rFonts w:asciiTheme="majorBidi" w:hAnsiTheme="majorBidi" w:cstheme="majorBidi"/>
          <w:sz w:val="24"/>
          <w:szCs w:val="24"/>
          <w:rtl/>
        </w:rPr>
        <w:t xml:space="preserve"> על חצר.</w:t>
      </w:r>
      <w:r w:rsidR="004B75FA">
        <w:rPr>
          <w:rFonts w:asciiTheme="majorBidi" w:hAnsiTheme="majorBidi" w:cstheme="majorBidi" w:hint="cs"/>
          <w:sz w:val="24"/>
          <w:szCs w:val="24"/>
          <w:rtl/>
        </w:rPr>
        <w:t xml:space="preserve"> </w:t>
      </w:r>
      <w:r w:rsidRPr="008265DF">
        <w:rPr>
          <w:rFonts w:asciiTheme="majorBidi" w:hAnsiTheme="majorBidi" w:cstheme="majorBidi"/>
          <w:sz w:val="24"/>
          <w:szCs w:val="24"/>
          <w:rtl/>
        </w:rPr>
        <w:t>לדברי התוספות הרעיון לא שייך</w:t>
      </w:r>
      <w:r w:rsidR="008265DF" w:rsidRPr="008265DF">
        <w:rPr>
          <w:rStyle w:val="a6"/>
          <w:rFonts w:asciiTheme="majorBidi" w:hAnsiTheme="majorBidi" w:cstheme="majorBidi"/>
          <w:sz w:val="24"/>
          <w:szCs w:val="24"/>
          <w:rtl/>
        </w:rPr>
        <w:footnoteReference w:id="9"/>
      </w:r>
      <w:r w:rsidRPr="008265DF">
        <w:rPr>
          <w:rFonts w:asciiTheme="majorBidi" w:hAnsiTheme="majorBidi" w:cstheme="majorBidi"/>
          <w:sz w:val="24"/>
          <w:szCs w:val="24"/>
          <w:rtl/>
        </w:rPr>
        <w:t>.</w:t>
      </w:r>
    </w:p>
    <w:p w14:paraId="54F835D0" w14:textId="1978799E" w:rsidR="0045154B" w:rsidRPr="004B75FA" w:rsidRDefault="0045154B" w:rsidP="004B75FA">
      <w:pPr>
        <w:pStyle w:val="a3"/>
        <w:numPr>
          <w:ilvl w:val="0"/>
          <w:numId w:val="2"/>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כתב הפני יהושע: </w:t>
      </w:r>
      <w:r>
        <w:rPr>
          <w:rFonts w:asciiTheme="majorBidi" w:hAnsiTheme="majorBidi" w:cs="Times New Roman" w:hint="cs"/>
          <w:sz w:val="24"/>
          <w:szCs w:val="24"/>
          <w:rtl/>
        </w:rPr>
        <w:t xml:space="preserve"> </w:t>
      </w:r>
      <w:r w:rsidR="004B75FA">
        <w:rPr>
          <w:rFonts w:asciiTheme="majorBidi" w:hAnsiTheme="majorBidi" w:cs="Times New Roman" w:hint="cs"/>
          <w:sz w:val="24"/>
          <w:szCs w:val="24"/>
          <w:rtl/>
        </w:rPr>
        <w:t xml:space="preserve"> </w:t>
      </w:r>
      <w:r w:rsidRPr="004B75FA">
        <w:rPr>
          <w:rFonts w:ascii="David" w:hAnsi="David" w:cs="David"/>
          <w:sz w:val="24"/>
          <w:szCs w:val="24"/>
          <w:rtl/>
        </w:rPr>
        <w:t>"קשיא טובא</w:t>
      </w:r>
      <w:r w:rsidR="00480DFF">
        <w:rPr>
          <w:rFonts w:ascii="David" w:hAnsi="David" w:cs="David" w:hint="cs"/>
          <w:sz w:val="24"/>
          <w:szCs w:val="24"/>
          <w:rtl/>
        </w:rPr>
        <w:t>:</w:t>
      </w:r>
      <w:r w:rsidRPr="004B75FA">
        <w:rPr>
          <w:rFonts w:ascii="David" w:hAnsi="David" w:cs="David"/>
          <w:sz w:val="24"/>
          <w:szCs w:val="24"/>
          <w:rtl/>
        </w:rPr>
        <w:t xml:space="preserve"> הא בלא"ה על כרחך לענין מעילה </w:t>
      </w:r>
      <w:r w:rsidRPr="004B75FA">
        <w:rPr>
          <w:rFonts w:ascii="David" w:hAnsi="David" w:cs="David"/>
          <w:b/>
          <w:bCs/>
          <w:sz w:val="24"/>
          <w:szCs w:val="24"/>
          <w:rtl/>
        </w:rPr>
        <w:t>לאו מטעם שליחות אתינן עלה</w:t>
      </w:r>
      <w:r w:rsidR="00F11F6A" w:rsidRPr="004B75FA">
        <w:rPr>
          <w:rFonts w:ascii="David" w:hAnsi="David" w:cs="David" w:hint="cs"/>
          <w:b/>
          <w:bCs/>
          <w:sz w:val="24"/>
          <w:szCs w:val="24"/>
          <w:rtl/>
        </w:rPr>
        <w:t>,</w:t>
      </w:r>
      <w:r w:rsidRPr="004B75FA">
        <w:rPr>
          <w:rFonts w:ascii="David" w:hAnsi="David" w:cs="David"/>
          <w:sz w:val="24"/>
          <w:szCs w:val="24"/>
          <w:rtl/>
        </w:rPr>
        <w:t xml:space="preserve"> דהא אפילו שלחו ביד חרש שוטה וקטן אמרינן התם </w:t>
      </w:r>
      <w:r w:rsidRPr="004B75FA">
        <w:rPr>
          <w:rFonts w:ascii="David" w:hAnsi="David" w:cs="David"/>
          <w:sz w:val="18"/>
          <w:szCs w:val="18"/>
          <w:rtl/>
        </w:rPr>
        <w:t>[מעילה כ"א ע"א]</w:t>
      </w:r>
      <w:r w:rsidRPr="004B75FA">
        <w:rPr>
          <w:rFonts w:ascii="David" w:hAnsi="David" w:cs="David"/>
          <w:sz w:val="24"/>
          <w:szCs w:val="24"/>
          <w:rtl/>
        </w:rPr>
        <w:t xml:space="preserve"> דבעל הבית מעל</w:t>
      </w:r>
      <w:r w:rsidR="00F11F6A" w:rsidRPr="004B75FA">
        <w:rPr>
          <w:rFonts w:ascii="David" w:hAnsi="David" w:cs="David" w:hint="cs"/>
          <w:sz w:val="24"/>
          <w:szCs w:val="24"/>
          <w:rtl/>
        </w:rPr>
        <w:t>,</w:t>
      </w:r>
      <w:r w:rsidRPr="004B75FA">
        <w:rPr>
          <w:rFonts w:ascii="David" w:hAnsi="David" w:cs="David"/>
          <w:sz w:val="24"/>
          <w:szCs w:val="24"/>
          <w:rtl/>
        </w:rPr>
        <w:t xml:space="preserve"> אף על גב דלאו בני שליחות נינהו..</w:t>
      </w:r>
      <w:r w:rsidRPr="004B75FA">
        <w:rPr>
          <w:rFonts w:ascii="David" w:hAnsi="David" w:cs="David" w:hint="cs"/>
          <w:sz w:val="24"/>
          <w:szCs w:val="24"/>
          <w:rtl/>
        </w:rPr>
        <w:t xml:space="preserve"> </w:t>
      </w:r>
      <w:r w:rsidRPr="004B75FA">
        <w:rPr>
          <w:rFonts w:ascii="David" w:hAnsi="David" w:cs="David"/>
          <w:sz w:val="24"/>
          <w:szCs w:val="24"/>
          <w:rtl/>
        </w:rPr>
        <w:t xml:space="preserve">והנראה לענ"ד דהא דאמרינן דאין שליח לדבר עבירה משום דדברי הרב ודברי התלמיד כו' </w:t>
      </w:r>
      <w:r w:rsidRPr="004B75FA">
        <w:rPr>
          <w:rFonts w:ascii="David" w:hAnsi="David" w:cs="David"/>
          <w:b/>
          <w:bCs/>
          <w:sz w:val="24"/>
          <w:szCs w:val="24"/>
          <w:rtl/>
        </w:rPr>
        <w:t>לאו מסברא</w:t>
      </w:r>
      <w:r w:rsidRPr="004B75FA">
        <w:rPr>
          <w:rFonts w:ascii="David" w:hAnsi="David" w:cs="David"/>
          <w:sz w:val="24"/>
          <w:szCs w:val="24"/>
          <w:rtl/>
        </w:rPr>
        <w:t xml:space="preserve"> אמרינן הכי ומטעמא דסבור שלא ישמע..  </w:t>
      </w:r>
    </w:p>
    <w:p w14:paraId="6F423956" w14:textId="3DDE5BA5" w:rsidR="0045154B" w:rsidRDefault="0045154B" w:rsidP="0045154B">
      <w:pPr>
        <w:spacing w:after="0" w:line="360" w:lineRule="auto"/>
        <w:ind w:left="360"/>
        <w:rPr>
          <w:rFonts w:ascii="David" w:hAnsi="David" w:cs="David"/>
          <w:sz w:val="24"/>
          <w:szCs w:val="24"/>
          <w:rtl/>
        </w:rPr>
      </w:pPr>
      <w:r w:rsidRPr="0045154B">
        <w:rPr>
          <w:rFonts w:ascii="David" w:hAnsi="David" w:cs="David"/>
          <w:sz w:val="24"/>
          <w:szCs w:val="24"/>
          <w:rtl/>
        </w:rPr>
        <w:t xml:space="preserve">והו"ל האי מילתא דדברי הרב כמו פירכא על </w:t>
      </w:r>
      <w:r w:rsidR="00F11F6A">
        <w:rPr>
          <w:rFonts w:ascii="David" w:hAnsi="David" w:cs="David" w:hint="cs"/>
          <w:sz w:val="24"/>
          <w:szCs w:val="24"/>
          <w:rtl/>
        </w:rPr>
        <w:t>'</w:t>
      </w:r>
      <w:r w:rsidRPr="0045154B">
        <w:rPr>
          <w:rFonts w:ascii="David" w:hAnsi="David" w:cs="David"/>
          <w:sz w:val="24"/>
          <w:szCs w:val="24"/>
          <w:rtl/>
        </w:rPr>
        <w:t>מה הצד</w:t>
      </w:r>
      <w:r w:rsidR="00F11F6A">
        <w:rPr>
          <w:rFonts w:ascii="David" w:hAnsi="David" w:cs="David" w:hint="cs"/>
          <w:sz w:val="24"/>
          <w:szCs w:val="24"/>
          <w:rtl/>
        </w:rPr>
        <w:t>'</w:t>
      </w:r>
      <w:r w:rsidRPr="0045154B">
        <w:rPr>
          <w:rFonts w:ascii="David" w:hAnsi="David" w:cs="David"/>
          <w:sz w:val="24"/>
          <w:szCs w:val="24"/>
          <w:rtl/>
        </w:rPr>
        <w:t xml:space="preserve"> דילפינן מתרומה וגירושין. ולפי"ז הא דמקשה הש"ס ממעילת השליח, לאו לפטור הבעל הבית מהאי סברא דסבור שלא ישמע לו דהא שוגג הוא וסבר שישמע לו</w:t>
      </w:r>
      <w:r w:rsidR="00F11F6A">
        <w:rPr>
          <w:rFonts w:ascii="David" w:hAnsi="David" w:cs="David" w:hint="cs"/>
          <w:sz w:val="24"/>
          <w:szCs w:val="24"/>
          <w:rtl/>
        </w:rPr>
        <w:t>,</w:t>
      </w:r>
      <w:r w:rsidRPr="0045154B">
        <w:rPr>
          <w:rFonts w:ascii="David" w:hAnsi="David" w:cs="David"/>
          <w:sz w:val="24"/>
          <w:szCs w:val="24"/>
          <w:rtl/>
        </w:rPr>
        <w:t xml:space="preserve"> אלא הקושיא היא דכיון שאין שום דין שליחות בדבר עבירה, הו"ל השליח פיקח כאדם אחר העושה מעצמו</w:t>
      </w:r>
      <w:r w:rsidR="004B75FA">
        <w:rPr>
          <w:rFonts w:ascii="David" w:hAnsi="David" w:cs="David" w:hint="cs"/>
          <w:sz w:val="24"/>
          <w:szCs w:val="24"/>
          <w:rtl/>
        </w:rPr>
        <w:t>,</w:t>
      </w:r>
      <w:r w:rsidRPr="0045154B">
        <w:rPr>
          <w:rFonts w:ascii="David" w:hAnsi="David" w:cs="David"/>
          <w:sz w:val="24"/>
          <w:szCs w:val="24"/>
          <w:rtl/>
        </w:rPr>
        <w:t xml:space="preserve"> ויש לחייב </w:t>
      </w:r>
      <w:r w:rsidRPr="00480DFF">
        <w:rPr>
          <w:rFonts w:ascii="David" w:hAnsi="David" w:cs="David"/>
          <w:b/>
          <w:bCs/>
          <w:sz w:val="24"/>
          <w:szCs w:val="24"/>
          <w:rtl/>
        </w:rPr>
        <w:t xml:space="preserve">השליח </w:t>
      </w:r>
      <w:r w:rsidRPr="0045154B">
        <w:rPr>
          <w:rFonts w:ascii="David" w:hAnsi="David" w:cs="David"/>
          <w:sz w:val="24"/>
          <w:szCs w:val="24"/>
          <w:rtl/>
        </w:rPr>
        <w:t>ו</w:t>
      </w:r>
      <w:r w:rsidRPr="00F11F6A">
        <w:rPr>
          <w:rFonts w:ascii="David" w:hAnsi="David" w:cs="David"/>
          <w:b/>
          <w:bCs/>
          <w:sz w:val="24"/>
          <w:szCs w:val="24"/>
          <w:rtl/>
        </w:rPr>
        <w:t>ממילא</w:t>
      </w:r>
      <w:r w:rsidRPr="0045154B">
        <w:rPr>
          <w:rFonts w:ascii="David" w:hAnsi="David" w:cs="David"/>
          <w:sz w:val="24"/>
          <w:szCs w:val="24"/>
          <w:rtl/>
        </w:rPr>
        <w:t xml:space="preserve"> יפטר הבעל הבית</w:t>
      </w:r>
      <w:r w:rsidR="004B75FA">
        <w:rPr>
          <w:rFonts w:ascii="David" w:hAnsi="David" w:cs="David" w:hint="cs"/>
          <w:sz w:val="24"/>
          <w:szCs w:val="24"/>
          <w:rtl/>
        </w:rPr>
        <w:t>.</w:t>
      </w:r>
      <w:r w:rsidRPr="0045154B">
        <w:rPr>
          <w:rFonts w:ascii="David" w:hAnsi="David" w:cs="David"/>
          <w:sz w:val="24"/>
          <w:szCs w:val="24"/>
          <w:rtl/>
        </w:rPr>
        <w:t xml:space="preserve"> דאע"ג דמצינן במעילה </w:t>
      </w:r>
      <w:r w:rsidRPr="00F11F6A">
        <w:rPr>
          <w:rFonts w:ascii="David" w:hAnsi="David" w:cs="David"/>
          <w:sz w:val="18"/>
          <w:szCs w:val="18"/>
          <w:rtl/>
        </w:rPr>
        <w:t>[דף כ' ע"א]</w:t>
      </w:r>
      <w:r w:rsidRPr="0045154B">
        <w:rPr>
          <w:rFonts w:ascii="David" w:hAnsi="David" w:cs="David"/>
          <w:sz w:val="24"/>
          <w:szCs w:val="24"/>
          <w:rtl/>
        </w:rPr>
        <w:t xml:space="preserve"> דשניהם חייבין - היינו היכא שהוסיף השליח</w:t>
      </w:r>
      <w:r w:rsidR="00480DFF">
        <w:rPr>
          <w:rFonts w:ascii="David" w:hAnsi="David" w:cs="David" w:hint="cs"/>
          <w:sz w:val="24"/>
          <w:szCs w:val="24"/>
          <w:rtl/>
        </w:rPr>
        <w:t>,</w:t>
      </w:r>
      <w:r w:rsidRPr="0045154B">
        <w:rPr>
          <w:rFonts w:ascii="David" w:hAnsi="David" w:cs="David"/>
          <w:sz w:val="24"/>
          <w:szCs w:val="24"/>
          <w:rtl/>
        </w:rPr>
        <w:t xml:space="preserve"> אבל שני מעילות בענין אחד לא מצינן ויש לחייב השליח כיון שעשה מעשה".</w:t>
      </w:r>
    </w:p>
    <w:p w14:paraId="11B7D6B2" w14:textId="04300898" w:rsidR="00361D6C" w:rsidRPr="00361D6C" w:rsidRDefault="00361D6C" w:rsidP="00361D6C">
      <w:pPr>
        <w:pStyle w:val="a3"/>
        <w:numPr>
          <w:ilvl w:val="0"/>
          <w:numId w:val="2"/>
        </w:numPr>
        <w:spacing w:after="0" w:line="360" w:lineRule="auto"/>
        <w:rPr>
          <w:rFonts w:ascii="David" w:hAnsi="David" w:cs="David"/>
          <w:sz w:val="24"/>
          <w:szCs w:val="24"/>
        </w:rPr>
      </w:pPr>
      <w:r>
        <w:rPr>
          <w:rFonts w:asciiTheme="majorBidi" w:hAnsiTheme="majorBidi" w:cstheme="majorBidi" w:hint="cs"/>
          <w:sz w:val="24"/>
          <w:szCs w:val="24"/>
          <w:rtl/>
        </w:rPr>
        <w:t>הנודע ביהודה תוהה למה רבא מחדש שנהנה חייב גם לשיטת  שמאי הזקן. לשיטת התוספות היה יכול לדבר ל</w:t>
      </w:r>
      <w:r w:rsidR="00480DFF">
        <w:rPr>
          <w:rFonts w:asciiTheme="majorBidi" w:hAnsiTheme="majorBidi" w:cstheme="majorBidi" w:hint="cs"/>
          <w:sz w:val="24"/>
          <w:szCs w:val="24"/>
          <w:rtl/>
        </w:rPr>
        <w:t xml:space="preserve">פי </w:t>
      </w:r>
      <w:r>
        <w:rPr>
          <w:rFonts w:asciiTheme="majorBidi" w:hAnsiTheme="majorBidi" w:cstheme="majorBidi" w:hint="cs"/>
          <w:sz w:val="24"/>
          <w:szCs w:val="24"/>
          <w:rtl/>
        </w:rPr>
        <w:t xml:space="preserve">כל הדעות </w:t>
      </w:r>
      <w:r w:rsidR="004B75FA">
        <w:rPr>
          <w:rFonts w:asciiTheme="majorBidi" w:hAnsiTheme="majorBidi" w:cstheme="majorBidi" w:hint="cs"/>
          <w:sz w:val="24"/>
          <w:szCs w:val="24"/>
          <w:rtl/>
        </w:rPr>
        <w:t xml:space="preserve">ולחדש דין נהנה </w:t>
      </w:r>
      <w:r>
        <w:rPr>
          <w:rFonts w:asciiTheme="majorBidi" w:hAnsiTheme="majorBidi" w:cstheme="majorBidi" w:hint="cs"/>
          <w:sz w:val="24"/>
          <w:szCs w:val="24"/>
          <w:rtl/>
        </w:rPr>
        <w:t xml:space="preserve">על </w:t>
      </w:r>
      <w:r w:rsidR="00F11F6A">
        <w:rPr>
          <w:rFonts w:asciiTheme="majorBidi" w:hAnsiTheme="majorBidi" w:cstheme="majorBidi" w:hint="cs"/>
          <w:sz w:val="24"/>
          <w:szCs w:val="24"/>
          <w:rtl/>
        </w:rPr>
        <w:t xml:space="preserve">מקרה של </w:t>
      </w:r>
      <w:r>
        <w:rPr>
          <w:rFonts w:asciiTheme="majorBidi" w:hAnsiTheme="majorBidi" w:cstheme="majorBidi" w:hint="cs"/>
          <w:sz w:val="24"/>
          <w:szCs w:val="24"/>
          <w:rtl/>
        </w:rPr>
        <w:t>שוגג</w:t>
      </w:r>
      <w:r w:rsidR="00C3282D">
        <w:rPr>
          <w:rStyle w:val="a6"/>
          <w:rFonts w:asciiTheme="majorBidi" w:hAnsiTheme="majorBidi" w:cstheme="majorBidi"/>
          <w:sz w:val="24"/>
          <w:szCs w:val="24"/>
          <w:rtl/>
        </w:rPr>
        <w:footnoteReference w:id="10"/>
      </w:r>
      <w:r>
        <w:rPr>
          <w:rFonts w:asciiTheme="majorBidi" w:hAnsiTheme="majorBidi" w:cstheme="majorBidi" w:hint="cs"/>
          <w:sz w:val="24"/>
          <w:szCs w:val="24"/>
          <w:rtl/>
        </w:rPr>
        <w:t xml:space="preserve">: </w:t>
      </w:r>
      <w:r>
        <w:rPr>
          <w:rFonts w:ascii="David" w:hAnsi="David" w:cs="David" w:hint="cs"/>
          <w:sz w:val="24"/>
          <w:szCs w:val="24"/>
          <w:rtl/>
        </w:rPr>
        <w:t>"</w:t>
      </w:r>
      <w:r w:rsidRPr="00361D6C">
        <w:rPr>
          <w:rFonts w:ascii="David" w:hAnsi="David" w:cs="David"/>
          <w:sz w:val="24"/>
          <w:szCs w:val="24"/>
          <w:rtl/>
        </w:rPr>
        <w:t>אליבא דהלכתא באומר לחבירו אכול חלב זה והיו סבורין שהוא שומן</w:t>
      </w:r>
      <w:r>
        <w:rPr>
          <w:rFonts w:ascii="David" w:hAnsi="David" w:cs="David" w:hint="cs"/>
          <w:sz w:val="24"/>
          <w:szCs w:val="24"/>
          <w:rtl/>
        </w:rPr>
        <w:t>,</w:t>
      </w:r>
      <w:r w:rsidRPr="00361D6C">
        <w:rPr>
          <w:rFonts w:ascii="David" w:hAnsi="David" w:cs="David"/>
          <w:sz w:val="24"/>
          <w:szCs w:val="24"/>
          <w:rtl/>
        </w:rPr>
        <w:t xml:space="preserve"> דבזה לא שייך אין שליח לד"ע כיון דלא ידע שהוא עבירה ואכל</w:t>
      </w:r>
      <w:r>
        <w:rPr>
          <w:rFonts w:ascii="David" w:hAnsi="David" w:cs="David" w:hint="cs"/>
          <w:sz w:val="24"/>
          <w:szCs w:val="24"/>
          <w:rtl/>
        </w:rPr>
        <w:t>.</w:t>
      </w:r>
      <w:r w:rsidRPr="00361D6C">
        <w:rPr>
          <w:rFonts w:ascii="David" w:hAnsi="David" w:cs="David"/>
          <w:sz w:val="24"/>
          <w:szCs w:val="24"/>
          <w:rtl/>
        </w:rPr>
        <w:t xml:space="preserve"> שהאוכל חייב חטאת ושולחיו פטור שלא מצינו זה נהנה וזה מתחייב</w:t>
      </w:r>
      <w:r>
        <w:rPr>
          <w:rFonts w:ascii="David" w:hAnsi="David" w:cs="David" w:hint="cs"/>
          <w:sz w:val="24"/>
          <w:szCs w:val="24"/>
          <w:rtl/>
        </w:rPr>
        <w:t>..</w:t>
      </w:r>
      <w:r w:rsidRPr="00361D6C">
        <w:rPr>
          <w:rFonts w:ascii="David" w:hAnsi="David" w:cs="David"/>
          <w:sz w:val="24"/>
          <w:szCs w:val="24"/>
          <w:rtl/>
        </w:rPr>
        <w:t xml:space="preserve"> </w:t>
      </w:r>
      <w:r>
        <w:rPr>
          <w:rFonts w:asciiTheme="majorBidi" w:hAnsiTheme="majorBidi" w:cstheme="majorBidi" w:hint="cs"/>
          <w:sz w:val="18"/>
          <w:szCs w:val="18"/>
          <w:rtl/>
        </w:rPr>
        <w:t xml:space="preserve">אלא כנראה שגם שוגג פטור.  </w:t>
      </w:r>
      <w:r w:rsidRPr="00361D6C">
        <w:rPr>
          <w:rFonts w:ascii="David" w:hAnsi="David" w:cs="David"/>
          <w:sz w:val="24"/>
          <w:szCs w:val="24"/>
          <w:rtl/>
        </w:rPr>
        <w:t xml:space="preserve">עוד נ"ל ראיה ברורה שאין חילוק בין השליח </w:t>
      </w:r>
      <w:r w:rsidRPr="00361D6C">
        <w:rPr>
          <w:rFonts w:ascii="David" w:hAnsi="David" w:cs="David"/>
          <w:sz w:val="24"/>
          <w:szCs w:val="24"/>
          <w:rtl/>
        </w:rPr>
        <w:lastRenderedPageBreak/>
        <w:t>ידע שהיא עבירה ובין לא ידע</w:t>
      </w:r>
      <w:r w:rsidRPr="00361D6C">
        <w:rPr>
          <w:rFonts w:ascii="David" w:hAnsi="David" w:cs="David" w:hint="cs"/>
          <w:sz w:val="24"/>
          <w:szCs w:val="24"/>
          <w:rtl/>
        </w:rPr>
        <w:t>,</w:t>
      </w:r>
      <w:r w:rsidRPr="00361D6C">
        <w:rPr>
          <w:rFonts w:ascii="David" w:hAnsi="David" w:cs="David"/>
          <w:sz w:val="24"/>
          <w:szCs w:val="24"/>
          <w:rtl/>
        </w:rPr>
        <w:t xml:space="preserve"> שהרי</w:t>
      </w:r>
      <w:r w:rsidRPr="00361D6C">
        <w:rPr>
          <w:rFonts w:ascii="David" w:hAnsi="David" w:cs="David" w:hint="cs"/>
          <w:sz w:val="24"/>
          <w:szCs w:val="24"/>
          <w:rtl/>
        </w:rPr>
        <w:t>..</w:t>
      </w:r>
      <w:r w:rsidRPr="00361D6C">
        <w:rPr>
          <w:rFonts w:ascii="David" w:hAnsi="David" w:cs="David"/>
          <w:sz w:val="24"/>
          <w:szCs w:val="24"/>
          <w:rtl/>
        </w:rPr>
        <w:t xml:space="preserve"> ס"ל לשמאי הזקן דאומר לשלוחו צא והרוג הנפש ששולחיו חייב והיינו חייב מיתת ב"ד</w:t>
      </w:r>
      <w:r w:rsidRPr="00361D6C">
        <w:rPr>
          <w:rFonts w:ascii="David" w:hAnsi="David" w:cs="David" w:hint="cs"/>
          <w:sz w:val="24"/>
          <w:szCs w:val="24"/>
          <w:rtl/>
        </w:rPr>
        <w:t>..</w:t>
      </w:r>
      <w:r w:rsidRPr="00361D6C">
        <w:rPr>
          <w:rFonts w:ascii="David" w:hAnsi="David" w:cs="David"/>
          <w:sz w:val="24"/>
          <w:szCs w:val="24"/>
          <w:rtl/>
        </w:rPr>
        <w:t xml:space="preserve"> איך אפשר לדונו</w:t>
      </w:r>
      <w:r w:rsidRPr="00361D6C">
        <w:rPr>
          <w:rFonts w:ascii="David" w:hAnsi="David" w:cs="David" w:hint="cs"/>
          <w:sz w:val="24"/>
          <w:szCs w:val="24"/>
          <w:rtl/>
        </w:rPr>
        <w:t>?</w:t>
      </w:r>
      <w:r w:rsidRPr="00361D6C">
        <w:rPr>
          <w:rFonts w:ascii="David" w:hAnsi="David" w:cs="David"/>
          <w:sz w:val="24"/>
          <w:szCs w:val="24"/>
          <w:rtl/>
        </w:rPr>
        <w:t xml:space="preserve"> והא התראת ספק שמא לא ישמע לו השליח</w:t>
      </w:r>
      <w:r>
        <w:rPr>
          <w:rStyle w:val="a6"/>
          <w:rFonts w:ascii="David" w:hAnsi="David" w:cs="David"/>
          <w:sz w:val="24"/>
          <w:szCs w:val="24"/>
          <w:rtl/>
        </w:rPr>
        <w:footnoteReference w:id="11"/>
      </w:r>
      <w:r w:rsidRPr="00361D6C">
        <w:rPr>
          <w:rFonts w:ascii="David" w:hAnsi="David" w:cs="David" w:hint="cs"/>
          <w:sz w:val="24"/>
          <w:szCs w:val="24"/>
          <w:rtl/>
        </w:rPr>
        <w:t>"</w:t>
      </w:r>
    </w:p>
    <w:p w14:paraId="5DA706A8" w14:textId="64A8D839" w:rsidR="0061771A" w:rsidRPr="0061771A" w:rsidRDefault="0061771A" w:rsidP="0061771A">
      <w:pPr>
        <w:pStyle w:val="a3"/>
        <w:spacing w:after="0" w:line="360" w:lineRule="auto"/>
        <w:rPr>
          <w:rFonts w:asciiTheme="majorBidi" w:hAnsiTheme="majorBidi" w:cstheme="majorBidi"/>
          <w:sz w:val="24"/>
          <w:szCs w:val="24"/>
          <w:rtl/>
        </w:rPr>
      </w:pPr>
      <w:r w:rsidRPr="0061771A">
        <w:rPr>
          <w:rFonts w:asciiTheme="majorBidi" w:hAnsiTheme="majorBidi" w:cstheme="majorBidi"/>
          <w:sz w:val="24"/>
          <w:szCs w:val="24"/>
          <w:rtl/>
        </w:rPr>
        <w:t xml:space="preserve">את המשנה בבבא קמא ניתן לפרש אחרת מביאור התוספות. כבר רש"י התלבט בזה: </w:t>
      </w:r>
    </w:p>
    <w:p w14:paraId="79695A44" w14:textId="365B6E44" w:rsidR="0061771A" w:rsidRDefault="0061771A" w:rsidP="0061771A">
      <w:pPr>
        <w:pStyle w:val="a3"/>
        <w:spacing w:after="0" w:line="360" w:lineRule="auto"/>
        <w:rPr>
          <w:rFonts w:ascii="David" w:hAnsi="David" w:cs="David"/>
          <w:sz w:val="24"/>
          <w:szCs w:val="24"/>
          <w:rtl/>
        </w:rPr>
      </w:pPr>
      <w:r>
        <w:rPr>
          <w:rFonts w:ascii="David" w:hAnsi="David" w:cs="David" w:hint="cs"/>
          <w:sz w:val="24"/>
          <w:szCs w:val="24"/>
          <w:rtl/>
        </w:rPr>
        <w:t>"</w:t>
      </w:r>
      <w:r w:rsidRPr="0061771A">
        <w:rPr>
          <w:rFonts w:ascii="David" w:hAnsi="David" w:cs="David"/>
          <w:sz w:val="24"/>
          <w:szCs w:val="24"/>
          <w:rtl/>
        </w:rPr>
        <w:t xml:space="preserve">נתנו - </w:t>
      </w:r>
      <w:r w:rsidRPr="0061771A">
        <w:rPr>
          <w:rFonts w:ascii="David" w:hAnsi="David" w:cs="David"/>
          <w:b/>
          <w:bCs/>
          <w:sz w:val="24"/>
          <w:szCs w:val="24"/>
          <w:rtl/>
        </w:rPr>
        <w:t xml:space="preserve">בעליו </w:t>
      </w:r>
      <w:r w:rsidRPr="0061771A">
        <w:rPr>
          <w:rFonts w:ascii="David" w:hAnsi="David" w:cs="David"/>
          <w:sz w:val="24"/>
          <w:szCs w:val="24"/>
          <w:rtl/>
        </w:rPr>
        <w:t xml:space="preserve">לבכורות בנו לכהן בה' סלעים של פדיון הבן </w:t>
      </w:r>
      <w:r w:rsidRPr="004B75FA">
        <w:rPr>
          <w:rFonts w:ascii="David" w:hAnsi="David" w:cs="David"/>
          <w:b/>
          <w:bCs/>
          <w:sz w:val="24"/>
          <w:szCs w:val="24"/>
          <w:rtl/>
        </w:rPr>
        <w:t>ל"א</w:t>
      </w:r>
      <w:r w:rsidRPr="0061771A">
        <w:rPr>
          <w:rFonts w:ascii="David" w:hAnsi="David" w:cs="David"/>
          <w:sz w:val="24"/>
          <w:szCs w:val="24"/>
          <w:rtl/>
        </w:rPr>
        <w:t xml:space="preserve"> נתנו גנב לבכורות בנו ונתנו לו שם במקום שגנבו לשומר חנם ולשואל.</w:t>
      </w:r>
      <w:r>
        <w:rPr>
          <w:rFonts w:ascii="David" w:hAnsi="David" w:cs="David" w:hint="cs"/>
          <w:sz w:val="24"/>
          <w:szCs w:val="24"/>
          <w:rtl/>
        </w:rPr>
        <w:t xml:space="preserve"> </w:t>
      </w:r>
      <w:r w:rsidRPr="0061771A">
        <w:rPr>
          <w:rFonts w:ascii="David" w:hAnsi="David" w:cs="David"/>
          <w:sz w:val="24"/>
          <w:szCs w:val="24"/>
          <w:rtl/>
        </w:rPr>
        <w:t>היה מושכו - הכהן או בעל חוב או השומר ומת ברשות בעלים.</w:t>
      </w:r>
      <w:r>
        <w:rPr>
          <w:rFonts w:ascii="David" w:hAnsi="David" w:cs="David" w:hint="cs"/>
          <w:sz w:val="24"/>
          <w:szCs w:val="24"/>
          <w:rtl/>
        </w:rPr>
        <w:t xml:space="preserve">  </w:t>
      </w:r>
      <w:r w:rsidRPr="0061771A">
        <w:rPr>
          <w:rFonts w:ascii="David" w:hAnsi="David" w:cs="David"/>
          <w:sz w:val="24"/>
          <w:szCs w:val="24"/>
          <w:rtl/>
        </w:rPr>
        <w:t xml:space="preserve">פטור - הגנב מכלום </w:t>
      </w:r>
      <w:r w:rsidRPr="0061771A">
        <w:rPr>
          <w:rFonts w:ascii="David" w:hAnsi="David" w:cs="David"/>
          <w:b/>
          <w:bCs/>
          <w:sz w:val="24"/>
          <w:szCs w:val="24"/>
          <w:rtl/>
        </w:rPr>
        <w:t>ולשון אחרינא עיקר</w:t>
      </w:r>
      <w:r>
        <w:rPr>
          <w:rFonts w:ascii="David" w:hAnsi="David" w:cs="David" w:hint="cs"/>
          <w:b/>
          <w:bCs/>
          <w:sz w:val="24"/>
          <w:szCs w:val="24"/>
          <w:rtl/>
        </w:rPr>
        <w:t>:</w:t>
      </w:r>
      <w:r w:rsidRPr="0061771A">
        <w:rPr>
          <w:rFonts w:ascii="David" w:hAnsi="David" w:cs="David"/>
          <w:sz w:val="24"/>
          <w:szCs w:val="24"/>
          <w:rtl/>
        </w:rPr>
        <w:t xml:space="preserve"> האי חייב</w:t>
      </w:r>
      <w:r>
        <w:rPr>
          <w:rFonts w:ascii="David" w:hAnsi="David" w:cs="David" w:hint="cs"/>
          <w:sz w:val="24"/>
          <w:szCs w:val="24"/>
          <w:rtl/>
        </w:rPr>
        <w:t>-</w:t>
      </w:r>
      <w:r w:rsidRPr="0061771A">
        <w:rPr>
          <w:rFonts w:ascii="David" w:hAnsi="David" w:cs="David"/>
          <w:sz w:val="24"/>
          <w:szCs w:val="24"/>
          <w:rtl/>
        </w:rPr>
        <w:t xml:space="preserve"> אגנב קאי</w:t>
      </w:r>
      <w:r>
        <w:rPr>
          <w:rFonts w:ascii="David" w:hAnsi="David" w:cs="David" w:hint="cs"/>
          <w:sz w:val="24"/>
          <w:szCs w:val="24"/>
          <w:rtl/>
        </w:rPr>
        <w:t>,</w:t>
      </w:r>
      <w:r w:rsidRPr="0061771A">
        <w:rPr>
          <w:rFonts w:ascii="David" w:hAnsi="David" w:cs="David"/>
          <w:sz w:val="24"/>
          <w:szCs w:val="24"/>
          <w:rtl/>
        </w:rPr>
        <w:t xml:space="preserve"> דמחייב גנב בקנין שלוחיו</w:t>
      </w:r>
      <w:r>
        <w:rPr>
          <w:rFonts w:ascii="David" w:hAnsi="David" w:cs="David" w:hint="cs"/>
          <w:sz w:val="24"/>
          <w:szCs w:val="24"/>
          <w:rtl/>
        </w:rPr>
        <w:t>.</w:t>
      </w:r>
      <w:r w:rsidRPr="0061771A">
        <w:rPr>
          <w:rFonts w:ascii="David" w:hAnsi="David" w:cs="David"/>
          <w:sz w:val="24"/>
          <w:szCs w:val="24"/>
          <w:rtl/>
        </w:rPr>
        <w:t xml:space="preserve"> דאי בנותנו בעליו מאי חייב</w:t>
      </w:r>
      <w:r>
        <w:rPr>
          <w:rFonts w:ascii="David" w:hAnsi="David" w:cs="David" w:hint="cs"/>
          <w:sz w:val="24"/>
          <w:szCs w:val="24"/>
          <w:rtl/>
        </w:rPr>
        <w:t xml:space="preserve">?.. </w:t>
      </w:r>
      <w:r w:rsidRPr="0061771A">
        <w:rPr>
          <w:rFonts w:ascii="David" w:hAnsi="David" w:cs="David"/>
          <w:sz w:val="24"/>
          <w:szCs w:val="24"/>
          <w:rtl/>
        </w:rPr>
        <w:t>שאר שומרים מי חייבי במתה כדרכה</w:t>
      </w:r>
      <w:r>
        <w:rPr>
          <w:rFonts w:ascii="David" w:hAnsi="David" w:cs="David" w:hint="cs"/>
          <w:sz w:val="24"/>
          <w:szCs w:val="24"/>
          <w:rtl/>
        </w:rPr>
        <w:t>?</w:t>
      </w:r>
      <w:r w:rsidRPr="0061771A">
        <w:rPr>
          <w:rFonts w:ascii="David" w:hAnsi="David" w:cs="David"/>
          <w:sz w:val="24"/>
          <w:szCs w:val="24"/>
          <w:rtl/>
        </w:rPr>
        <w:t xml:space="preserve"> ועוד לגבי כהן ובעל חוב מאי חייב ופטור איכא</w:t>
      </w:r>
      <w:r>
        <w:rPr>
          <w:rFonts w:ascii="David" w:hAnsi="David" w:cs="David" w:hint="cs"/>
          <w:sz w:val="24"/>
          <w:szCs w:val="24"/>
          <w:rtl/>
        </w:rPr>
        <w:t>?</w:t>
      </w:r>
      <w:r w:rsidRPr="0061771A">
        <w:rPr>
          <w:rFonts w:ascii="David" w:hAnsi="David" w:cs="David"/>
          <w:sz w:val="24"/>
          <w:szCs w:val="24"/>
          <w:rtl/>
        </w:rPr>
        <w:t xml:space="preserve"> </w:t>
      </w:r>
      <w:r>
        <w:rPr>
          <w:rFonts w:ascii="David" w:hAnsi="David" w:cs="David" w:hint="cs"/>
          <w:sz w:val="24"/>
          <w:szCs w:val="24"/>
          <w:rtl/>
        </w:rPr>
        <w:t>'</w:t>
      </w:r>
      <w:r w:rsidRPr="0061771A">
        <w:rPr>
          <w:rFonts w:ascii="David" w:hAnsi="David" w:cs="David"/>
          <w:sz w:val="24"/>
          <w:szCs w:val="24"/>
          <w:rtl/>
        </w:rPr>
        <w:t>הפסיד ולא הפסיד</w:t>
      </w:r>
      <w:r>
        <w:rPr>
          <w:rFonts w:ascii="David" w:hAnsi="David" w:cs="David" w:hint="cs"/>
          <w:sz w:val="24"/>
          <w:szCs w:val="24"/>
          <w:rtl/>
        </w:rPr>
        <w:t>'</w:t>
      </w:r>
      <w:r w:rsidRPr="0061771A">
        <w:rPr>
          <w:rFonts w:ascii="David" w:hAnsi="David" w:cs="David"/>
          <w:sz w:val="24"/>
          <w:szCs w:val="24"/>
          <w:rtl/>
        </w:rPr>
        <w:t xml:space="preserve"> מבעי ליה</w:t>
      </w:r>
      <w:r>
        <w:rPr>
          <w:rStyle w:val="a6"/>
          <w:rFonts w:ascii="David" w:hAnsi="David" w:cs="David"/>
          <w:sz w:val="24"/>
          <w:szCs w:val="24"/>
          <w:rtl/>
        </w:rPr>
        <w:footnoteReference w:id="12"/>
      </w:r>
      <w:r>
        <w:rPr>
          <w:rFonts w:ascii="David" w:hAnsi="David" w:cs="David" w:hint="cs"/>
          <w:sz w:val="24"/>
          <w:szCs w:val="24"/>
          <w:rtl/>
        </w:rPr>
        <w:t>"</w:t>
      </w:r>
      <w:r w:rsidRPr="0061771A">
        <w:rPr>
          <w:rFonts w:ascii="David" w:hAnsi="David" w:cs="David"/>
          <w:sz w:val="24"/>
          <w:szCs w:val="24"/>
          <w:rtl/>
        </w:rPr>
        <w:t>.</w:t>
      </w:r>
    </w:p>
    <w:p w14:paraId="4B4D783E" w14:textId="75E3A1E9" w:rsidR="00B75104" w:rsidRPr="00B75104" w:rsidRDefault="00B75104" w:rsidP="0061771A">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את הפירוש השני ניתן לשכלל, בהבנה שהשומר מודע לכך שהרכוש אינו של השולח, ולפיכך הוא באמת חייב כגנב. כך נראה בדברי הרמב"ם: </w:t>
      </w:r>
    </w:p>
    <w:p w14:paraId="4011F878" w14:textId="5B71A692" w:rsidR="00B75104" w:rsidRPr="00B75104" w:rsidRDefault="00B75104" w:rsidP="00B75104">
      <w:pPr>
        <w:pStyle w:val="a3"/>
        <w:spacing w:after="0" w:line="360" w:lineRule="auto"/>
        <w:rPr>
          <w:rFonts w:ascii="David" w:hAnsi="David" w:cs="David"/>
          <w:sz w:val="24"/>
          <w:szCs w:val="24"/>
          <w:rtl/>
        </w:rPr>
      </w:pPr>
      <w:r>
        <w:rPr>
          <w:rFonts w:ascii="David" w:hAnsi="David" w:cs="David" w:hint="cs"/>
          <w:sz w:val="24"/>
          <w:szCs w:val="24"/>
          <w:rtl/>
        </w:rPr>
        <w:t>"</w:t>
      </w:r>
      <w:r w:rsidRPr="00B75104">
        <w:rPr>
          <w:rFonts w:ascii="David" w:hAnsi="David" w:cs="David"/>
          <w:sz w:val="24"/>
          <w:szCs w:val="24"/>
          <w:rtl/>
        </w:rPr>
        <w:t>הגביהו או שהוציאו מרשות הבעלים ומת</w:t>
      </w:r>
      <w:r w:rsidR="004B75FA">
        <w:rPr>
          <w:rFonts w:ascii="David" w:hAnsi="David" w:cs="David" w:hint="cs"/>
          <w:sz w:val="24"/>
          <w:szCs w:val="24"/>
          <w:rtl/>
        </w:rPr>
        <w:t>,</w:t>
      </w:r>
      <w:r w:rsidRPr="00B75104">
        <w:rPr>
          <w:rFonts w:ascii="David" w:hAnsi="David" w:cs="David"/>
          <w:sz w:val="24"/>
          <w:szCs w:val="24"/>
          <w:rtl/>
        </w:rPr>
        <w:t xml:space="preserve"> חייב השומר או בעל החוב שניתן לו</w:t>
      </w:r>
      <w:r>
        <w:rPr>
          <w:rFonts w:ascii="David" w:hAnsi="David" w:cs="David" w:hint="cs"/>
          <w:sz w:val="24"/>
          <w:szCs w:val="24"/>
          <w:rtl/>
        </w:rPr>
        <w:t>,</w:t>
      </w:r>
      <w:r w:rsidRPr="00B75104">
        <w:rPr>
          <w:rFonts w:ascii="David" w:hAnsi="David" w:cs="David"/>
          <w:sz w:val="24"/>
          <w:szCs w:val="24"/>
          <w:rtl/>
        </w:rPr>
        <w:t xml:space="preserve"> מפני שעדיין לא הוציאו הגנב מרשות בעליו</w:t>
      </w:r>
      <w:r>
        <w:rPr>
          <w:rStyle w:val="a6"/>
          <w:rFonts w:ascii="David" w:hAnsi="David" w:cs="David"/>
          <w:sz w:val="24"/>
          <w:szCs w:val="24"/>
          <w:rtl/>
        </w:rPr>
        <w:footnoteReference w:id="13"/>
      </w:r>
      <w:r>
        <w:rPr>
          <w:rFonts w:ascii="David" w:hAnsi="David" w:cs="David" w:hint="cs"/>
          <w:sz w:val="24"/>
          <w:szCs w:val="24"/>
          <w:rtl/>
        </w:rPr>
        <w:t>"</w:t>
      </w:r>
      <w:r w:rsidRPr="00B75104">
        <w:rPr>
          <w:rFonts w:ascii="David" w:hAnsi="David" w:cs="David"/>
          <w:sz w:val="24"/>
          <w:szCs w:val="24"/>
          <w:rtl/>
        </w:rPr>
        <w:t>.</w:t>
      </w:r>
      <w:r w:rsidRPr="00B75104">
        <w:rPr>
          <w:rtl/>
        </w:rPr>
        <w:t xml:space="preserve"> </w:t>
      </w:r>
    </w:p>
    <w:p w14:paraId="093C819B" w14:textId="40CB8038" w:rsidR="00B75104" w:rsidRDefault="00B75104" w:rsidP="00B75104">
      <w:pPr>
        <w:pStyle w:val="a3"/>
        <w:spacing w:after="0" w:line="360" w:lineRule="auto"/>
        <w:rPr>
          <w:rFonts w:ascii="David" w:hAnsi="David" w:cs="David"/>
          <w:sz w:val="24"/>
          <w:szCs w:val="24"/>
          <w:rtl/>
        </w:rPr>
      </w:pPr>
      <w:r>
        <w:rPr>
          <w:rFonts w:ascii="David" w:hAnsi="David" w:cs="David" w:hint="cs"/>
          <w:sz w:val="24"/>
          <w:szCs w:val="24"/>
          <w:rtl/>
        </w:rPr>
        <w:t>"</w:t>
      </w:r>
      <w:r w:rsidRPr="00B75104">
        <w:rPr>
          <w:rFonts w:ascii="David" w:hAnsi="David" w:cs="David"/>
          <w:sz w:val="24"/>
          <w:szCs w:val="24"/>
          <w:rtl/>
        </w:rPr>
        <w:t>כשידעו השומר או הבעל חוב שהוא גנבו</w:t>
      </w:r>
      <w:r>
        <w:rPr>
          <w:rFonts w:ascii="David" w:hAnsi="David" w:cs="David" w:hint="cs"/>
          <w:sz w:val="24"/>
          <w:szCs w:val="24"/>
          <w:rtl/>
        </w:rPr>
        <w:t>.</w:t>
      </w:r>
      <w:r w:rsidRPr="00B75104">
        <w:rPr>
          <w:rFonts w:ascii="David" w:hAnsi="David" w:cs="David"/>
          <w:sz w:val="24"/>
          <w:szCs w:val="24"/>
          <w:rtl/>
        </w:rPr>
        <w:t xml:space="preserve"> ואף על פי שהגונב מאחר הגנב פטור מכפל</w:t>
      </w:r>
      <w:r>
        <w:rPr>
          <w:rFonts w:ascii="David" w:hAnsi="David" w:cs="David" w:hint="cs"/>
          <w:sz w:val="24"/>
          <w:szCs w:val="24"/>
          <w:rtl/>
        </w:rPr>
        <w:t xml:space="preserve">.. </w:t>
      </w:r>
      <w:r w:rsidRPr="00B75104">
        <w:rPr>
          <w:rFonts w:ascii="David" w:hAnsi="David" w:cs="David"/>
          <w:sz w:val="24"/>
          <w:szCs w:val="24"/>
          <w:rtl/>
        </w:rPr>
        <w:t>כיון שהגנב לא קנהו עדיין</w:t>
      </w:r>
      <w:r>
        <w:rPr>
          <w:rFonts w:ascii="David" w:hAnsi="David" w:cs="David" w:hint="cs"/>
          <w:sz w:val="24"/>
          <w:szCs w:val="24"/>
          <w:rtl/>
        </w:rPr>
        <w:t xml:space="preserve">- </w:t>
      </w:r>
      <w:r w:rsidRPr="00B75104">
        <w:rPr>
          <w:rFonts w:ascii="David" w:hAnsi="David" w:cs="David"/>
          <w:sz w:val="24"/>
          <w:szCs w:val="24"/>
          <w:rtl/>
        </w:rPr>
        <w:t>הרי אלו כגונבין מרשות הבעלים</w:t>
      </w:r>
      <w:r>
        <w:rPr>
          <w:rStyle w:val="a6"/>
          <w:rFonts w:ascii="David" w:hAnsi="David" w:cs="David"/>
          <w:sz w:val="24"/>
          <w:szCs w:val="24"/>
          <w:rtl/>
        </w:rPr>
        <w:footnoteReference w:id="14"/>
      </w:r>
      <w:r>
        <w:rPr>
          <w:rFonts w:ascii="David" w:hAnsi="David" w:cs="David" w:hint="cs"/>
          <w:sz w:val="24"/>
          <w:szCs w:val="24"/>
          <w:rtl/>
        </w:rPr>
        <w:t>".</w:t>
      </w:r>
    </w:p>
    <w:p w14:paraId="60D2F60C" w14:textId="7EF8A412" w:rsidR="00D17306" w:rsidRPr="002C4E94" w:rsidRDefault="001306C3" w:rsidP="00D1730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D17306">
        <w:rPr>
          <w:rFonts w:asciiTheme="majorBidi" w:hAnsiTheme="majorBidi" w:cstheme="majorBidi" w:hint="cs"/>
          <w:b/>
          <w:bCs/>
          <w:sz w:val="24"/>
          <w:szCs w:val="24"/>
          <w:rtl/>
        </w:rPr>
        <w:t>האם גם ה</w:t>
      </w:r>
      <w:r>
        <w:rPr>
          <w:rFonts w:asciiTheme="majorBidi" w:hAnsiTheme="majorBidi" w:cstheme="majorBidi" w:hint="cs"/>
          <w:b/>
          <w:bCs/>
          <w:sz w:val="24"/>
          <w:szCs w:val="24"/>
          <w:rtl/>
        </w:rPr>
        <w:t xml:space="preserve">שליח </w:t>
      </w:r>
      <w:r w:rsidR="00D17306">
        <w:rPr>
          <w:rFonts w:asciiTheme="majorBidi" w:hAnsiTheme="majorBidi" w:cstheme="majorBidi" w:hint="cs"/>
          <w:b/>
          <w:bCs/>
          <w:sz w:val="24"/>
          <w:szCs w:val="24"/>
          <w:rtl/>
        </w:rPr>
        <w:t xml:space="preserve"> חייב </w:t>
      </w:r>
      <w:r w:rsidR="00D17306">
        <w:rPr>
          <w:rFonts w:asciiTheme="majorBidi" w:hAnsiTheme="majorBidi" w:cstheme="majorBidi"/>
          <w:b/>
          <w:bCs/>
          <w:sz w:val="24"/>
          <w:szCs w:val="24"/>
          <w:rtl/>
        </w:rPr>
        <w:t>–</w:t>
      </w:r>
      <w:r w:rsidR="00D17306">
        <w:rPr>
          <w:rFonts w:asciiTheme="majorBidi" w:hAnsiTheme="majorBidi" w:cstheme="majorBidi" w:hint="cs"/>
          <w:b/>
          <w:bCs/>
          <w:sz w:val="24"/>
          <w:szCs w:val="24"/>
          <w:rtl/>
        </w:rPr>
        <w:t xml:space="preserve"> שיטת הסמ"ע</w:t>
      </w:r>
    </w:p>
    <w:p w14:paraId="1DF31181" w14:textId="44A5B1DE" w:rsidR="002C4E94" w:rsidRPr="00D17306" w:rsidRDefault="000003C6" w:rsidP="00D17306">
      <w:pPr>
        <w:pStyle w:val="a3"/>
        <w:numPr>
          <w:ilvl w:val="0"/>
          <w:numId w:val="4"/>
        </w:numPr>
        <w:spacing w:after="0" w:line="360" w:lineRule="auto"/>
        <w:rPr>
          <w:rFonts w:asciiTheme="majorBidi" w:hAnsiTheme="majorBidi" w:cstheme="majorBidi"/>
          <w:b/>
          <w:bCs/>
          <w:sz w:val="24"/>
          <w:szCs w:val="24"/>
          <w:rtl/>
        </w:rPr>
      </w:pPr>
      <w:r w:rsidRPr="00D17306">
        <w:rPr>
          <w:rFonts w:asciiTheme="majorBidi" w:hAnsiTheme="majorBidi" w:cstheme="majorBidi" w:hint="cs"/>
          <w:sz w:val="24"/>
          <w:szCs w:val="24"/>
          <w:rtl/>
        </w:rPr>
        <w:t xml:space="preserve">הגמרא שאלה על חיוב השולח את הבערה ביד פיקח, מדוע לא נאמר שלוחו של אדם כמותו. לו היינו אומרים כן, מה הייתה ההשלכה? </w:t>
      </w:r>
      <w:r w:rsidR="005554EB" w:rsidRPr="00D17306">
        <w:rPr>
          <w:rFonts w:asciiTheme="majorBidi" w:hAnsiTheme="majorBidi" w:cstheme="majorBidi" w:hint="cs"/>
          <w:sz w:val="24"/>
          <w:szCs w:val="24"/>
          <w:rtl/>
        </w:rPr>
        <w:t xml:space="preserve">רש"י כותב: </w:t>
      </w:r>
      <w:r w:rsidR="005554EB" w:rsidRPr="00D17306">
        <w:rPr>
          <w:rFonts w:ascii="David" w:hAnsi="David" w:cs="David" w:hint="cs"/>
          <w:sz w:val="24"/>
          <w:szCs w:val="24"/>
          <w:rtl/>
        </w:rPr>
        <w:t>"יתחייב שולחו ולא השליח</w:t>
      </w:r>
      <w:r w:rsidR="005554EB">
        <w:rPr>
          <w:rStyle w:val="a6"/>
          <w:rFonts w:ascii="David" w:hAnsi="David" w:cs="David"/>
          <w:sz w:val="24"/>
          <w:szCs w:val="24"/>
          <w:rtl/>
        </w:rPr>
        <w:footnoteReference w:id="15"/>
      </w:r>
      <w:r w:rsidR="005554EB" w:rsidRPr="00D17306">
        <w:rPr>
          <w:rFonts w:ascii="David" w:hAnsi="David" w:cs="David" w:hint="cs"/>
          <w:sz w:val="24"/>
          <w:szCs w:val="24"/>
          <w:rtl/>
        </w:rPr>
        <w:t xml:space="preserve">". </w:t>
      </w:r>
      <w:r w:rsidR="008B3111" w:rsidRPr="00D17306">
        <w:rPr>
          <w:rFonts w:asciiTheme="majorBidi" w:hAnsiTheme="majorBidi" w:cstheme="majorBidi" w:hint="cs"/>
          <w:sz w:val="24"/>
          <w:szCs w:val="24"/>
          <w:rtl/>
        </w:rPr>
        <w:t xml:space="preserve">אולם בתוספות רי"ד </w:t>
      </w:r>
      <w:r w:rsidR="004B75FA" w:rsidRPr="004B75FA">
        <w:rPr>
          <w:rFonts w:asciiTheme="majorBidi" w:hAnsiTheme="majorBidi" w:cstheme="majorBidi"/>
          <w:sz w:val="24"/>
          <w:szCs w:val="24"/>
          <w:rtl/>
        </w:rPr>
        <w:t>ביאר:</w:t>
      </w:r>
      <w:r w:rsidR="004B75FA">
        <w:rPr>
          <w:rFonts w:ascii="David" w:hAnsi="David" w:cs="David" w:hint="cs"/>
          <w:sz w:val="24"/>
          <w:szCs w:val="24"/>
          <w:rtl/>
        </w:rPr>
        <w:t xml:space="preserve"> </w:t>
      </w:r>
      <w:r w:rsidR="005554EB" w:rsidRPr="00D17306">
        <w:rPr>
          <w:rFonts w:ascii="David" w:hAnsi="David" w:cs="David" w:hint="cs"/>
          <w:sz w:val="24"/>
          <w:szCs w:val="24"/>
          <w:rtl/>
        </w:rPr>
        <w:t>"אע"ג דשליח לא מצי לאיפטורי כיוון דהוא פיקח, נפקא מינא דאי ליכא לאשתלומי</w:t>
      </w:r>
      <w:r w:rsidR="00847015" w:rsidRPr="00D17306">
        <w:rPr>
          <w:rFonts w:ascii="David" w:hAnsi="David" w:cs="David" w:hint="cs"/>
          <w:sz w:val="24"/>
          <w:szCs w:val="24"/>
          <w:rtl/>
        </w:rPr>
        <w:t xml:space="preserve"> </w:t>
      </w:r>
      <w:r w:rsidR="005554EB" w:rsidRPr="00D17306">
        <w:rPr>
          <w:rFonts w:ascii="David" w:hAnsi="David" w:cs="David" w:hint="cs"/>
          <w:sz w:val="24"/>
          <w:szCs w:val="24"/>
          <w:rtl/>
        </w:rPr>
        <w:t>מיניה</w:t>
      </w:r>
      <w:r w:rsidR="00847015" w:rsidRPr="00D17306">
        <w:rPr>
          <w:rFonts w:ascii="David" w:hAnsi="David" w:cs="David" w:hint="cs"/>
          <w:sz w:val="24"/>
          <w:szCs w:val="24"/>
          <w:rtl/>
        </w:rPr>
        <w:t>,</w:t>
      </w:r>
      <w:r w:rsidR="005554EB" w:rsidRPr="00D17306">
        <w:rPr>
          <w:rFonts w:ascii="David" w:hAnsi="David" w:cs="David" w:hint="cs"/>
          <w:sz w:val="24"/>
          <w:szCs w:val="24"/>
          <w:rtl/>
        </w:rPr>
        <w:t xml:space="preserve"> מפרע מן המשלח".</w:t>
      </w:r>
      <w:r w:rsidR="00847015" w:rsidRPr="00D17306">
        <w:rPr>
          <w:rFonts w:ascii="David" w:hAnsi="David" w:cs="David" w:hint="cs"/>
          <w:sz w:val="24"/>
          <w:szCs w:val="24"/>
          <w:rtl/>
        </w:rPr>
        <w:t xml:space="preserve"> </w:t>
      </w:r>
      <w:r w:rsidR="00847015" w:rsidRPr="00D17306">
        <w:rPr>
          <w:rFonts w:asciiTheme="majorBidi" w:hAnsiTheme="majorBidi" w:cstheme="majorBidi" w:hint="cs"/>
          <w:sz w:val="24"/>
          <w:szCs w:val="24"/>
          <w:rtl/>
        </w:rPr>
        <w:t xml:space="preserve">יוצא שלפי שמאי לפרשנות אחת, ובשליחות יד למשל, תהיה מחלוקת אם לחייב את השליח.  </w:t>
      </w:r>
      <w:r w:rsidR="00272B23" w:rsidRPr="00D17306">
        <w:rPr>
          <w:rFonts w:asciiTheme="majorBidi" w:hAnsiTheme="majorBidi" w:cstheme="majorBidi" w:hint="cs"/>
          <w:sz w:val="24"/>
          <w:szCs w:val="24"/>
          <w:rtl/>
        </w:rPr>
        <w:t>אמנם, יתכן שכל זה לפי ההווא אמינא, ולמסקנה שאין שליח לדבר עבירה, מודה רש"י שיש לחייב את השליח</w:t>
      </w:r>
      <w:r w:rsidR="00272B23">
        <w:rPr>
          <w:rStyle w:val="a6"/>
          <w:rFonts w:asciiTheme="majorBidi" w:hAnsiTheme="majorBidi" w:cstheme="majorBidi"/>
          <w:sz w:val="24"/>
          <w:szCs w:val="24"/>
          <w:rtl/>
        </w:rPr>
        <w:footnoteReference w:id="16"/>
      </w:r>
      <w:r w:rsidR="00272B23" w:rsidRPr="00D17306">
        <w:rPr>
          <w:rFonts w:asciiTheme="majorBidi" w:hAnsiTheme="majorBidi" w:cstheme="majorBidi" w:hint="cs"/>
          <w:sz w:val="24"/>
          <w:szCs w:val="24"/>
          <w:rtl/>
        </w:rPr>
        <w:t>.</w:t>
      </w:r>
      <w:r w:rsidR="000A214C" w:rsidRPr="00D17306">
        <w:rPr>
          <w:rFonts w:asciiTheme="majorBidi" w:hAnsiTheme="majorBidi" w:cstheme="majorBidi" w:hint="cs"/>
          <w:sz w:val="24"/>
          <w:szCs w:val="24"/>
          <w:rtl/>
        </w:rPr>
        <w:t xml:space="preserve"> </w:t>
      </w:r>
    </w:p>
    <w:p w14:paraId="60C5BC6F" w14:textId="6EC486D6" w:rsidR="000003C6" w:rsidRPr="002C4E94" w:rsidRDefault="000A214C" w:rsidP="002C4E94">
      <w:pPr>
        <w:pStyle w:val="a3"/>
        <w:numPr>
          <w:ilvl w:val="0"/>
          <w:numId w:val="4"/>
        </w:numPr>
        <w:spacing w:after="0" w:line="360" w:lineRule="auto"/>
        <w:rPr>
          <w:rFonts w:ascii="David" w:hAnsi="David" w:cs="David"/>
          <w:sz w:val="24"/>
          <w:szCs w:val="24"/>
          <w:rtl/>
        </w:rPr>
      </w:pPr>
      <w:r w:rsidRPr="002C4E94">
        <w:rPr>
          <w:rFonts w:asciiTheme="majorBidi" w:hAnsiTheme="majorBidi" w:cstheme="majorBidi" w:hint="cs"/>
          <w:sz w:val="24"/>
          <w:szCs w:val="24"/>
          <w:rtl/>
        </w:rPr>
        <w:t>בשולחן ערוך</w:t>
      </w:r>
      <w:r w:rsidR="009E3476">
        <w:rPr>
          <w:rStyle w:val="a6"/>
          <w:rFonts w:asciiTheme="majorBidi" w:hAnsiTheme="majorBidi" w:cstheme="majorBidi"/>
          <w:sz w:val="24"/>
          <w:szCs w:val="24"/>
          <w:rtl/>
        </w:rPr>
        <w:footnoteReference w:id="17"/>
      </w:r>
      <w:r w:rsidRPr="002C4E94">
        <w:rPr>
          <w:rFonts w:asciiTheme="majorBidi" w:hAnsiTheme="majorBidi" w:cstheme="majorBidi" w:hint="cs"/>
          <w:sz w:val="24"/>
          <w:szCs w:val="24"/>
          <w:rtl/>
        </w:rPr>
        <w:t xml:space="preserve"> מחייב גזלן ששלח יד </w:t>
      </w:r>
      <w:r w:rsidR="00CD2D92" w:rsidRPr="002C4E94">
        <w:rPr>
          <w:rFonts w:asciiTheme="majorBidi" w:hAnsiTheme="majorBidi" w:cstheme="majorBidi" w:hint="cs"/>
          <w:sz w:val="24"/>
          <w:szCs w:val="24"/>
          <w:rtl/>
        </w:rPr>
        <w:t xml:space="preserve">באמצעות </w:t>
      </w:r>
      <w:r w:rsidR="001306C3">
        <w:rPr>
          <w:rFonts w:asciiTheme="majorBidi" w:hAnsiTheme="majorBidi" w:cstheme="majorBidi" w:hint="cs"/>
          <w:sz w:val="24"/>
          <w:szCs w:val="24"/>
          <w:rtl/>
        </w:rPr>
        <w:t>שליח</w:t>
      </w:r>
      <w:r w:rsidR="009E3476" w:rsidRPr="002C4E94">
        <w:rPr>
          <w:rFonts w:asciiTheme="majorBidi" w:hAnsiTheme="majorBidi" w:cstheme="majorBidi" w:hint="cs"/>
          <w:sz w:val="24"/>
          <w:szCs w:val="24"/>
          <w:rtl/>
        </w:rPr>
        <w:t>.</w:t>
      </w:r>
      <w:r w:rsidR="00CD2D92" w:rsidRPr="002C4E94">
        <w:rPr>
          <w:rFonts w:asciiTheme="majorBidi" w:hAnsiTheme="majorBidi" w:cstheme="majorBidi" w:hint="cs"/>
          <w:sz w:val="24"/>
          <w:szCs w:val="24"/>
          <w:rtl/>
        </w:rPr>
        <w:t xml:space="preserve"> הסמ"ע כותב שזה בשוגג, קטן או </w:t>
      </w:r>
      <w:r w:rsidR="00CD2D92" w:rsidRPr="002C4E94">
        <w:rPr>
          <w:rFonts w:ascii="David" w:hAnsi="David" w:cs="David" w:hint="cs"/>
          <w:sz w:val="24"/>
          <w:szCs w:val="24"/>
          <w:rtl/>
        </w:rPr>
        <w:t xml:space="preserve">"שאין לו מה לשלם... דאם לא כן, </w:t>
      </w:r>
      <w:r w:rsidR="00CD2D92" w:rsidRPr="002C4E94">
        <w:rPr>
          <w:rFonts w:ascii="David" w:hAnsi="David" w:cs="David"/>
          <w:sz w:val="24"/>
          <w:szCs w:val="24"/>
          <w:rtl/>
        </w:rPr>
        <w:t>אין שליח לדבר עבירה</w:t>
      </w:r>
      <w:r w:rsidR="00CD2D92">
        <w:rPr>
          <w:rStyle w:val="a6"/>
          <w:rFonts w:ascii="David" w:hAnsi="David" w:cs="David"/>
          <w:sz w:val="24"/>
          <w:szCs w:val="24"/>
          <w:rtl/>
        </w:rPr>
        <w:footnoteReference w:id="18"/>
      </w:r>
      <w:r w:rsidR="00CD2D92" w:rsidRPr="002C4E94">
        <w:rPr>
          <w:rFonts w:ascii="David" w:hAnsi="David" w:cs="David"/>
          <w:sz w:val="24"/>
          <w:szCs w:val="24"/>
          <w:rtl/>
        </w:rPr>
        <w:t>".</w:t>
      </w:r>
      <w:r w:rsidR="008B3111">
        <w:rPr>
          <w:rFonts w:ascii="David" w:hAnsi="David" w:cs="David" w:hint="cs"/>
          <w:sz w:val="24"/>
          <w:szCs w:val="24"/>
          <w:rtl/>
        </w:rPr>
        <w:t xml:space="preserve"> </w:t>
      </w:r>
      <w:r w:rsidR="008B3111">
        <w:rPr>
          <w:rFonts w:asciiTheme="majorBidi" w:hAnsiTheme="majorBidi" w:cstheme="majorBidi" w:hint="cs"/>
          <w:sz w:val="24"/>
          <w:szCs w:val="24"/>
          <w:rtl/>
        </w:rPr>
        <w:t>דהיינו שפשוט שה</w:t>
      </w:r>
      <w:r w:rsidR="001306C3">
        <w:rPr>
          <w:rFonts w:asciiTheme="majorBidi" w:hAnsiTheme="majorBidi" w:cstheme="majorBidi" w:hint="cs"/>
          <w:sz w:val="24"/>
          <w:szCs w:val="24"/>
          <w:rtl/>
        </w:rPr>
        <w:t xml:space="preserve">שליח </w:t>
      </w:r>
      <w:r w:rsidR="008B3111">
        <w:rPr>
          <w:rFonts w:asciiTheme="majorBidi" w:hAnsiTheme="majorBidi" w:cstheme="majorBidi" w:hint="cs"/>
          <w:sz w:val="24"/>
          <w:szCs w:val="24"/>
          <w:rtl/>
        </w:rPr>
        <w:t xml:space="preserve"> חייב, בדומה לדברי תוספות רי"ד.</w:t>
      </w:r>
    </w:p>
    <w:p w14:paraId="645A479F" w14:textId="73BCF1C7" w:rsidR="00CD2D92" w:rsidRPr="002C4E94" w:rsidRDefault="00CD2D92" w:rsidP="002C4E94">
      <w:pPr>
        <w:pStyle w:val="a3"/>
        <w:numPr>
          <w:ilvl w:val="0"/>
          <w:numId w:val="4"/>
        </w:numPr>
        <w:spacing w:after="0" w:line="360" w:lineRule="auto"/>
        <w:rPr>
          <w:rFonts w:asciiTheme="majorBidi" w:hAnsiTheme="majorBidi" w:cstheme="majorBidi"/>
          <w:sz w:val="24"/>
          <w:szCs w:val="24"/>
          <w:rtl/>
        </w:rPr>
      </w:pPr>
      <w:r w:rsidRPr="002C4E94">
        <w:rPr>
          <w:rFonts w:asciiTheme="majorBidi" w:hAnsiTheme="majorBidi" w:cstheme="majorBidi"/>
          <w:sz w:val="24"/>
          <w:szCs w:val="24"/>
          <w:rtl/>
        </w:rPr>
        <w:t>רבים תמהו על הסמ"ע, שהרי בדיוק על שליחות יד נאמר בגמרא ש</w:t>
      </w:r>
      <w:r w:rsidRPr="002C4E94">
        <w:rPr>
          <w:rFonts w:asciiTheme="majorBidi" w:hAnsiTheme="majorBidi" w:cstheme="majorBidi" w:hint="cs"/>
          <w:b/>
          <w:bCs/>
          <w:sz w:val="24"/>
          <w:szCs w:val="24"/>
          <w:rtl/>
        </w:rPr>
        <w:t xml:space="preserve">יש </w:t>
      </w:r>
      <w:r w:rsidRPr="002C4E94">
        <w:rPr>
          <w:rFonts w:asciiTheme="majorBidi" w:hAnsiTheme="majorBidi" w:cstheme="majorBidi"/>
          <w:sz w:val="24"/>
          <w:szCs w:val="24"/>
          <w:rtl/>
        </w:rPr>
        <w:t>שליח לדבר עבירה</w:t>
      </w:r>
      <w:r w:rsidRPr="002C4E94">
        <w:rPr>
          <w:rFonts w:asciiTheme="majorBidi" w:hAnsiTheme="majorBidi" w:cstheme="majorBidi" w:hint="cs"/>
          <w:sz w:val="24"/>
          <w:szCs w:val="24"/>
          <w:rtl/>
        </w:rPr>
        <w:t xml:space="preserve">. </w:t>
      </w:r>
    </w:p>
    <w:p w14:paraId="1CF56AA8" w14:textId="558F19C1" w:rsidR="002C4E94" w:rsidRDefault="002C4E94" w:rsidP="00B75104">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הש"ך</w:t>
      </w:r>
      <w:r>
        <w:rPr>
          <w:rStyle w:val="a6"/>
          <w:rFonts w:asciiTheme="majorBidi" w:hAnsiTheme="majorBidi" w:cstheme="majorBidi"/>
          <w:sz w:val="24"/>
          <w:szCs w:val="24"/>
          <w:rtl/>
        </w:rPr>
        <w:footnoteReference w:id="19"/>
      </w:r>
      <w:r>
        <w:rPr>
          <w:rFonts w:asciiTheme="majorBidi" w:hAnsiTheme="majorBidi" w:cstheme="majorBidi" w:hint="cs"/>
          <w:sz w:val="24"/>
          <w:szCs w:val="24"/>
          <w:rtl/>
        </w:rPr>
        <w:t xml:space="preserve"> מבאר בשם אביו, שהכוונה היא לשאול: אם ממילא פשוט שהשליח חייב, מה לנו לחייב במיוחד בעזרת פסוק בשליחות יד גם את השולח?  על כך הוא מתרץ שלשיטת התוספות הפסוק יחדש כאן לחייב בשוגג או כשהשליח אינו בר חיוב, ולשיטת הריטב"א החידוש הוא לחייב את השולח כשאין לשליח מה לשלם.</w:t>
      </w:r>
    </w:p>
    <w:p w14:paraId="47B3848E" w14:textId="763F3631" w:rsidR="008B3111" w:rsidRDefault="008B3111" w:rsidP="008B3111">
      <w:pPr>
        <w:pStyle w:val="a3"/>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lastRenderedPageBreak/>
        <w:t xml:space="preserve">בקצות החושן סבור שאין די בכך. קשה לדבר על מי ש'אינו בר חיובא' בשליחות יד, </w:t>
      </w:r>
      <w:r>
        <w:rPr>
          <w:rFonts w:ascii="David" w:hAnsi="David" w:cs="David" w:hint="cs"/>
          <w:sz w:val="24"/>
          <w:szCs w:val="24"/>
          <w:rtl/>
        </w:rPr>
        <w:t>"כיוון דאילו היה נפקד היה חייב... ואי מיירי בהנך דלאו בני חיובא כלל, וכגון בקטן..אלו לית בהו דין שליחות כלל</w:t>
      </w:r>
      <w:r>
        <w:rPr>
          <w:rStyle w:val="a6"/>
          <w:rFonts w:ascii="David" w:hAnsi="David" w:cs="David"/>
          <w:sz w:val="24"/>
          <w:szCs w:val="24"/>
          <w:rtl/>
        </w:rPr>
        <w:footnoteReference w:id="20"/>
      </w:r>
      <w:r>
        <w:rPr>
          <w:rFonts w:ascii="David" w:hAnsi="David" w:cs="David" w:hint="cs"/>
          <w:sz w:val="24"/>
          <w:szCs w:val="24"/>
          <w:rtl/>
        </w:rPr>
        <w:t>".</w:t>
      </w:r>
      <w:r>
        <w:rPr>
          <w:rFonts w:asciiTheme="majorBidi" w:hAnsiTheme="majorBidi" w:cstheme="majorBidi" w:hint="cs"/>
          <w:sz w:val="24"/>
          <w:szCs w:val="24"/>
          <w:rtl/>
        </w:rPr>
        <w:t xml:space="preserve"> עוד הוא מקשה שבמעילה למסקנה באמת מחייבים </w:t>
      </w:r>
      <w:r>
        <w:rPr>
          <w:rFonts w:asciiTheme="majorBidi" w:hAnsiTheme="majorBidi" w:cstheme="majorBidi" w:hint="cs"/>
          <w:b/>
          <w:bCs/>
          <w:sz w:val="24"/>
          <w:szCs w:val="24"/>
          <w:rtl/>
        </w:rPr>
        <w:t xml:space="preserve">רק </w:t>
      </w:r>
      <w:r>
        <w:rPr>
          <w:rFonts w:asciiTheme="majorBidi" w:hAnsiTheme="majorBidi" w:cstheme="majorBidi" w:hint="cs"/>
          <w:sz w:val="24"/>
          <w:szCs w:val="24"/>
          <w:rtl/>
        </w:rPr>
        <w:t xml:space="preserve">את השליח. </w:t>
      </w:r>
    </w:p>
    <w:p w14:paraId="7B8AEE1B" w14:textId="77777777" w:rsidR="002A4078" w:rsidRDefault="008B3111" w:rsidP="002A4078">
      <w:pPr>
        <w:pStyle w:val="a3"/>
        <w:spacing w:after="0" w:line="360" w:lineRule="auto"/>
        <w:rPr>
          <w:rtl/>
        </w:rPr>
      </w:pPr>
      <w:r>
        <w:rPr>
          <w:rFonts w:asciiTheme="majorBidi" w:hAnsiTheme="majorBidi" w:cstheme="majorBidi" w:hint="cs"/>
          <w:sz w:val="24"/>
          <w:szCs w:val="24"/>
          <w:rtl/>
        </w:rPr>
        <w:t>על כן הוא הולך בדרך אחרת</w:t>
      </w:r>
      <w:r w:rsidR="008D3E56">
        <w:rPr>
          <w:rFonts w:asciiTheme="majorBidi" w:hAnsiTheme="majorBidi" w:cstheme="majorBidi" w:hint="cs"/>
          <w:sz w:val="24"/>
          <w:szCs w:val="24"/>
          <w:rtl/>
        </w:rPr>
        <w:t>, לתרץ על פי דברי המהרי"ט</w:t>
      </w:r>
      <w:r>
        <w:rPr>
          <w:rFonts w:asciiTheme="majorBidi" w:hAnsiTheme="majorBidi" w:cstheme="majorBidi" w:hint="cs"/>
          <w:sz w:val="24"/>
          <w:szCs w:val="24"/>
          <w:rtl/>
        </w:rPr>
        <w:t xml:space="preserve">. כתב </w:t>
      </w:r>
      <w:r w:rsidRPr="002A4078">
        <w:rPr>
          <w:rFonts w:asciiTheme="majorBidi" w:hAnsiTheme="majorBidi" w:cstheme="majorBidi" w:hint="cs"/>
          <w:color w:val="000000" w:themeColor="text1"/>
          <w:sz w:val="24"/>
          <w:szCs w:val="24"/>
          <w:rtl/>
        </w:rPr>
        <w:t xml:space="preserve">הרמב"ם </w:t>
      </w:r>
      <w:r w:rsidR="008D3E56" w:rsidRPr="002A4078">
        <w:rPr>
          <w:rFonts w:asciiTheme="majorBidi" w:hAnsiTheme="majorBidi" w:cstheme="majorBidi" w:hint="cs"/>
          <w:color w:val="000000" w:themeColor="text1"/>
          <w:sz w:val="24"/>
          <w:szCs w:val="24"/>
          <w:rtl/>
        </w:rPr>
        <w:t>על</w:t>
      </w:r>
      <w:r w:rsidRPr="002A4078">
        <w:rPr>
          <w:rFonts w:asciiTheme="majorBidi" w:hAnsiTheme="majorBidi" w:cstheme="majorBidi" w:hint="cs"/>
          <w:color w:val="000000" w:themeColor="text1"/>
          <w:sz w:val="24"/>
          <w:szCs w:val="24"/>
          <w:rtl/>
        </w:rPr>
        <w:t xml:space="preserve"> מעילה:</w:t>
      </w:r>
      <w:r w:rsidR="002A4078" w:rsidRPr="002A4078">
        <w:rPr>
          <w:color w:val="000000" w:themeColor="text1"/>
          <w:rtl/>
        </w:rPr>
        <w:t xml:space="preserve"> </w:t>
      </w:r>
    </w:p>
    <w:p w14:paraId="410F0C8F" w14:textId="188D8C1B" w:rsidR="008B3111" w:rsidRPr="002A4078" w:rsidRDefault="002A4078" w:rsidP="002A4078">
      <w:pPr>
        <w:pStyle w:val="a3"/>
        <w:spacing w:after="0" w:line="360" w:lineRule="auto"/>
        <w:rPr>
          <w:rFonts w:ascii="David" w:hAnsi="David" w:cs="David"/>
          <w:sz w:val="24"/>
          <w:szCs w:val="24"/>
          <w:rtl/>
        </w:rPr>
      </w:pPr>
      <w:r>
        <w:rPr>
          <w:rFonts w:ascii="David" w:hAnsi="David" w:cs="David" w:hint="cs"/>
          <w:sz w:val="24"/>
          <w:szCs w:val="24"/>
          <w:rtl/>
        </w:rPr>
        <w:t>"</w:t>
      </w:r>
      <w:r w:rsidRPr="002A4078">
        <w:rPr>
          <w:rFonts w:ascii="David" w:hAnsi="David" w:cs="David"/>
          <w:sz w:val="24"/>
          <w:szCs w:val="24"/>
          <w:rtl/>
        </w:rPr>
        <w:t>בכל התורה כולה אין שליח לדבר עבירה אלא במעילה לבדה</w:t>
      </w:r>
      <w:r w:rsidRPr="002A4078">
        <w:rPr>
          <w:rStyle w:val="a6"/>
          <w:rFonts w:ascii="David" w:hAnsi="David" w:cs="David"/>
          <w:sz w:val="24"/>
          <w:szCs w:val="24"/>
          <w:rtl/>
        </w:rPr>
        <w:footnoteReference w:id="21"/>
      </w:r>
      <w:r>
        <w:rPr>
          <w:rFonts w:ascii="David" w:hAnsi="David" w:cs="David" w:hint="cs"/>
          <w:sz w:val="24"/>
          <w:szCs w:val="24"/>
          <w:rtl/>
        </w:rPr>
        <w:t>".</w:t>
      </w:r>
    </w:p>
    <w:p w14:paraId="5C56426F" w14:textId="76F4D49D" w:rsidR="008D3E56" w:rsidRDefault="008D3E56" w:rsidP="008B3111">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תמה המהרי"ט: הרי בסוגייתנו למדנו שיש </w:t>
      </w:r>
      <w:r w:rsidRPr="002C4E94">
        <w:rPr>
          <w:rFonts w:asciiTheme="majorBidi" w:hAnsiTheme="majorBidi" w:cstheme="majorBidi" w:hint="cs"/>
          <w:sz w:val="24"/>
          <w:szCs w:val="24"/>
          <w:rtl/>
        </w:rPr>
        <w:t>שליח לדבר עבירה</w:t>
      </w:r>
      <w:r>
        <w:rPr>
          <w:rFonts w:asciiTheme="majorBidi" w:hAnsiTheme="majorBidi" w:cstheme="majorBidi" w:hint="cs"/>
          <w:sz w:val="24"/>
          <w:szCs w:val="24"/>
          <w:rtl/>
        </w:rPr>
        <w:t xml:space="preserve"> גם בשליחות יד ובטביחה ומכירה. על כך משיב המהרי"ט שבשני אלו החיוב שונה.</w:t>
      </w:r>
      <w:r w:rsidR="002C2673">
        <w:rPr>
          <w:rFonts w:asciiTheme="majorBidi" w:hAnsiTheme="majorBidi" w:cstheme="majorBidi" w:hint="cs"/>
          <w:sz w:val="24"/>
          <w:szCs w:val="24"/>
          <w:rtl/>
        </w:rPr>
        <w:t xml:space="preserve"> </w:t>
      </w:r>
      <w:r>
        <w:rPr>
          <w:rFonts w:asciiTheme="majorBidi" w:hAnsiTheme="majorBidi" w:cstheme="majorBidi" w:hint="cs"/>
          <w:sz w:val="24"/>
          <w:szCs w:val="24"/>
          <w:rtl/>
        </w:rPr>
        <w:t>בשליחות יד</w:t>
      </w:r>
      <w:r w:rsidR="004B75FA">
        <w:rPr>
          <w:rFonts w:asciiTheme="majorBidi" w:hAnsiTheme="majorBidi" w:cstheme="majorBidi" w:hint="cs"/>
          <w:sz w:val="24"/>
          <w:szCs w:val="24"/>
          <w:rtl/>
        </w:rPr>
        <w:t>,</w:t>
      </w:r>
      <w:r>
        <w:rPr>
          <w:rFonts w:asciiTheme="majorBidi" w:hAnsiTheme="majorBidi" w:cstheme="majorBidi" w:hint="cs"/>
          <w:sz w:val="24"/>
          <w:szCs w:val="24"/>
          <w:rtl/>
        </w:rPr>
        <w:t xml:space="preserve"> בנתינת הרשות פשע בשמירתו, ובטביחה</w:t>
      </w:r>
      <w:r w:rsidR="004B75FA">
        <w:rPr>
          <w:rFonts w:asciiTheme="majorBidi" w:hAnsiTheme="majorBidi" w:cstheme="majorBidi" w:hint="cs"/>
          <w:sz w:val="24"/>
          <w:szCs w:val="24"/>
          <w:rtl/>
        </w:rPr>
        <w:t>-</w:t>
      </w:r>
      <w:r>
        <w:rPr>
          <w:rFonts w:asciiTheme="majorBidi" w:hAnsiTheme="majorBidi" w:cstheme="majorBidi" w:hint="cs"/>
          <w:sz w:val="24"/>
          <w:szCs w:val="24"/>
          <w:rtl/>
        </w:rPr>
        <w:t xml:space="preserve"> קיים חיוב גם על הנאה משחיטת אחרים. רק במעילה זה חיוב מטעם </w:t>
      </w:r>
      <w:r w:rsidR="001306C3">
        <w:rPr>
          <w:rFonts w:asciiTheme="majorBidi" w:hAnsiTheme="majorBidi" w:cstheme="majorBidi" w:hint="cs"/>
          <w:sz w:val="24"/>
          <w:szCs w:val="24"/>
          <w:rtl/>
        </w:rPr>
        <w:t>שליח</w:t>
      </w:r>
      <w:r>
        <w:rPr>
          <w:rFonts w:asciiTheme="majorBidi" w:hAnsiTheme="majorBidi" w:cstheme="majorBidi" w:hint="cs"/>
          <w:sz w:val="24"/>
          <w:szCs w:val="24"/>
          <w:rtl/>
        </w:rPr>
        <w:t xml:space="preserve">ות. </w:t>
      </w:r>
    </w:p>
    <w:p w14:paraId="09D54411" w14:textId="6888D3B3" w:rsidR="008D3E56" w:rsidRDefault="008D3E56" w:rsidP="008B3111">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אמנם, אז קשה כיצד ראו במצוות אלו כתובים הבאים כאחד. על כך משיב המהרי"ט, שלו היה ניתן ללמוד ממעילה לכל התורה, לא היה צורך לחדש גדרים חדשים בשליחות יד ובטביחה.</w:t>
      </w:r>
    </w:p>
    <w:p w14:paraId="7AC6047D" w14:textId="298D8A6A" w:rsidR="008D3E56" w:rsidRDefault="008D3E56" w:rsidP="008B3111">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רעיון זה הוא דוחה, כי הגדר המיוחד נדרש בכל מקרה כדי לחייב גנב השוחט על ידי קטן. זאת לא היינו יכולים לחייב מדיני </w:t>
      </w:r>
      <w:r w:rsidR="001306C3">
        <w:rPr>
          <w:rFonts w:asciiTheme="majorBidi" w:hAnsiTheme="majorBidi" w:cstheme="majorBidi" w:hint="cs"/>
          <w:sz w:val="24"/>
          <w:szCs w:val="24"/>
          <w:rtl/>
        </w:rPr>
        <w:t>שליח</w:t>
      </w:r>
      <w:r>
        <w:rPr>
          <w:rFonts w:asciiTheme="majorBidi" w:hAnsiTheme="majorBidi" w:cstheme="majorBidi" w:hint="cs"/>
          <w:sz w:val="24"/>
          <w:szCs w:val="24"/>
          <w:rtl/>
        </w:rPr>
        <w:t>ות. לכן מסקנתו היא ששני הכתובים הבאים כאחד הם מעילה ושליחות יד. אולם, טוען הקצות, לו היינו לומדים ממעילה לטביחה, באמת היינו מחייבים מדין שליחות גם בטביחה על ידי קטן, כמו במעילה</w:t>
      </w:r>
      <w:r>
        <w:rPr>
          <w:rStyle w:val="a6"/>
          <w:rFonts w:asciiTheme="majorBidi" w:hAnsiTheme="majorBidi" w:cstheme="majorBidi"/>
          <w:sz w:val="24"/>
          <w:szCs w:val="24"/>
          <w:rtl/>
        </w:rPr>
        <w:footnoteReference w:id="22"/>
      </w:r>
      <w:r>
        <w:rPr>
          <w:rFonts w:asciiTheme="majorBidi" w:hAnsiTheme="majorBidi" w:cstheme="majorBidi" w:hint="cs"/>
          <w:sz w:val="24"/>
          <w:szCs w:val="24"/>
          <w:rtl/>
        </w:rPr>
        <w:t>. אם כן טביחה מיותרת ולפנינו שלושה כתובים הבאים כאחד.</w:t>
      </w:r>
    </w:p>
    <w:p w14:paraId="1DCEE6D8" w14:textId="74E9FB1B" w:rsidR="00A6520E" w:rsidRPr="002C2673" w:rsidRDefault="008D3E56" w:rsidP="002C2673">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אם כן, במעילה דין מיוחד לחייב את השולח מדין </w:t>
      </w:r>
      <w:r w:rsidR="001306C3">
        <w:rPr>
          <w:rFonts w:asciiTheme="majorBidi" w:hAnsiTheme="majorBidi" w:cstheme="majorBidi" w:hint="cs"/>
          <w:sz w:val="24"/>
          <w:szCs w:val="24"/>
          <w:rtl/>
        </w:rPr>
        <w:t>שליח</w:t>
      </w:r>
      <w:r>
        <w:rPr>
          <w:rFonts w:asciiTheme="majorBidi" w:hAnsiTheme="majorBidi" w:cstheme="majorBidi" w:hint="cs"/>
          <w:sz w:val="24"/>
          <w:szCs w:val="24"/>
          <w:rtl/>
        </w:rPr>
        <w:t>ות ולא את ה</w:t>
      </w:r>
      <w:r w:rsidR="001306C3">
        <w:rPr>
          <w:rFonts w:asciiTheme="majorBidi" w:hAnsiTheme="majorBidi" w:cstheme="majorBidi" w:hint="cs"/>
          <w:sz w:val="24"/>
          <w:szCs w:val="24"/>
          <w:rtl/>
        </w:rPr>
        <w:t xml:space="preserve">שליח </w:t>
      </w:r>
      <w:r>
        <w:rPr>
          <w:rFonts w:asciiTheme="majorBidi" w:hAnsiTheme="majorBidi" w:cstheme="majorBidi" w:hint="cs"/>
          <w:sz w:val="24"/>
          <w:szCs w:val="24"/>
          <w:rtl/>
        </w:rPr>
        <w:t>. כשה</w:t>
      </w:r>
      <w:r w:rsidR="001306C3">
        <w:rPr>
          <w:rFonts w:asciiTheme="majorBidi" w:hAnsiTheme="majorBidi" w:cstheme="majorBidi" w:hint="cs"/>
          <w:sz w:val="24"/>
          <w:szCs w:val="24"/>
          <w:rtl/>
        </w:rPr>
        <w:t xml:space="preserve">שליח </w:t>
      </w:r>
      <w:r>
        <w:rPr>
          <w:rFonts w:asciiTheme="majorBidi" w:hAnsiTheme="majorBidi" w:cstheme="majorBidi" w:hint="cs"/>
          <w:sz w:val="24"/>
          <w:szCs w:val="24"/>
          <w:rtl/>
        </w:rPr>
        <w:t xml:space="preserve"> עושה, כאילו עשה זאת המשלח. אולם בשליחות יד אין גדר כזה, ובוודאי שיש לחייב קודם כל את ה</w:t>
      </w:r>
      <w:r w:rsidR="001306C3">
        <w:rPr>
          <w:rFonts w:asciiTheme="majorBidi" w:hAnsiTheme="majorBidi" w:cstheme="majorBidi" w:hint="cs"/>
          <w:sz w:val="24"/>
          <w:szCs w:val="24"/>
          <w:rtl/>
        </w:rPr>
        <w:t xml:space="preserve">שליח </w:t>
      </w:r>
      <w:r>
        <w:rPr>
          <w:rFonts w:asciiTheme="majorBidi" w:hAnsiTheme="majorBidi" w:cstheme="majorBidi" w:hint="cs"/>
          <w:sz w:val="24"/>
          <w:szCs w:val="24"/>
          <w:rtl/>
        </w:rPr>
        <w:t xml:space="preserve"> כדברי הסמ"ע, וכל שחידשה תורה הוא</w:t>
      </w:r>
      <w:r w:rsidR="004B75FA">
        <w:rPr>
          <w:rFonts w:asciiTheme="majorBidi" w:hAnsiTheme="majorBidi" w:cstheme="majorBidi" w:hint="cs"/>
          <w:sz w:val="24"/>
          <w:szCs w:val="24"/>
          <w:rtl/>
        </w:rPr>
        <w:t>,</w:t>
      </w:r>
      <w:r>
        <w:rPr>
          <w:rFonts w:asciiTheme="majorBidi" w:hAnsiTheme="majorBidi" w:cstheme="majorBidi" w:hint="cs"/>
          <w:sz w:val="24"/>
          <w:szCs w:val="24"/>
          <w:rtl/>
        </w:rPr>
        <w:t xml:space="preserve"> שיש לחייב את השולח כשאין חיוב ל</w:t>
      </w:r>
      <w:r w:rsidR="001306C3">
        <w:rPr>
          <w:rFonts w:asciiTheme="majorBidi" w:hAnsiTheme="majorBidi" w:cstheme="majorBidi" w:hint="cs"/>
          <w:sz w:val="24"/>
          <w:szCs w:val="24"/>
          <w:rtl/>
        </w:rPr>
        <w:t>שליח</w:t>
      </w:r>
      <w:r>
        <w:rPr>
          <w:rFonts w:asciiTheme="majorBidi" w:hAnsiTheme="majorBidi" w:cstheme="majorBidi" w:hint="cs"/>
          <w:sz w:val="24"/>
          <w:szCs w:val="24"/>
          <w:rtl/>
        </w:rPr>
        <w:t xml:space="preserve">. </w:t>
      </w:r>
      <w:r w:rsidR="00A6520E">
        <w:rPr>
          <w:rFonts w:asciiTheme="majorBidi" w:hAnsiTheme="majorBidi" w:cstheme="majorBidi" w:hint="cs"/>
          <w:sz w:val="24"/>
          <w:szCs w:val="24"/>
          <w:rtl/>
        </w:rPr>
        <w:t xml:space="preserve">אם כן תורצה הקושיה מאינם בני חיוב, שבאמת חיוב השולח אינו מטעם שליחות. </w:t>
      </w:r>
      <w:r w:rsidR="00A6520E" w:rsidRPr="002C2673">
        <w:rPr>
          <w:rFonts w:asciiTheme="majorBidi" w:hAnsiTheme="majorBidi" w:cstheme="majorBidi" w:hint="cs"/>
          <w:sz w:val="24"/>
          <w:szCs w:val="24"/>
          <w:rtl/>
        </w:rPr>
        <w:t xml:space="preserve">אמנם, בחיוב השליח לא ניתן לחייבו אלא </w:t>
      </w:r>
      <w:r w:rsidR="004B75FA">
        <w:rPr>
          <w:rFonts w:asciiTheme="majorBidi" w:hAnsiTheme="majorBidi" w:cstheme="majorBidi" w:hint="cs"/>
          <w:sz w:val="24"/>
          <w:szCs w:val="24"/>
          <w:rtl/>
        </w:rPr>
        <w:t xml:space="preserve">במדוייק, </w:t>
      </w:r>
      <w:r w:rsidR="00A6520E" w:rsidRPr="002C2673">
        <w:rPr>
          <w:rFonts w:asciiTheme="majorBidi" w:hAnsiTheme="majorBidi" w:cstheme="majorBidi" w:hint="cs"/>
          <w:sz w:val="24"/>
          <w:szCs w:val="24"/>
          <w:rtl/>
        </w:rPr>
        <w:t xml:space="preserve">על </w:t>
      </w:r>
      <w:r w:rsidR="004B75FA">
        <w:rPr>
          <w:rFonts w:asciiTheme="majorBidi" w:hAnsiTheme="majorBidi" w:cstheme="majorBidi" w:hint="cs"/>
          <w:sz w:val="24"/>
          <w:szCs w:val="24"/>
          <w:rtl/>
        </w:rPr>
        <w:t>מה</w:t>
      </w:r>
      <w:r w:rsidR="00A6520E" w:rsidRPr="002C2673">
        <w:rPr>
          <w:rFonts w:asciiTheme="majorBidi" w:hAnsiTheme="majorBidi" w:cstheme="majorBidi" w:hint="cs"/>
          <w:sz w:val="24"/>
          <w:szCs w:val="24"/>
          <w:rtl/>
        </w:rPr>
        <w:t xml:space="preserve"> שלקח מהפקדון, כיוון שאין הוא שומר אלא סתם גנב.</w:t>
      </w:r>
    </w:p>
    <w:p w14:paraId="785CCCD9" w14:textId="6415FE90" w:rsidR="00A6520E" w:rsidRDefault="00A6520E" w:rsidP="00A6520E">
      <w:pPr>
        <w:pStyle w:val="a3"/>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t>קשיים בדרכו של הקצות</w:t>
      </w:r>
      <w:r w:rsidR="002C2673">
        <w:rPr>
          <w:rFonts w:asciiTheme="majorBidi" w:hAnsiTheme="majorBidi" w:cstheme="majorBidi" w:hint="cs"/>
          <w:sz w:val="24"/>
          <w:szCs w:val="24"/>
          <w:rtl/>
        </w:rPr>
        <w:t>:</w:t>
      </w:r>
    </w:p>
    <w:p w14:paraId="0F2C6EB1" w14:textId="3E02C7F0" w:rsidR="00A6520E" w:rsidRDefault="00A6520E" w:rsidP="00A6520E">
      <w:pPr>
        <w:pStyle w:val="a3"/>
        <w:spacing w:after="0" w:line="360" w:lineRule="auto"/>
        <w:rPr>
          <w:rFonts w:asciiTheme="majorBidi" w:hAnsiTheme="majorBidi" w:cstheme="majorBidi"/>
          <w:color w:val="202122"/>
          <w:sz w:val="24"/>
          <w:szCs w:val="24"/>
          <w:shd w:val="clear" w:color="auto" w:fill="FFFFFF"/>
          <w:rtl/>
        </w:rPr>
      </w:pPr>
      <w:r>
        <w:rPr>
          <w:rFonts w:asciiTheme="majorBidi" w:hAnsiTheme="majorBidi" w:cstheme="majorBidi" w:hint="cs"/>
          <w:sz w:val="24"/>
          <w:szCs w:val="24"/>
          <w:rtl/>
        </w:rPr>
        <w:t xml:space="preserve">הטענה שיכולנו ללמוד ממעילה לטביחה חיוב למשלח מדין </w:t>
      </w:r>
      <w:r w:rsidR="001306C3">
        <w:rPr>
          <w:rFonts w:asciiTheme="majorBidi" w:hAnsiTheme="majorBidi" w:cstheme="majorBidi" w:hint="cs"/>
          <w:sz w:val="24"/>
          <w:szCs w:val="24"/>
          <w:rtl/>
        </w:rPr>
        <w:t>שליח</w:t>
      </w:r>
      <w:r>
        <w:rPr>
          <w:rFonts w:asciiTheme="majorBidi" w:hAnsiTheme="majorBidi" w:cstheme="majorBidi" w:hint="cs"/>
          <w:sz w:val="24"/>
          <w:szCs w:val="24"/>
          <w:rtl/>
        </w:rPr>
        <w:t>ות, קשה. לגבי קטן למדנו במ</w:t>
      </w:r>
      <w:r w:rsidR="00645D77">
        <w:rPr>
          <w:rFonts w:asciiTheme="majorBidi" w:hAnsiTheme="majorBidi" w:cstheme="majorBidi" w:hint="cs"/>
          <w:sz w:val="24"/>
          <w:szCs w:val="24"/>
          <w:rtl/>
        </w:rPr>
        <w:t>ס</w:t>
      </w:r>
      <w:r>
        <w:rPr>
          <w:rFonts w:asciiTheme="majorBidi" w:hAnsiTheme="majorBidi" w:cstheme="majorBidi" w:hint="cs"/>
          <w:sz w:val="24"/>
          <w:szCs w:val="24"/>
          <w:rtl/>
        </w:rPr>
        <w:t>כת מעילה: "</w:t>
      </w:r>
      <w:r w:rsidRPr="00A6520E">
        <w:rPr>
          <w:rFonts w:ascii="David" w:hAnsi="David" w:cs="David"/>
          <w:color w:val="202122"/>
          <w:sz w:val="24"/>
          <w:szCs w:val="24"/>
          <w:shd w:val="clear" w:color="auto" w:fill="FFFFFF"/>
          <w:rtl/>
        </w:rPr>
        <w:t>הא לאו בני שליחותא נינהו</w:t>
      </w:r>
      <w:r>
        <w:rPr>
          <w:rFonts w:ascii="David" w:hAnsi="David" w:cs="David" w:hint="cs"/>
          <w:color w:val="202122"/>
          <w:sz w:val="24"/>
          <w:szCs w:val="24"/>
          <w:shd w:val="clear" w:color="auto" w:fill="FFFFFF"/>
          <w:rtl/>
        </w:rPr>
        <w:t>?</w:t>
      </w:r>
      <w:r w:rsidRPr="00A6520E">
        <w:rPr>
          <w:rFonts w:ascii="David" w:hAnsi="David" w:cs="David"/>
          <w:color w:val="202122"/>
          <w:sz w:val="24"/>
          <w:szCs w:val="24"/>
          <w:shd w:val="clear" w:color="auto" w:fill="FFFFFF"/>
          <w:rtl/>
        </w:rPr>
        <w:t xml:space="preserve"> א"ר אלעזר עשאום כמעטן של זיתים</w:t>
      </w:r>
      <w:r>
        <w:rPr>
          <w:rFonts w:ascii="David" w:hAnsi="David" w:cs="David" w:hint="cs"/>
          <w:color w:val="202122"/>
          <w:sz w:val="24"/>
          <w:szCs w:val="24"/>
          <w:shd w:val="clear" w:color="auto" w:fill="FFFFFF"/>
          <w:rtl/>
        </w:rPr>
        <w:t>,</w:t>
      </w:r>
      <w:r w:rsidRPr="00A6520E">
        <w:rPr>
          <w:rFonts w:ascii="David" w:hAnsi="David" w:cs="David"/>
          <w:color w:val="202122"/>
          <w:sz w:val="24"/>
          <w:szCs w:val="24"/>
          <w:shd w:val="clear" w:color="auto" w:fill="FFFFFF"/>
          <w:rtl/>
        </w:rPr>
        <w:t xml:space="preserve"> דתנן הזיתים מאימתי מקבלין טומאה משיזיעו זיעת המעטן ולא זיעת הקופה</w:t>
      </w:r>
      <w:r>
        <w:rPr>
          <w:rFonts w:ascii="David" w:hAnsi="David" w:cs="David" w:hint="cs"/>
          <w:color w:val="202122"/>
          <w:sz w:val="24"/>
          <w:szCs w:val="24"/>
          <w:shd w:val="clear" w:color="auto" w:fill="FFFFFF"/>
          <w:rtl/>
        </w:rPr>
        <w:t>.</w:t>
      </w:r>
      <w:r w:rsidRPr="00A6520E">
        <w:rPr>
          <w:rFonts w:ascii="David" w:hAnsi="David" w:cs="David"/>
          <w:color w:val="202122"/>
          <w:sz w:val="24"/>
          <w:szCs w:val="24"/>
          <w:shd w:val="clear" w:color="auto" w:fill="FFFFFF"/>
          <w:rtl/>
        </w:rPr>
        <w:t xml:space="preserve"> רבי יוחנן אמר</w:t>
      </w:r>
      <w:r>
        <w:rPr>
          <w:rFonts w:ascii="David" w:hAnsi="David" w:cs="David" w:hint="cs"/>
          <w:color w:val="202122"/>
          <w:sz w:val="24"/>
          <w:szCs w:val="24"/>
          <w:shd w:val="clear" w:color="auto" w:fill="FFFFFF"/>
          <w:rtl/>
        </w:rPr>
        <w:t>:</w:t>
      </w:r>
      <w:r w:rsidRPr="00A6520E">
        <w:rPr>
          <w:rFonts w:ascii="David" w:hAnsi="David" w:cs="David"/>
          <w:color w:val="202122"/>
          <w:sz w:val="24"/>
          <w:szCs w:val="24"/>
          <w:shd w:val="clear" w:color="auto" w:fill="FFFFFF"/>
          <w:rtl/>
        </w:rPr>
        <w:t xml:space="preserve"> כאותה ששנינו נתנו ע"ג הקוף והוליכו או ע"ג הפיל והוליכו (ואמר לאחר לקבלו ממנו) הרי זה עירוב</w:t>
      </w:r>
      <w:r>
        <w:rPr>
          <w:rFonts w:ascii="David" w:hAnsi="David" w:cs="David" w:hint="cs"/>
          <w:color w:val="202122"/>
          <w:sz w:val="24"/>
          <w:szCs w:val="24"/>
          <w:shd w:val="clear" w:color="auto" w:fill="FFFFFF"/>
          <w:rtl/>
        </w:rPr>
        <w:t>.</w:t>
      </w:r>
      <w:r w:rsidRPr="00A6520E">
        <w:rPr>
          <w:rFonts w:ascii="David" w:hAnsi="David" w:cs="David"/>
          <w:color w:val="202122"/>
          <w:sz w:val="24"/>
          <w:szCs w:val="24"/>
          <w:shd w:val="clear" w:color="auto" w:fill="FFFFFF"/>
          <w:rtl/>
        </w:rPr>
        <w:t xml:space="preserve"> אלמא קא עבדא שליחותיה</w:t>
      </w:r>
      <w:r w:rsidR="00645D77">
        <w:rPr>
          <w:rFonts w:ascii="David" w:hAnsi="David" w:cs="David" w:hint="cs"/>
          <w:color w:val="202122"/>
          <w:sz w:val="24"/>
          <w:szCs w:val="24"/>
          <w:shd w:val="clear" w:color="auto" w:fill="FFFFFF"/>
          <w:rtl/>
        </w:rPr>
        <w:t xml:space="preserve">, </w:t>
      </w:r>
      <w:r w:rsidRPr="00A6520E">
        <w:rPr>
          <w:rFonts w:ascii="David" w:hAnsi="David" w:cs="David"/>
          <w:color w:val="202122"/>
          <w:sz w:val="24"/>
          <w:szCs w:val="24"/>
          <w:shd w:val="clear" w:color="auto" w:fill="FFFFFF"/>
          <w:rtl/>
        </w:rPr>
        <w:t>ה"נ איתעביד שליחותיה</w:t>
      </w:r>
      <w:r>
        <w:rPr>
          <w:rFonts w:ascii="David" w:hAnsi="David" w:cs="David" w:hint="cs"/>
          <w:color w:val="202122"/>
          <w:sz w:val="24"/>
          <w:szCs w:val="24"/>
          <w:shd w:val="clear" w:color="auto" w:fill="FFFFFF"/>
          <w:rtl/>
        </w:rPr>
        <w:t xml:space="preserve">". </w:t>
      </w:r>
      <w:r>
        <w:rPr>
          <w:rFonts w:asciiTheme="majorBidi" w:hAnsiTheme="majorBidi" w:cstheme="majorBidi" w:hint="cs"/>
          <w:color w:val="202122"/>
          <w:sz w:val="24"/>
          <w:szCs w:val="24"/>
          <w:shd w:val="clear" w:color="auto" w:fill="FFFFFF"/>
          <w:rtl/>
        </w:rPr>
        <w:t xml:space="preserve">הרי שגם במעילה אין זה מדין שליחות, שהרי לפיל וודאי אין </w:t>
      </w:r>
      <w:r w:rsidR="001306C3">
        <w:rPr>
          <w:rFonts w:asciiTheme="majorBidi" w:hAnsiTheme="majorBidi" w:cstheme="majorBidi" w:hint="cs"/>
          <w:color w:val="202122"/>
          <w:sz w:val="24"/>
          <w:szCs w:val="24"/>
          <w:shd w:val="clear" w:color="auto" w:fill="FFFFFF"/>
          <w:rtl/>
        </w:rPr>
        <w:t>שליח</w:t>
      </w:r>
      <w:r>
        <w:rPr>
          <w:rFonts w:asciiTheme="majorBidi" w:hAnsiTheme="majorBidi" w:cstheme="majorBidi" w:hint="cs"/>
          <w:color w:val="202122"/>
          <w:sz w:val="24"/>
          <w:szCs w:val="24"/>
          <w:shd w:val="clear" w:color="auto" w:fill="FFFFFF"/>
          <w:rtl/>
        </w:rPr>
        <w:t>ות, מה עוד ש</w:t>
      </w:r>
      <w:r w:rsidR="001306C3">
        <w:rPr>
          <w:rFonts w:asciiTheme="majorBidi" w:hAnsiTheme="majorBidi" w:cstheme="majorBidi" w:hint="cs"/>
          <w:color w:val="202122"/>
          <w:sz w:val="24"/>
          <w:szCs w:val="24"/>
          <w:shd w:val="clear" w:color="auto" w:fill="FFFFFF"/>
          <w:rtl/>
        </w:rPr>
        <w:t>שליח</w:t>
      </w:r>
      <w:r>
        <w:rPr>
          <w:rFonts w:asciiTheme="majorBidi" w:hAnsiTheme="majorBidi" w:cstheme="majorBidi" w:hint="cs"/>
          <w:color w:val="202122"/>
          <w:sz w:val="24"/>
          <w:szCs w:val="24"/>
          <w:shd w:val="clear" w:color="auto" w:fill="FFFFFF"/>
          <w:rtl/>
        </w:rPr>
        <w:t>ות צריכה קניין שקטן איננו יכול לבצע.</w:t>
      </w:r>
    </w:p>
    <w:p w14:paraId="1C39534F" w14:textId="61FCDFC8" w:rsidR="002C2673" w:rsidRDefault="002C2673" w:rsidP="00A6520E">
      <w:pPr>
        <w:pStyle w:val="a3"/>
        <w:spacing w:after="0" w:line="360" w:lineRule="auto"/>
        <w:rPr>
          <w:rFonts w:asciiTheme="majorBidi" w:hAnsiTheme="majorBidi" w:cstheme="majorBidi"/>
          <w:sz w:val="24"/>
          <w:szCs w:val="24"/>
          <w:rtl/>
        </w:rPr>
      </w:pPr>
      <w:r>
        <w:rPr>
          <w:rFonts w:asciiTheme="majorBidi" w:hAnsiTheme="majorBidi" w:cstheme="majorBidi" w:hint="cs"/>
          <w:color w:val="202122"/>
          <w:sz w:val="24"/>
          <w:szCs w:val="24"/>
          <w:shd w:val="clear" w:color="auto" w:fill="FFFFFF"/>
          <w:rtl/>
        </w:rPr>
        <w:t xml:space="preserve">עוד שאל בנתיבות </w:t>
      </w:r>
      <w:r>
        <w:rPr>
          <w:rFonts w:asciiTheme="majorBidi" w:hAnsiTheme="majorBidi" w:cstheme="majorBidi" w:hint="cs"/>
          <w:sz w:val="24"/>
          <w:szCs w:val="24"/>
          <w:rtl/>
        </w:rPr>
        <w:t>על דברי הש"ך: איך יתכן לחייב במעילה גם את המשלח וגם את השליח? הרי רק אחד מהם יכול לבצע את המעשה המחייב, שהוא להוציא הקדש לחולין.</w:t>
      </w:r>
    </w:p>
    <w:p w14:paraId="5A88FDF3" w14:textId="0475B229" w:rsidR="002C2673" w:rsidRPr="00A6520E" w:rsidRDefault="002C2673" w:rsidP="002C2673">
      <w:pPr>
        <w:pStyle w:val="a3"/>
        <w:numPr>
          <w:ilvl w:val="0"/>
          <w:numId w:val="4"/>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מבאר הרב ישראלי</w:t>
      </w:r>
      <w:r>
        <w:rPr>
          <w:rStyle w:val="a6"/>
          <w:rFonts w:asciiTheme="majorBidi" w:hAnsiTheme="majorBidi" w:cstheme="majorBidi"/>
          <w:sz w:val="24"/>
          <w:szCs w:val="24"/>
          <w:rtl/>
        </w:rPr>
        <w:footnoteReference w:id="23"/>
      </w:r>
      <w:r>
        <w:rPr>
          <w:rFonts w:asciiTheme="majorBidi" w:hAnsiTheme="majorBidi" w:cstheme="majorBidi" w:hint="cs"/>
          <w:sz w:val="24"/>
          <w:szCs w:val="24"/>
          <w:rtl/>
        </w:rPr>
        <w:t>: במעילה באמת רק אחד יכול להתחייב. הסמ"ע דיבר על שליחות יד. שם ניתן לחייב שניים. ה</w:t>
      </w:r>
      <w:r w:rsidR="001306C3">
        <w:rPr>
          <w:rFonts w:asciiTheme="majorBidi" w:hAnsiTheme="majorBidi" w:cstheme="majorBidi" w:hint="cs"/>
          <w:sz w:val="24"/>
          <w:szCs w:val="24"/>
          <w:rtl/>
        </w:rPr>
        <w:t>שליח</w:t>
      </w:r>
      <w:r>
        <w:rPr>
          <w:rFonts w:asciiTheme="majorBidi" w:hAnsiTheme="majorBidi" w:cstheme="majorBidi" w:hint="cs"/>
          <w:sz w:val="24"/>
          <w:szCs w:val="24"/>
          <w:rtl/>
        </w:rPr>
        <w:t>, בדומה לשואל שלא מדעת, קנה את החפץ רק לעניין חיוב אונסים.</w:t>
      </w:r>
      <w:r w:rsidR="00645D7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הפקדון אינו נחשב לגמרי שלו, שהרי לא </w:t>
      </w:r>
      <w:r>
        <w:rPr>
          <w:rFonts w:asciiTheme="majorBidi" w:hAnsiTheme="majorBidi" w:cstheme="majorBidi" w:hint="cs"/>
          <w:sz w:val="24"/>
          <w:szCs w:val="24"/>
          <w:rtl/>
        </w:rPr>
        <w:lastRenderedPageBreak/>
        <w:t>התכוון לגוזלו. המשלח</w:t>
      </w:r>
      <w:r w:rsidR="00645D77">
        <w:rPr>
          <w:rFonts w:asciiTheme="majorBidi" w:hAnsiTheme="majorBidi" w:cstheme="majorBidi" w:hint="cs"/>
          <w:sz w:val="24"/>
          <w:szCs w:val="24"/>
          <w:rtl/>
        </w:rPr>
        <w:t>,</w:t>
      </w:r>
      <w:r>
        <w:rPr>
          <w:rFonts w:asciiTheme="majorBidi" w:hAnsiTheme="majorBidi" w:cstheme="majorBidi" w:hint="cs"/>
          <w:sz w:val="24"/>
          <w:szCs w:val="24"/>
          <w:rtl/>
        </w:rPr>
        <w:t xml:space="preserve"> שכן התכוון לכך</w:t>
      </w:r>
      <w:r w:rsidR="00645D77">
        <w:rPr>
          <w:rFonts w:asciiTheme="majorBidi" w:hAnsiTheme="majorBidi" w:cstheme="majorBidi" w:hint="cs"/>
          <w:sz w:val="24"/>
          <w:szCs w:val="24"/>
          <w:rtl/>
        </w:rPr>
        <w:t>,</w:t>
      </w:r>
      <w:r>
        <w:rPr>
          <w:rFonts w:asciiTheme="majorBidi" w:hAnsiTheme="majorBidi" w:cstheme="majorBidi" w:hint="cs"/>
          <w:sz w:val="24"/>
          <w:szCs w:val="24"/>
          <w:rtl/>
        </w:rPr>
        <w:t xml:space="preserve"> קונה קניין גמור</w:t>
      </w:r>
      <w:r w:rsidR="00645D77">
        <w:rPr>
          <w:rFonts w:asciiTheme="majorBidi" w:hAnsiTheme="majorBidi" w:cstheme="majorBidi" w:hint="cs"/>
          <w:sz w:val="24"/>
          <w:szCs w:val="24"/>
          <w:rtl/>
        </w:rPr>
        <w:t xml:space="preserve"> של גזלן</w:t>
      </w:r>
      <w:r>
        <w:rPr>
          <w:rFonts w:asciiTheme="majorBidi" w:hAnsiTheme="majorBidi" w:cstheme="majorBidi" w:hint="cs"/>
          <w:sz w:val="24"/>
          <w:szCs w:val="24"/>
          <w:rtl/>
        </w:rPr>
        <w:t>. השליח חייב רק באונסי החבית, והמשלח בכול. אם ה</w:t>
      </w:r>
      <w:r w:rsidR="001306C3">
        <w:rPr>
          <w:rFonts w:asciiTheme="majorBidi" w:hAnsiTheme="majorBidi" w:cstheme="majorBidi" w:hint="cs"/>
          <w:sz w:val="24"/>
          <w:szCs w:val="24"/>
          <w:rtl/>
        </w:rPr>
        <w:t xml:space="preserve">שליח </w:t>
      </w:r>
      <w:r>
        <w:rPr>
          <w:rFonts w:asciiTheme="majorBidi" w:hAnsiTheme="majorBidi" w:cstheme="majorBidi" w:hint="cs"/>
          <w:sz w:val="24"/>
          <w:szCs w:val="24"/>
          <w:rtl/>
        </w:rPr>
        <w:t xml:space="preserve"> אינו בר חיובא- יתחייב המשלח מדין שומר שגזל על ידי שליח. </w:t>
      </w:r>
    </w:p>
    <w:p w14:paraId="3A25AC64" w14:textId="77777777" w:rsidR="00A6520E" w:rsidRPr="00CD2D92" w:rsidRDefault="00A6520E" w:rsidP="008B3111">
      <w:pPr>
        <w:pStyle w:val="a3"/>
        <w:spacing w:after="0" w:line="360" w:lineRule="auto"/>
        <w:rPr>
          <w:rFonts w:asciiTheme="majorBidi" w:hAnsiTheme="majorBidi" w:cstheme="majorBidi"/>
          <w:sz w:val="24"/>
          <w:szCs w:val="24"/>
          <w:rtl/>
        </w:rPr>
      </w:pPr>
    </w:p>
    <w:p w14:paraId="667D9D5A" w14:textId="05D18B80" w:rsidR="00EB2F0F" w:rsidRDefault="001306C3" w:rsidP="00EB2F0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D17306">
        <w:rPr>
          <w:rFonts w:asciiTheme="majorBidi" w:hAnsiTheme="majorBidi" w:cstheme="majorBidi" w:hint="cs"/>
          <w:b/>
          <w:bCs/>
          <w:sz w:val="24"/>
          <w:szCs w:val="24"/>
          <w:rtl/>
        </w:rPr>
        <w:t>תוכן הטענה 'דברי הרב ודברי התלמיד'</w:t>
      </w:r>
    </w:p>
    <w:p w14:paraId="32B4A6E0" w14:textId="5C0DA9EF" w:rsidR="00D17306" w:rsidRDefault="00C3282D" w:rsidP="00EB2F0F">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00D17306">
        <w:rPr>
          <w:rFonts w:asciiTheme="majorBidi" w:hAnsiTheme="majorBidi" w:cstheme="majorBidi" w:hint="cs"/>
          <w:sz w:val="24"/>
          <w:szCs w:val="24"/>
          <w:rtl/>
        </w:rPr>
        <w:t xml:space="preserve">כתב הסמ"ע שבגלל טענה זו </w:t>
      </w:r>
      <w:r w:rsidR="00D17306">
        <w:rPr>
          <w:rFonts w:ascii="David" w:hAnsi="David" w:cs="David" w:hint="cs"/>
          <w:sz w:val="24"/>
          <w:szCs w:val="24"/>
          <w:rtl/>
        </w:rPr>
        <w:t>"יכול המשלח לומר: סברתי שלא ישמע לי לעשותו. לכך, אין המשלח חייב. אבל אם אין ה</w:t>
      </w:r>
      <w:r w:rsidR="001306C3">
        <w:rPr>
          <w:rFonts w:ascii="David" w:hAnsi="David" w:cs="David" w:hint="cs"/>
          <w:sz w:val="24"/>
          <w:szCs w:val="24"/>
          <w:rtl/>
        </w:rPr>
        <w:t xml:space="preserve">שליח </w:t>
      </w:r>
      <w:r w:rsidR="00D17306">
        <w:rPr>
          <w:rFonts w:ascii="David" w:hAnsi="David" w:cs="David" w:hint="cs"/>
          <w:sz w:val="24"/>
          <w:szCs w:val="24"/>
          <w:rtl/>
        </w:rPr>
        <w:t xml:space="preserve"> בר חיובא, לא שייך האי טעמא</w:t>
      </w:r>
      <w:r w:rsidR="00D17306">
        <w:rPr>
          <w:rStyle w:val="a6"/>
          <w:rFonts w:ascii="David" w:hAnsi="David" w:cs="David"/>
          <w:sz w:val="24"/>
          <w:szCs w:val="24"/>
          <w:rtl/>
        </w:rPr>
        <w:footnoteReference w:id="24"/>
      </w:r>
      <w:r w:rsidR="00D17306">
        <w:rPr>
          <w:rFonts w:ascii="David" w:hAnsi="David" w:cs="David" w:hint="cs"/>
          <w:sz w:val="24"/>
          <w:szCs w:val="24"/>
          <w:rtl/>
        </w:rPr>
        <w:t xml:space="preserve">". </w:t>
      </w:r>
      <w:r w:rsidR="00D17306">
        <w:rPr>
          <w:rFonts w:asciiTheme="majorBidi" w:hAnsiTheme="majorBidi" w:cstheme="majorBidi" w:hint="cs"/>
          <w:sz w:val="24"/>
          <w:szCs w:val="24"/>
          <w:rtl/>
        </w:rPr>
        <w:t>אם כן, טענה זו פוטרת את המשלח.</w:t>
      </w:r>
    </w:p>
    <w:p w14:paraId="642B5E69" w14:textId="1A9EF848" w:rsidR="00D17306" w:rsidRDefault="00C3282D" w:rsidP="00C328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2. </w:t>
      </w:r>
      <w:r w:rsidR="00D17306">
        <w:rPr>
          <w:rFonts w:asciiTheme="majorBidi" w:hAnsiTheme="majorBidi" w:cstheme="majorBidi" w:hint="cs"/>
          <w:sz w:val="24"/>
          <w:szCs w:val="24"/>
          <w:rtl/>
        </w:rPr>
        <w:t xml:space="preserve">מקשה רע"א: בגמרא נאמר ששניים שהגביהו מציאה יחד קנו. לפי הסבר רבא, לא משום שמגביה מציאה לחברו קנה, אלא </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היינו טעמא מגו דזכי לנפשיה זכי נמי לחבריה</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תדע</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שאילו אמר לשלוחו</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צא וגנוב לי</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וגנב</w:t>
      </w:r>
      <w:r w:rsidR="00D17306">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פטור</w:t>
      </w:r>
      <w:r w:rsidR="0007143A">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ושותפין שגנבו חייבין</w:t>
      </w:r>
      <w:r>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מאי טעמא</w:t>
      </w:r>
      <w:r>
        <w:rPr>
          <w:rFonts w:ascii="David" w:hAnsi="David" w:cs="David" w:hint="cs"/>
          <w:color w:val="202122"/>
          <w:sz w:val="24"/>
          <w:szCs w:val="24"/>
          <w:shd w:val="clear" w:color="auto" w:fill="FFFFFF"/>
          <w:rtl/>
        </w:rPr>
        <w:t>?</w:t>
      </w:r>
      <w:r w:rsidR="00D17306" w:rsidRPr="00D17306">
        <w:rPr>
          <w:rFonts w:ascii="David" w:hAnsi="David" w:cs="David"/>
          <w:color w:val="202122"/>
          <w:sz w:val="24"/>
          <w:szCs w:val="24"/>
          <w:shd w:val="clear" w:color="auto" w:fill="FFFFFF"/>
          <w:rtl/>
        </w:rPr>
        <w:t xml:space="preserve"> לאו משום דאמרינן מגו דזכי לנפשיה זכי נמי לחבריה ש"מ</w:t>
      </w:r>
      <w:r w:rsidR="00D17306">
        <w:rPr>
          <w:rStyle w:val="a6"/>
          <w:rFonts w:ascii="David" w:hAnsi="David" w:cs="David"/>
          <w:color w:val="202122"/>
          <w:sz w:val="24"/>
          <w:szCs w:val="24"/>
          <w:shd w:val="clear" w:color="auto" w:fill="FFFFFF"/>
          <w:rtl/>
        </w:rPr>
        <w:footnoteReference w:id="25"/>
      </w:r>
      <w:r w:rsidR="00D17306">
        <w:rPr>
          <w:rFonts w:ascii="David" w:hAnsi="David" w:cs="David" w:hint="cs"/>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בעלי התוספות מבארים: </w:t>
      </w:r>
    </w:p>
    <w:p w14:paraId="414374B6" w14:textId="4CE0D37A" w:rsidR="00C3282D" w:rsidRDefault="00C3282D" w:rsidP="00C3282D">
      <w:pPr>
        <w:spacing w:after="0" w:line="360" w:lineRule="auto"/>
        <w:rPr>
          <w:rFonts w:ascii="David" w:hAnsi="David" w:cs="David"/>
          <w:sz w:val="24"/>
          <w:szCs w:val="24"/>
          <w:rtl/>
        </w:rPr>
      </w:pPr>
      <w:r w:rsidRPr="00C3282D">
        <w:rPr>
          <w:rFonts w:ascii="David" w:hAnsi="David" w:cs="David"/>
          <w:sz w:val="24"/>
          <w:szCs w:val="24"/>
          <w:rtl/>
        </w:rPr>
        <w:t>"שותפין שגנבו – שהגביהו שניהם</w:t>
      </w:r>
      <w:r>
        <w:rPr>
          <w:rStyle w:val="a6"/>
          <w:rFonts w:ascii="David" w:hAnsi="David" w:cs="David"/>
          <w:sz w:val="24"/>
          <w:szCs w:val="24"/>
          <w:rtl/>
        </w:rPr>
        <w:footnoteReference w:id="26"/>
      </w:r>
      <w:r w:rsidRPr="00C3282D">
        <w:rPr>
          <w:rFonts w:ascii="David" w:hAnsi="David" w:cs="David"/>
          <w:sz w:val="24"/>
          <w:szCs w:val="24"/>
          <w:rtl/>
        </w:rPr>
        <w:t xml:space="preserve">". </w:t>
      </w:r>
      <w:r w:rsidR="0007143A">
        <w:rPr>
          <w:rFonts w:asciiTheme="majorBidi" w:hAnsiTheme="majorBidi" w:cstheme="majorBidi" w:hint="cs"/>
          <w:sz w:val="24"/>
          <w:szCs w:val="24"/>
          <w:rtl/>
        </w:rPr>
        <w:t xml:space="preserve">פטור המשלח נובע מהכלל אין </w:t>
      </w:r>
      <w:r w:rsidR="0007143A" w:rsidRPr="002C4E94">
        <w:rPr>
          <w:rFonts w:asciiTheme="majorBidi" w:hAnsiTheme="majorBidi" w:cstheme="majorBidi"/>
          <w:sz w:val="24"/>
          <w:szCs w:val="24"/>
          <w:rtl/>
        </w:rPr>
        <w:t>שליח לדבר עבירה</w:t>
      </w:r>
      <w:r w:rsidR="0007143A">
        <w:rPr>
          <w:rStyle w:val="a6"/>
          <w:rFonts w:asciiTheme="majorBidi" w:hAnsiTheme="majorBidi" w:cstheme="majorBidi"/>
          <w:sz w:val="24"/>
          <w:szCs w:val="24"/>
          <w:rtl/>
        </w:rPr>
        <w:footnoteReference w:id="27"/>
      </w:r>
      <w:r w:rsidR="0007143A">
        <w:rPr>
          <w:rFonts w:asciiTheme="majorBidi" w:hAnsiTheme="majorBidi" w:cstheme="majorBidi" w:hint="cs"/>
          <w:sz w:val="24"/>
          <w:szCs w:val="24"/>
          <w:rtl/>
        </w:rPr>
        <w:t>. ואם שניים בכל זאת חייבים, הרי זה משום מיגו. אולם לדברי הסמ"ע לא הצלחנו להוכיח שאין מדובר מדין  שליחות, שהרי לא יכול לומר אחד לחברו 'חשבתי שלא תעשה כן' , שהרי בעיניו</w:t>
      </w:r>
      <w:r w:rsidR="00645D77">
        <w:rPr>
          <w:rFonts w:asciiTheme="majorBidi" w:hAnsiTheme="majorBidi" w:cstheme="majorBidi" w:hint="cs"/>
          <w:sz w:val="24"/>
          <w:szCs w:val="24"/>
          <w:rtl/>
        </w:rPr>
        <w:t xml:space="preserve"> </w:t>
      </w:r>
      <w:r w:rsidR="0007143A">
        <w:rPr>
          <w:rFonts w:asciiTheme="majorBidi" w:hAnsiTheme="majorBidi" w:cstheme="majorBidi" w:hint="cs"/>
          <w:sz w:val="24"/>
          <w:szCs w:val="24"/>
          <w:rtl/>
        </w:rPr>
        <w:t xml:space="preserve">הוא רואה שהוא עושה כן, ואם כן נפלה לפי הסמ"ע טענת 'דברי הרב והתלמיד' ותיתכן שליחות. אמנם, </w:t>
      </w:r>
      <w:r w:rsidR="0007143A">
        <w:rPr>
          <w:rFonts w:ascii="David" w:hAnsi="David" w:cs="David" w:hint="cs"/>
          <w:sz w:val="24"/>
          <w:szCs w:val="24"/>
          <w:rtl/>
        </w:rPr>
        <w:t>"ישראל מומר להכעיס, מכל מקום אע"פ שחטא ישראל הוא, ושייך בו 'דברי הרב..'</w:t>
      </w:r>
      <w:r w:rsidR="0007143A">
        <w:rPr>
          <w:rStyle w:val="a6"/>
          <w:rFonts w:ascii="David" w:hAnsi="David" w:cs="David"/>
          <w:sz w:val="24"/>
          <w:szCs w:val="24"/>
          <w:rtl/>
        </w:rPr>
        <w:footnoteReference w:id="28"/>
      </w:r>
      <w:r w:rsidR="0007143A">
        <w:rPr>
          <w:rFonts w:ascii="David" w:hAnsi="David" w:cs="David" w:hint="cs"/>
          <w:sz w:val="24"/>
          <w:szCs w:val="24"/>
          <w:rtl/>
        </w:rPr>
        <w:t>".</w:t>
      </w:r>
    </w:p>
    <w:p w14:paraId="48379E2A" w14:textId="5F816FF7" w:rsidR="00D15854" w:rsidRDefault="00D15854" w:rsidP="00C3282D">
      <w:pPr>
        <w:spacing w:after="0" w:line="360" w:lineRule="auto"/>
        <w:rPr>
          <w:rFonts w:ascii="David" w:hAnsi="David" w:cs="David"/>
          <w:sz w:val="24"/>
          <w:szCs w:val="24"/>
          <w:rtl/>
        </w:rPr>
      </w:pPr>
      <w:r w:rsidRPr="00D15854">
        <w:rPr>
          <w:rFonts w:asciiTheme="majorBidi" w:hAnsiTheme="majorBidi" w:cstheme="majorBidi"/>
          <w:sz w:val="24"/>
          <w:szCs w:val="24"/>
          <w:rtl/>
        </w:rPr>
        <w:t xml:space="preserve">3. </w:t>
      </w:r>
      <w:r>
        <w:rPr>
          <w:rFonts w:asciiTheme="majorBidi" w:hAnsiTheme="majorBidi" w:cstheme="majorBidi" w:hint="cs"/>
          <w:sz w:val="24"/>
          <w:szCs w:val="24"/>
          <w:rtl/>
        </w:rPr>
        <w:t xml:space="preserve">קושיה זו תקפה גם לגבי בעלי התוספות בסוגייתנו, שכתבו לגבי הכהן הנוטל שה בשוגג, </w:t>
      </w:r>
      <w:r>
        <w:rPr>
          <w:rFonts w:ascii="David" w:hAnsi="David" w:cs="David" w:hint="cs"/>
          <w:sz w:val="24"/>
          <w:szCs w:val="24"/>
          <w:rtl/>
        </w:rPr>
        <w:t>"כיוון שאין הכהן יודע שהוא בא מגניבה</w:t>
      </w:r>
      <w:r w:rsidR="00645D77">
        <w:rPr>
          <w:rFonts w:ascii="David" w:hAnsi="David" w:cs="David" w:hint="cs"/>
          <w:sz w:val="24"/>
          <w:szCs w:val="24"/>
          <w:rtl/>
        </w:rPr>
        <w:t>,</w:t>
      </w:r>
      <w:r>
        <w:rPr>
          <w:rFonts w:ascii="David" w:hAnsi="David" w:cs="David" w:hint="cs"/>
          <w:sz w:val="24"/>
          <w:szCs w:val="24"/>
          <w:rtl/>
        </w:rPr>
        <w:t xml:space="preserve"> לא שייך למימר 'דברי מי שומעים". </w:t>
      </w:r>
    </w:p>
    <w:p w14:paraId="62B28160" w14:textId="1470EA06" w:rsidR="00D15854" w:rsidRDefault="00D15854" w:rsidP="00C328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מכל האמור מסתבר שגם לדעת התוספות והסמ"ע הטענה קיימת גם כלפי ה</w:t>
      </w:r>
      <w:r w:rsidR="001306C3">
        <w:rPr>
          <w:rFonts w:asciiTheme="majorBidi" w:hAnsiTheme="majorBidi" w:cstheme="majorBidi" w:hint="cs"/>
          <w:sz w:val="24"/>
          <w:szCs w:val="24"/>
          <w:rtl/>
        </w:rPr>
        <w:t>שליח</w:t>
      </w:r>
      <w:r>
        <w:rPr>
          <w:rFonts w:asciiTheme="majorBidi" w:hAnsiTheme="majorBidi" w:cstheme="majorBidi" w:hint="cs"/>
          <w:sz w:val="24"/>
          <w:szCs w:val="24"/>
          <w:rtl/>
        </w:rPr>
        <w:t>. כבר ביארנו שהסמ"ע מחייב קודם כל את ה</w:t>
      </w:r>
      <w:r w:rsidR="001306C3">
        <w:rPr>
          <w:rFonts w:asciiTheme="majorBidi" w:hAnsiTheme="majorBidi" w:cstheme="majorBidi" w:hint="cs"/>
          <w:sz w:val="24"/>
          <w:szCs w:val="24"/>
          <w:rtl/>
        </w:rPr>
        <w:t xml:space="preserve">שליח </w:t>
      </w:r>
      <w:r>
        <w:rPr>
          <w:rFonts w:asciiTheme="majorBidi" w:hAnsiTheme="majorBidi" w:cstheme="majorBidi" w:hint="cs"/>
          <w:sz w:val="24"/>
          <w:szCs w:val="24"/>
          <w:rtl/>
        </w:rPr>
        <w:t xml:space="preserve"> אם אין לו פטור כגון שוגג. על כן הוכחת הגמרא לקניין השותפים תקפה, שטענת 'דברי הרב' צריכה לחייב</w:t>
      </w:r>
      <w:r w:rsidR="00645D77">
        <w:rPr>
          <w:rFonts w:asciiTheme="majorBidi" w:hAnsiTheme="majorBidi" w:cstheme="majorBidi" w:hint="cs"/>
          <w:sz w:val="24"/>
          <w:szCs w:val="24"/>
          <w:rtl/>
        </w:rPr>
        <w:t xml:space="preserve"> רק</w:t>
      </w:r>
      <w:r>
        <w:rPr>
          <w:rFonts w:asciiTheme="majorBidi" w:hAnsiTheme="majorBidi" w:cstheme="majorBidi" w:hint="cs"/>
          <w:sz w:val="24"/>
          <w:szCs w:val="24"/>
          <w:rtl/>
        </w:rPr>
        <w:t xml:space="preserve"> את ה</w:t>
      </w:r>
      <w:r w:rsidR="001306C3">
        <w:rPr>
          <w:rFonts w:asciiTheme="majorBidi" w:hAnsiTheme="majorBidi" w:cstheme="majorBidi" w:hint="cs"/>
          <w:sz w:val="24"/>
          <w:szCs w:val="24"/>
          <w:rtl/>
        </w:rPr>
        <w:t>שליח</w:t>
      </w:r>
      <w:r>
        <w:rPr>
          <w:rFonts w:asciiTheme="majorBidi" w:hAnsiTheme="majorBidi" w:cstheme="majorBidi" w:hint="cs"/>
          <w:sz w:val="24"/>
          <w:szCs w:val="24"/>
          <w:rtl/>
        </w:rPr>
        <w:t>, ואם בכל זאת שניהם חייבים, אין זה מטעם שליחות אלא מטעם מיגו, כפי שהוכיחה הגמרא.</w:t>
      </w:r>
    </w:p>
    <w:p w14:paraId="4E200F10" w14:textId="6741EE61" w:rsidR="00D15854" w:rsidRPr="00D15854" w:rsidRDefault="00D15854" w:rsidP="00C3282D">
      <w:pPr>
        <w:spacing w:after="0" w:line="360" w:lineRule="auto"/>
        <w:rPr>
          <w:rFonts w:ascii="David" w:hAnsi="David" w:cs="David"/>
          <w:sz w:val="24"/>
          <w:szCs w:val="24"/>
          <w:rtl/>
        </w:rPr>
      </w:pPr>
      <w:r>
        <w:rPr>
          <w:rFonts w:ascii="David" w:hAnsi="David" w:cs="David" w:hint="cs"/>
          <w:sz w:val="24"/>
          <w:szCs w:val="24"/>
          <w:rtl/>
        </w:rPr>
        <w:t>"בשליחות יד המשלח לא יכול לטעון: 'לא העליתי בדעתי שה</w:t>
      </w:r>
      <w:r w:rsidR="001306C3">
        <w:rPr>
          <w:rFonts w:ascii="David" w:hAnsi="David" w:cs="David" w:hint="cs"/>
          <w:sz w:val="24"/>
          <w:szCs w:val="24"/>
          <w:rtl/>
        </w:rPr>
        <w:t>שליח</w:t>
      </w:r>
      <w:r>
        <w:rPr>
          <w:rFonts w:ascii="David" w:hAnsi="David" w:cs="David" w:hint="cs"/>
          <w:sz w:val="24"/>
          <w:szCs w:val="24"/>
          <w:rtl/>
        </w:rPr>
        <w:t>ות תבוצע, שהתורה מחייבת אותו אפילו לחשוש שאכן תבוצע שליחותו. ובזה אינו מסתלק ממינוי ה</w:t>
      </w:r>
      <w:r w:rsidR="001306C3">
        <w:rPr>
          <w:rFonts w:ascii="David" w:hAnsi="David" w:cs="David" w:hint="cs"/>
          <w:sz w:val="24"/>
          <w:szCs w:val="24"/>
          <w:rtl/>
        </w:rPr>
        <w:t>שליח</w:t>
      </w:r>
      <w:r>
        <w:rPr>
          <w:rFonts w:ascii="David" w:hAnsi="David" w:cs="David" w:hint="cs"/>
          <w:sz w:val="24"/>
          <w:szCs w:val="24"/>
          <w:rtl/>
        </w:rPr>
        <w:t>ות, וברגע שלא יתחייב</w:t>
      </w:r>
      <w:r w:rsidR="00645D77">
        <w:rPr>
          <w:rFonts w:ascii="David" w:hAnsi="David" w:cs="David" w:hint="cs"/>
          <w:sz w:val="24"/>
          <w:szCs w:val="24"/>
          <w:rtl/>
        </w:rPr>
        <w:t xml:space="preserve"> </w:t>
      </w:r>
      <w:r>
        <w:rPr>
          <w:rFonts w:ascii="David" w:hAnsi="David" w:cs="David" w:hint="cs"/>
          <w:sz w:val="24"/>
          <w:szCs w:val="24"/>
          <w:rtl/>
        </w:rPr>
        <w:t>ה</w:t>
      </w:r>
      <w:r w:rsidR="001306C3">
        <w:rPr>
          <w:rFonts w:ascii="David" w:hAnsi="David" w:cs="David" w:hint="cs"/>
          <w:sz w:val="24"/>
          <w:szCs w:val="24"/>
          <w:rtl/>
        </w:rPr>
        <w:t>שליח</w:t>
      </w:r>
      <w:r w:rsidR="00645D77">
        <w:rPr>
          <w:rFonts w:ascii="David" w:hAnsi="David" w:cs="David" w:hint="cs"/>
          <w:sz w:val="24"/>
          <w:szCs w:val="24"/>
          <w:rtl/>
        </w:rPr>
        <w:t>,</w:t>
      </w:r>
      <w:r w:rsidR="001306C3">
        <w:rPr>
          <w:rFonts w:ascii="David" w:hAnsi="David" w:cs="David" w:hint="cs"/>
          <w:sz w:val="24"/>
          <w:szCs w:val="24"/>
          <w:rtl/>
        </w:rPr>
        <w:t xml:space="preserve"> </w:t>
      </w:r>
      <w:r>
        <w:rPr>
          <w:rFonts w:ascii="David" w:hAnsi="David" w:cs="David" w:hint="cs"/>
          <w:sz w:val="24"/>
          <w:szCs w:val="24"/>
          <w:rtl/>
        </w:rPr>
        <w:t xml:space="preserve"> (שוגג , אינו בר חיובא), יתחייב המשלח</w:t>
      </w:r>
      <w:r>
        <w:rPr>
          <w:rStyle w:val="a6"/>
          <w:rFonts w:ascii="David" w:hAnsi="David" w:cs="David"/>
          <w:sz w:val="24"/>
          <w:szCs w:val="24"/>
          <w:rtl/>
        </w:rPr>
        <w:footnoteReference w:id="29"/>
      </w:r>
      <w:r>
        <w:rPr>
          <w:rFonts w:ascii="David" w:hAnsi="David" w:cs="David" w:hint="cs"/>
          <w:sz w:val="24"/>
          <w:szCs w:val="24"/>
          <w:rtl/>
        </w:rPr>
        <w:t>".</w:t>
      </w:r>
    </w:p>
    <w:p w14:paraId="33991562" w14:textId="77777777" w:rsidR="00D17306" w:rsidRPr="00D17306" w:rsidRDefault="00D17306" w:rsidP="00EB2F0F">
      <w:pPr>
        <w:spacing w:after="0" w:line="360" w:lineRule="auto"/>
        <w:rPr>
          <w:rFonts w:asciiTheme="majorBidi" w:hAnsiTheme="majorBidi" w:cstheme="majorBidi"/>
          <w:b/>
          <w:bCs/>
          <w:sz w:val="24"/>
          <w:szCs w:val="24"/>
        </w:rPr>
      </w:pPr>
    </w:p>
    <w:sectPr w:rsidR="00D17306" w:rsidRPr="00D17306" w:rsidSect="00A6520E">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7A59" w14:textId="77777777" w:rsidR="0067072C" w:rsidRDefault="0067072C" w:rsidP="00A55B1D">
      <w:pPr>
        <w:spacing w:after="0" w:line="240" w:lineRule="auto"/>
      </w:pPr>
      <w:r>
        <w:separator/>
      </w:r>
    </w:p>
  </w:endnote>
  <w:endnote w:type="continuationSeparator" w:id="0">
    <w:p w14:paraId="7BEEF14E" w14:textId="77777777" w:rsidR="0067072C" w:rsidRDefault="0067072C" w:rsidP="00A5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CA22" w14:textId="77777777" w:rsidR="0067072C" w:rsidRDefault="0067072C" w:rsidP="00A55B1D">
      <w:pPr>
        <w:spacing w:after="0" w:line="240" w:lineRule="auto"/>
      </w:pPr>
      <w:r>
        <w:separator/>
      </w:r>
    </w:p>
  </w:footnote>
  <w:footnote w:type="continuationSeparator" w:id="0">
    <w:p w14:paraId="772660BD" w14:textId="77777777" w:rsidR="0067072C" w:rsidRDefault="0067072C" w:rsidP="00A55B1D">
      <w:pPr>
        <w:spacing w:after="0" w:line="240" w:lineRule="auto"/>
      </w:pPr>
      <w:r>
        <w:continuationSeparator/>
      </w:r>
    </w:p>
  </w:footnote>
  <w:footnote w:id="1">
    <w:p w14:paraId="348E7FAF" w14:textId="311C967B" w:rsidR="00F11F6A" w:rsidRPr="00F11F6A" w:rsidRDefault="00F11F6A" w:rsidP="00F11F6A">
      <w:pPr>
        <w:pStyle w:val="a4"/>
        <w:spacing w:line="360" w:lineRule="auto"/>
        <w:rPr>
          <w:rFonts w:asciiTheme="majorBidi" w:hAnsiTheme="majorBidi" w:cstheme="majorBidi"/>
          <w:rtl/>
        </w:rPr>
      </w:pPr>
      <w:r w:rsidRPr="00F11F6A">
        <w:rPr>
          <w:rStyle w:val="a6"/>
          <w:rFonts w:asciiTheme="majorBidi" w:hAnsiTheme="majorBidi" w:cstheme="majorBidi"/>
        </w:rPr>
        <w:footnoteRef/>
      </w:r>
      <w:r w:rsidRPr="00F11F6A">
        <w:rPr>
          <w:rFonts w:asciiTheme="majorBidi" w:hAnsiTheme="majorBidi" w:cstheme="majorBidi"/>
          <w:rtl/>
        </w:rPr>
        <w:t xml:space="preserve"> ביחס בין שתי הטענות נדון בסיום הדברים.</w:t>
      </w:r>
    </w:p>
  </w:footnote>
  <w:footnote w:id="2">
    <w:p w14:paraId="79AD2C32" w14:textId="46EB305E" w:rsidR="00152A57" w:rsidRPr="00947A2F" w:rsidRDefault="00152A57" w:rsidP="00F11F6A">
      <w:pPr>
        <w:pStyle w:val="a4"/>
        <w:spacing w:line="360" w:lineRule="auto"/>
        <w:rPr>
          <w:rFonts w:asciiTheme="majorBidi" w:hAnsiTheme="majorBidi" w:cstheme="majorBidi"/>
        </w:rPr>
      </w:pPr>
      <w:r w:rsidRPr="00947A2F">
        <w:rPr>
          <w:rStyle w:val="a6"/>
          <w:rFonts w:asciiTheme="majorBidi" w:hAnsiTheme="majorBidi" w:cstheme="majorBidi"/>
        </w:rPr>
        <w:footnoteRef/>
      </w:r>
      <w:r w:rsidRPr="00947A2F">
        <w:rPr>
          <w:rFonts w:asciiTheme="majorBidi" w:hAnsiTheme="majorBidi" w:cstheme="majorBidi"/>
          <w:rtl/>
        </w:rPr>
        <w:t xml:space="preserve"> מסכת בבא מציעא דף י עמוד ב.</w:t>
      </w:r>
    </w:p>
  </w:footnote>
  <w:footnote w:id="3">
    <w:p w14:paraId="38F9DD12" w14:textId="786FF297" w:rsidR="00A55B1D" w:rsidRPr="00947A2F" w:rsidRDefault="00A55B1D" w:rsidP="00947A2F">
      <w:pPr>
        <w:spacing w:after="0" w:line="360" w:lineRule="auto"/>
        <w:rPr>
          <w:rFonts w:asciiTheme="majorBidi" w:hAnsiTheme="majorBidi" w:cstheme="majorBidi"/>
          <w:sz w:val="20"/>
          <w:szCs w:val="20"/>
        </w:rPr>
      </w:pPr>
      <w:r w:rsidRPr="00947A2F">
        <w:rPr>
          <w:rStyle w:val="a6"/>
          <w:rFonts w:asciiTheme="majorBidi" w:hAnsiTheme="majorBidi" w:cstheme="majorBidi"/>
          <w:sz w:val="20"/>
          <w:szCs w:val="20"/>
        </w:rPr>
        <w:footnoteRef/>
      </w:r>
      <w:r w:rsidRPr="00947A2F">
        <w:rPr>
          <w:rFonts w:asciiTheme="majorBidi" w:hAnsiTheme="majorBidi" w:cstheme="majorBidi"/>
          <w:sz w:val="20"/>
          <w:szCs w:val="20"/>
          <w:rtl/>
        </w:rPr>
        <w:t xml:space="preserve"> משנה מסכת בבא קמא פרק ז משנה ו.</w:t>
      </w:r>
    </w:p>
  </w:footnote>
  <w:footnote w:id="4">
    <w:p w14:paraId="422E16A4" w14:textId="53E6CA3E" w:rsidR="00BE4172" w:rsidRPr="00947A2F" w:rsidRDefault="00BE4172" w:rsidP="00947A2F">
      <w:pPr>
        <w:pStyle w:val="a4"/>
        <w:spacing w:line="360" w:lineRule="auto"/>
        <w:rPr>
          <w:rFonts w:asciiTheme="majorBidi" w:hAnsiTheme="majorBidi" w:cstheme="majorBidi"/>
          <w:rtl/>
        </w:rPr>
      </w:pPr>
      <w:r w:rsidRPr="00947A2F">
        <w:rPr>
          <w:rStyle w:val="a6"/>
          <w:rFonts w:asciiTheme="majorBidi" w:hAnsiTheme="majorBidi" w:cstheme="majorBidi"/>
        </w:rPr>
        <w:footnoteRef/>
      </w:r>
      <w:r w:rsidRPr="00947A2F">
        <w:rPr>
          <w:rFonts w:asciiTheme="majorBidi" w:hAnsiTheme="majorBidi" w:cstheme="majorBidi"/>
          <w:rtl/>
        </w:rPr>
        <w:t xml:space="preserve"> ד"ה אמאי. </w:t>
      </w:r>
    </w:p>
  </w:footnote>
  <w:footnote w:id="5">
    <w:p w14:paraId="521453F6" w14:textId="69F04159" w:rsidR="008265DF" w:rsidRDefault="008265DF">
      <w:pPr>
        <w:pStyle w:val="a4"/>
      </w:pPr>
      <w:r>
        <w:rPr>
          <w:rStyle w:val="a6"/>
        </w:rPr>
        <w:footnoteRef/>
      </w:r>
      <w:r>
        <w:rPr>
          <w:rtl/>
        </w:rPr>
        <w:t xml:space="preserve"> </w:t>
      </w:r>
    </w:p>
  </w:footnote>
  <w:footnote w:id="6">
    <w:p w14:paraId="4ABA6BA7" w14:textId="6ED7FAFC" w:rsidR="005F6F72" w:rsidRPr="005F6F72" w:rsidRDefault="008265DF" w:rsidP="001306C3">
      <w:pPr>
        <w:pStyle w:val="a4"/>
        <w:rPr>
          <w:rFonts w:asciiTheme="majorBidi" w:hAnsiTheme="majorBidi" w:cstheme="majorBidi"/>
          <w:rtl/>
        </w:rPr>
      </w:pPr>
      <w:r w:rsidRPr="008265DF">
        <w:rPr>
          <w:rStyle w:val="a6"/>
          <w:rFonts w:asciiTheme="majorBidi" w:hAnsiTheme="majorBidi" w:cstheme="majorBidi"/>
        </w:rPr>
        <w:footnoteRef/>
      </w:r>
      <w:r w:rsidRPr="008265DF">
        <w:rPr>
          <w:rFonts w:asciiTheme="majorBidi" w:hAnsiTheme="majorBidi" w:cstheme="majorBidi"/>
          <w:rtl/>
        </w:rPr>
        <w:t xml:space="preserve"> ים של שלמה בבא קמא פרק שביעי סימן לג.</w:t>
      </w:r>
      <w:r>
        <w:rPr>
          <w:rFonts w:asciiTheme="majorBidi" w:hAnsiTheme="majorBidi" w:cstheme="majorBidi" w:hint="cs"/>
          <w:rtl/>
        </w:rPr>
        <w:t xml:space="preserve"> הוא מתפלמס עם דברי הר"ן, בשא</w:t>
      </w:r>
      <w:r w:rsidR="00480DFF">
        <w:rPr>
          <w:rFonts w:asciiTheme="majorBidi" w:hAnsiTheme="majorBidi" w:cstheme="majorBidi" w:hint="cs"/>
          <w:rtl/>
        </w:rPr>
        <w:t>ל</w:t>
      </w:r>
      <w:r>
        <w:rPr>
          <w:rFonts w:asciiTheme="majorBidi" w:hAnsiTheme="majorBidi" w:cstheme="majorBidi" w:hint="cs"/>
          <w:rtl/>
        </w:rPr>
        <w:t>ה מה</w:t>
      </w:r>
      <w:r w:rsidR="00480DFF">
        <w:rPr>
          <w:rFonts w:asciiTheme="majorBidi" w:hAnsiTheme="majorBidi" w:cstheme="majorBidi" w:hint="cs"/>
          <w:rtl/>
        </w:rPr>
        <w:t>י</w:t>
      </w:r>
      <w:r>
        <w:rPr>
          <w:rFonts w:asciiTheme="majorBidi" w:hAnsiTheme="majorBidi" w:cstheme="majorBidi" w:hint="cs"/>
          <w:rtl/>
        </w:rPr>
        <w:t xml:space="preserve"> מידת אחריותו של יואב למות אוריה על פי סוגייתנו, בהנחה שיואב סבר לתומו</w:t>
      </w:r>
      <w:r w:rsidR="005F6F72">
        <w:rPr>
          <w:rFonts w:asciiTheme="majorBidi" w:hAnsiTheme="majorBidi" w:cstheme="majorBidi" w:hint="cs"/>
          <w:rtl/>
        </w:rPr>
        <w:t xml:space="preserve"> שאוריה חייב מיתה. קטונתי, אך כפי שביארנו </w:t>
      </w:r>
      <w:r w:rsidR="0045154B" w:rsidRPr="001306C3">
        <w:rPr>
          <w:rFonts w:asciiTheme="majorBidi" w:hAnsiTheme="majorBidi" w:cstheme="majorBidi" w:hint="cs"/>
          <w:sz w:val="18"/>
          <w:szCs w:val="18"/>
          <w:rtl/>
        </w:rPr>
        <w:t>(</w:t>
      </w:r>
      <w:r w:rsidR="005F6F72" w:rsidRPr="001306C3">
        <w:rPr>
          <w:rFonts w:asciiTheme="majorBidi" w:hAnsiTheme="majorBidi" w:cstheme="majorBidi" w:hint="cs"/>
          <w:sz w:val="18"/>
          <w:szCs w:val="18"/>
          <w:rtl/>
        </w:rPr>
        <w:t>במסכת סנהדרין דף קז</w:t>
      </w:r>
      <w:r w:rsidR="0045154B" w:rsidRPr="001306C3">
        <w:rPr>
          <w:rFonts w:asciiTheme="majorBidi" w:hAnsiTheme="majorBidi" w:cstheme="majorBidi" w:hint="cs"/>
          <w:sz w:val="18"/>
          <w:szCs w:val="18"/>
          <w:rtl/>
        </w:rPr>
        <w:t>)</w:t>
      </w:r>
      <w:r w:rsidR="005F6F72" w:rsidRPr="001306C3">
        <w:rPr>
          <w:rFonts w:asciiTheme="majorBidi" w:hAnsiTheme="majorBidi" w:cstheme="majorBidi" w:hint="cs"/>
          <w:sz w:val="18"/>
          <w:szCs w:val="18"/>
          <w:rtl/>
        </w:rPr>
        <w:t xml:space="preserve">, </w:t>
      </w:r>
      <w:r w:rsidR="005F6F72">
        <w:rPr>
          <w:rFonts w:asciiTheme="majorBidi" w:hAnsiTheme="majorBidi" w:cstheme="majorBidi" w:hint="cs"/>
          <w:rtl/>
        </w:rPr>
        <w:t>מסתבר שיואב כלל לא הפקיר את אוריה למוות, אלא הרשה לו להתנדב למשימה מסוכנת, שהרי גם אחרים מתו עימו. ומה שכתב לו דוד</w:t>
      </w:r>
      <w:r w:rsidR="0045154B">
        <w:rPr>
          <w:rFonts w:asciiTheme="majorBidi" w:hAnsiTheme="majorBidi" w:cstheme="majorBidi" w:hint="cs"/>
          <w:rtl/>
        </w:rPr>
        <w:t>:</w:t>
      </w:r>
      <w:r w:rsidR="005F6F72">
        <w:rPr>
          <w:rFonts w:asciiTheme="majorBidi" w:hAnsiTheme="majorBidi" w:cstheme="majorBidi" w:hint="cs"/>
          <w:rtl/>
        </w:rPr>
        <w:t xml:space="preserve"> 'ושבתם מאחריו' - אין כל ראייה ש</w:t>
      </w:r>
      <w:r w:rsidR="0045154B">
        <w:rPr>
          <w:rFonts w:asciiTheme="majorBidi" w:hAnsiTheme="majorBidi" w:cstheme="majorBidi" w:hint="cs"/>
          <w:rtl/>
        </w:rPr>
        <w:t xml:space="preserve">יואב </w:t>
      </w:r>
      <w:r w:rsidR="005F6F72">
        <w:rPr>
          <w:rFonts w:asciiTheme="majorBidi" w:hAnsiTheme="majorBidi" w:cstheme="majorBidi" w:hint="cs"/>
          <w:rtl/>
        </w:rPr>
        <w:t>קיים</w:t>
      </w:r>
      <w:r w:rsidR="00480DFF">
        <w:rPr>
          <w:rFonts w:asciiTheme="majorBidi" w:hAnsiTheme="majorBidi" w:cstheme="majorBidi" w:hint="cs"/>
          <w:rtl/>
        </w:rPr>
        <w:t xml:space="preserve"> בפועל</w:t>
      </w:r>
      <w:r w:rsidR="005F6F72">
        <w:rPr>
          <w:rFonts w:asciiTheme="majorBidi" w:hAnsiTheme="majorBidi" w:cstheme="majorBidi" w:hint="cs"/>
          <w:rtl/>
        </w:rPr>
        <w:t>. אכן גם הש"ך כתב</w:t>
      </w:r>
      <w:r w:rsidR="0045154B">
        <w:rPr>
          <w:rFonts w:asciiTheme="majorBidi" w:hAnsiTheme="majorBidi" w:cstheme="majorBidi" w:hint="cs"/>
          <w:rtl/>
        </w:rPr>
        <w:t xml:space="preserve"> לתמוך דעת הריטב"א</w:t>
      </w:r>
      <w:r w:rsidR="005F6F72">
        <w:rPr>
          <w:rFonts w:asciiTheme="majorBidi" w:hAnsiTheme="majorBidi" w:cstheme="majorBidi" w:hint="cs"/>
          <w:rtl/>
        </w:rPr>
        <w:t xml:space="preserve">:  </w:t>
      </w:r>
      <w:r w:rsidR="005F6F72">
        <w:rPr>
          <w:rFonts w:asciiTheme="majorBidi" w:hAnsiTheme="majorBidi" w:cs="Times New Roman" w:hint="cs"/>
          <w:rtl/>
        </w:rPr>
        <w:t xml:space="preserve"> </w:t>
      </w:r>
      <w:r w:rsidR="005F6F72" w:rsidRPr="0045154B">
        <w:rPr>
          <w:rFonts w:ascii="David" w:hAnsi="David" w:cs="David"/>
          <w:rtl/>
        </w:rPr>
        <w:t>"טעמא דשמאי הזקן משום דס"ל דבכל דוכתי יש שלד"ע.</w:t>
      </w:r>
      <w:r w:rsidR="0045154B" w:rsidRPr="0045154B">
        <w:rPr>
          <w:rFonts w:ascii="David" w:hAnsi="David" w:cs="David"/>
          <w:rtl/>
        </w:rPr>
        <w:t>.</w:t>
      </w:r>
      <w:r w:rsidR="005F6F72" w:rsidRPr="0045154B">
        <w:rPr>
          <w:rFonts w:ascii="David" w:hAnsi="David" w:cs="David"/>
          <w:rtl/>
        </w:rPr>
        <w:t xml:space="preserve"> ואם איתא</w:t>
      </w:r>
      <w:r w:rsidR="001306C3">
        <w:rPr>
          <w:rFonts w:ascii="David" w:hAnsi="David" w:cs="David" w:hint="cs"/>
          <w:rtl/>
        </w:rPr>
        <w:t>,</w:t>
      </w:r>
      <w:r w:rsidR="005F6F72" w:rsidRPr="0045154B">
        <w:rPr>
          <w:rFonts w:ascii="David" w:hAnsi="David" w:cs="David"/>
          <w:rtl/>
        </w:rPr>
        <w:t xml:space="preserve"> הא אפי' ס"ל בכל דוכתי אין שלד"ע ולא גלי לן הכא קרא מידי</w:t>
      </w:r>
      <w:r w:rsidR="001306C3">
        <w:rPr>
          <w:rFonts w:ascii="David" w:hAnsi="David" w:cs="David" w:hint="cs"/>
          <w:rtl/>
        </w:rPr>
        <w:t>-</w:t>
      </w:r>
      <w:r w:rsidR="005F6F72" w:rsidRPr="0045154B">
        <w:rPr>
          <w:rFonts w:ascii="David" w:hAnsi="David" w:cs="David"/>
          <w:rtl/>
        </w:rPr>
        <w:t xml:space="preserve"> ניחא, כיון דיואב היה שוגג</w:t>
      </w:r>
      <w:r w:rsidR="0045154B">
        <w:rPr>
          <w:rFonts w:asciiTheme="majorBidi" w:hAnsiTheme="majorBidi" w:cstheme="majorBidi" w:hint="cs"/>
          <w:rtl/>
        </w:rPr>
        <w:t>"</w:t>
      </w:r>
      <w:r w:rsidR="005F6F72">
        <w:rPr>
          <w:rFonts w:asciiTheme="majorBidi" w:hAnsiTheme="majorBidi" w:cstheme="majorBidi" w:hint="cs"/>
          <w:rtl/>
        </w:rPr>
        <w:t xml:space="preserve"> </w:t>
      </w:r>
      <w:r w:rsidR="005F6F72">
        <w:rPr>
          <w:rFonts w:asciiTheme="majorBidi" w:hAnsiTheme="majorBidi" w:cs="Times New Roman" w:hint="cs"/>
          <w:rtl/>
        </w:rPr>
        <w:t>(</w:t>
      </w:r>
      <w:r w:rsidR="005F6F72" w:rsidRPr="005F6F72">
        <w:rPr>
          <w:rFonts w:asciiTheme="majorBidi" w:hAnsiTheme="majorBidi" w:cs="Times New Roman"/>
          <w:rtl/>
        </w:rPr>
        <w:t>ש"ך חושן משפט סימן שמח ס"ק ו</w:t>
      </w:r>
      <w:r w:rsidR="005F6F72">
        <w:rPr>
          <w:rFonts w:asciiTheme="majorBidi" w:hAnsiTheme="majorBidi" w:cstheme="majorBidi" w:hint="cs"/>
          <w:rtl/>
        </w:rPr>
        <w:t>).</w:t>
      </w:r>
      <w:r w:rsidR="00361D6C">
        <w:rPr>
          <w:rFonts w:asciiTheme="majorBidi" w:hAnsiTheme="majorBidi" w:cstheme="majorBidi" w:hint="cs"/>
          <w:rtl/>
        </w:rPr>
        <w:t xml:space="preserve"> ועיין מה שהבאנו בסמוך מדברי הנודע ביהודה.</w:t>
      </w:r>
    </w:p>
    <w:p w14:paraId="7AEBCFE5" w14:textId="217B42AA" w:rsidR="005F6F72" w:rsidRPr="008265DF" w:rsidRDefault="005F6F72" w:rsidP="001306C3">
      <w:pPr>
        <w:pStyle w:val="a4"/>
        <w:rPr>
          <w:rFonts w:asciiTheme="majorBidi" w:hAnsiTheme="majorBidi" w:cstheme="majorBidi"/>
          <w:rtl/>
        </w:rPr>
      </w:pPr>
      <w:r>
        <w:rPr>
          <w:rFonts w:asciiTheme="majorBidi" w:hAnsiTheme="majorBidi" w:cs="Times New Roman" w:hint="cs"/>
          <w:rtl/>
        </w:rPr>
        <w:t xml:space="preserve"> </w:t>
      </w:r>
    </w:p>
  </w:footnote>
  <w:footnote w:id="7">
    <w:p w14:paraId="508EE70A" w14:textId="00C65FB1" w:rsidR="0061771A" w:rsidRPr="00947A2F" w:rsidRDefault="0061771A" w:rsidP="00947A2F">
      <w:pPr>
        <w:pStyle w:val="a4"/>
        <w:spacing w:line="360" w:lineRule="auto"/>
        <w:rPr>
          <w:rFonts w:asciiTheme="majorBidi" w:hAnsiTheme="majorBidi" w:cstheme="majorBidi"/>
        </w:rPr>
      </w:pPr>
      <w:r w:rsidRPr="00947A2F">
        <w:rPr>
          <w:rStyle w:val="a6"/>
          <w:rFonts w:asciiTheme="majorBidi" w:hAnsiTheme="majorBidi" w:cstheme="majorBidi"/>
        </w:rPr>
        <w:footnoteRef/>
      </w:r>
      <w:r w:rsidRPr="00947A2F">
        <w:rPr>
          <w:rFonts w:asciiTheme="majorBidi" w:hAnsiTheme="majorBidi" w:cstheme="majorBidi"/>
          <w:rtl/>
        </w:rPr>
        <w:t xml:space="preserve"> ובעקבותיהם המהרש"א כאן.</w:t>
      </w:r>
    </w:p>
  </w:footnote>
  <w:footnote w:id="8">
    <w:p w14:paraId="24688CD8" w14:textId="0059D7E2" w:rsidR="0061771A" w:rsidRPr="00947A2F" w:rsidRDefault="0061771A" w:rsidP="00947A2F">
      <w:pPr>
        <w:spacing w:after="0" w:line="360" w:lineRule="auto"/>
        <w:rPr>
          <w:rFonts w:asciiTheme="majorBidi" w:hAnsiTheme="majorBidi" w:cstheme="majorBidi"/>
          <w:sz w:val="20"/>
          <w:szCs w:val="20"/>
        </w:rPr>
      </w:pPr>
      <w:r w:rsidRPr="00947A2F">
        <w:rPr>
          <w:rStyle w:val="a6"/>
          <w:rFonts w:asciiTheme="majorBidi" w:hAnsiTheme="majorBidi" w:cstheme="majorBidi"/>
          <w:sz w:val="20"/>
          <w:szCs w:val="20"/>
        </w:rPr>
        <w:footnoteRef/>
      </w:r>
      <w:r w:rsidRPr="00947A2F">
        <w:rPr>
          <w:rFonts w:asciiTheme="majorBidi" w:hAnsiTheme="majorBidi" w:cstheme="majorBidi"/>
          <w:sz w:val="20"/>
          <w:szCs w:val="20"/>
          <w:rtl/>
        </w:rPr>
        <w:t xml:space="preserve"> תוספות מסכת בבא קמא דף עט עמוד א סוף ד"ה נתנו.</w:t>
      </w:r>
    </w:p>
  </w:footnote>
  <w:footnote w:id="9">
    <w:p w14:paraId="33F142B7" w14:textId="37206511" w:rsidR="008265DF" w:rsidRPr="008265DF" w:rsidRDefault="008265DF" w:rsidP="008265DF">
      <w:pPr>
        <w:pStyle w:val="a4"/>
        <w:spacing w:line="360" w:lineRule="auto"/>
        <w:rPr>
          <w:rFonts w:asciiTheme="majorBidi" w:hAnsiTheme="majorBidi" w:cstheme="majorBidi"/>
        </w:rPr>
      </w:pPr>
      <w:r w:rsidRPr="008265DF">
        <w:rPr>
          <w:rStyle w:val="a6"/>
          <w:rFonts w:asciiTheme="majorBidi" w:hAnsiTheme="majorBidi" w:cstheme="majorBidi"/>
        </w:rPr>
        <w:footnoteRef/>
      </w:r>
      <w:r w:rsidRPr="008265DF">
        <w:rPr>
          <w:rFonts w:asciiTheme="majorBidi" w:hAnsiTheme="majorBidi" w:cstheme="majorBidi"/>
          <w:rtl/>
        </w:rPr>
        <w:t xml:space="preserve"> נימוקי יוסף בבא קמא,  דף כט עמוד א מדפי הרי"ף.</w:t>
      </w:r>
    </w:p>
  </w:footnote>
  <w:footnote w:id="10">
    <w:p w14:paraId="6EB096E4" w14:textId="379F90B6" w:rsidR="00C3282D" w:rsidRPr="00C3282D" w:rsidRDefault="00C3282D">
      <w:pPr>
        <w:pStyle w:val="a4"/>
        <w:rPr>
          <w:rFonts w:asciiTheme="majorBidi" w:hAnsiTheme="majorBidi" w:cstheme="majorBidi"/>
          <w:rtl/>
        </w:rPr>
      </w:pPr>
      <w:r w:rsidRPr="00C3282D">
        <w:rPr>
          <w:rStyle w:val="a6"/>
          <w:rFonts w:asciiTheme="majorBidi" w:hAnsiTheme="majorBidi" w:cstheme="majorBidi"/>
        </w:rPr>
        <w:footnoteRef/>
      </w:r>
      <w:r w:rsidRPr="00C3282D">
        <w:rPr>
          <w:rFonts w:asciiTheme="majorBidi" w:hAnsiTheme="majorBidi" w:cstheme="majorBidi"/>
          <w:rtl/>
        </w:rPr>
        <w:t xml:space="preserve"> כן הקשה גם רע"א כאן.</w:t>
      </w:r>
    </w:p>
  </w:footnote>
  <w:footnote w:id="11">
    <w:p w14:paraId="010CF9E7" w14:textId="6140E5FD" w:rsidR="00361D6C" w:rsidRPr="00F11F6A" w:rsidRDefault="00361D6C" w:rsidP="00F11F6A">
      <w:pPr>
        <w:spacing w:after="0" w:line="360" w:lineRule="auto"/>
        <w:rPr>
          <w:rFonts w:asciiTheme="majorBidi" w:hAnsiTheme="majorBidi" w:cstheme="majorBidi"/>
          <w:sz w:val="20"/>
          <w:szCs w:val="20"/>
        </w:rPr>
      </w:pPr>
      <w:r w:rsidRPr="00361D6C">
        <w:rPr>
          <w:rStyle w:val="a6"/>
          <w:rFonts w:asciiTheme="majorBidi" w:hAnsiTheme="majorBidi" w:cstheme="majorBidi"/>
          <w:sz w:val="20"/>
          <w:szCs w:val="20"/>
        </w:rPr>
        <w:footnoteRef/>
      </w:r>
      <w:r w:rsidRPr="00361D6C">
        <w:rPr>
          <w:rFonts w:asciiTheme="majorBidi" w:hAnsiTheme="majorBidi" w:cstheme="majorBidi"/>
          <w:sz w:val="20"/>
          <w:szCs w:val="20"/>
          <w:rtl/>
        </w:rPr>
        <w:t xml:space="preserve"> שו"ת נודע ביהודה מהדורא קמא - אבן העזר סימן עה. את הראיה האחרונה הוא מציע ל</w:t>
      </w:r>
      <w:r w:rsidR="000003C6">
        <w:rPr>
          <w:rFonts w:asciiTheme="majorBidi" w:hAnsiTheme="majorBidi" w:cstheme="majorBidi" w:hint="cs"/>
          <w:sz w:val="20"/>
          <w:szCs w:val="20"/>
          <w:rtl/>
        </w:rPr>
        <w:t>דחות בטענה</w:t>
      </w:r>
      <w:r w:rsidRPr="00361D6C">
        <w:rPr>
          <w:rFonts w:asciiTheme="majorBidi" w:hAnsiTheme="majorBidi" w:cstheme="majorBidi"/>
          <w:sz w:val="20"/>
          <w:szCs w:val="20"/>
          <w:rtl/>
        </w:rPr>
        <w:t xml:space="preserve"> שיואב וודאי היה שומע לדוד. </w:t>
      </w:r>
    </w:p>
  </w:footnote>
  <w:footnote w:id="12">
    <w:p w14:paraId="6CA1F740" w14:textId="11BBB798" w:rsidR="0061771A" w:rsidRPr="00947A2F" w:rsidRDefault="0061771A" w:rsidP="008265DF">
      <w:pPr>
        <w:spacing w:after="0" w:line="360" w:lineRule="auto"/>
        <w:rPr>
          <w:rFonts w:asciiTheme="majorBidi" w:hAnsiTheme="majorBidi" w:cstheme="majorBidi"/>
          <w:sz w:val="20"/>
          <w:szCs w:val="20"/>
        </w:rPr>
      </w:pPr>
      <w:r w:rsidRPr="00947A2F">
        <w:rPr>
          <w:rStyle w:val="a6"/>
          <w:rFonts w:asciiTheme="majorBidi" w:hAnsiTheme="majorBidi" w:cstheme="majorBidi"/>
          <w:sz w:val="20"/>
          <w:szCs w:val="20"/>
        </w:rPr>
        <w:footnoteRef/>
      </w:r>
      <w:r w:rsidRPr="00947A2F">
        <w:rPr>
          <w:rFonts w:asciiTheme="majorBidi" w:hAnsiTheme="majorBidi" w:cstheme="majorBidi"/>
          <w:sz w:val="20"/>
          <w:szCs w:val="20"/>
          <w:rtl/>
        </w:rPr>
        <w:t xml:space="preserve"> רש"י מסכת בבא קמא דף עט עמוד א.</w:t>
      </w:r>
    </w:p>
  </w:footnote>
  <w:footnote w:id="13">
    <w:p w14:paraId="5938A38A" w14:textId="49732D5F" w:rsidR="00B75104" w:rsidRPr="00947A2F" w:rsidRDefault="00B75104" w:rsidP="00947A2F">
      <w:pPr>
        <w:spacing w:after="0" w:line="360" w:lineRule="auto"/>
        <w:rPr>
          <w:rFonts w:asciiTheme="majorBidi" w:hAnsiTheme="majorBidi" w:cstheme="majorBidi"/>
          <w:sz w:val="20"/>
          <w:szCs w:val="20"/>
          <w:rtl/>
        </w:rPr>
      </w:pPr>
      <w:r w:rsidRPr="00947A2F">
        <w:rPr>
          <w:rStyle w:val="a6"/>
          <w:rFonts w:asciiTheme="majorBidi" w:hAnsiTheme="majorBidi" w:cstheme="majorBidi"/>
          <w:sz w:val="20"/>
          <w:szCs w:val="20"/>
        </w:rPr>
        <w:footnoteRef/>
      </w:r>
      <w:r w:rsidRPr="00947A2F">
        <w:rPr>
          <w:rFonts w:asciiTheme="majorBidi" w:hAnsiTheme="majorBidi" w:cstheme="majorBidi"/>
          <w:sz w:val="20"/>
          <w:szCs w:val="20"/>
          <w:rtl/>
        </w:rPr>
        <w:t xml:space="preserve"> רמב"ם הלכות גניבה פרק ב הלכה טז</w:t>
      </w:r>
      <w:r w:rsidR="00947A2F">
        <w:rPr>
          <w:rFonts w:asciiTheme="majorBidi" w:hAnsiTheme="majorBidi" w:cstheme="majorBidi" w:hint="cs"/>
          <w:sz w:val="20"/>
          <w:szCs w:val="20"/>
          <w:rtl/>
        </w:rPr>
        <w:t>.</w:t>
      </w:r>
    </w:p>
  </w:footnote>
  <w:footnote w:id="14">
    <w:p w14:paraId="5A02AE12" w14:textId="6B619BBC" w:rsidR="00B75104" w:rsidRPr="00947A2F" w:rsidRDefault="00B75104" w:rsidP="00947A2F">
      <w:pPr>
        <w:pStyle w:val="a4"/>
        <w:spacing w:line="360" w:lineRule="auto"/>
        <w:rPr>
          <w:rFonts w:asciiTheme="majorBidi" w:hAnsiTheme="majorBidi" w:cstheme="majorBidi"/>
        </w:rPr>
      </w:pPr>
      <w:r w:rsidRPr="00947A2F">
        <w:rPr>
          <w:rStyle w:val="a6"/>
          <w:rFonts w:asciiTheme="majorBidi" w:hAnsiTheme="majorBidi" w:cstheme="majorBidi"/>
        </w:rPr>
        <w:footnoteRef/>
      </w:r>
      <w:r w:rsidRPr="00947A2F">
        <w:rPr>
          <w:rFonts w:asciiTheme="majorBidi" w:hAnsiTheme="majorBidi" w:cstheme="majorBidi"/>
          <w:rtl/>
        </w:rPr>
        <w:t xml:space="preserve"> מגיד משנה.</w:t>
      </w:r>
    </w:p>
  </w:footnote>
  <w:footnote w:id="15">
    <w:p w14:paraId="504DD19D" w14:textId="7F28C474" w:rsidR="005554EB" w:rsidRPr="00272B23" w:rsidRDefault="005554EB" w:rsidP="00272B23">
      <w:pPr>
        <w:pStyle w:val="a4"/>
        <w:spacing w:line="360" w:lineRule="auto"/>
        <w:rPr>
          <w:rFonts w:asciiTheme="majorBidi" w:hAnsiTheme="majorBidi" w:cstheme="majorBidi"/>
        </w:rPr>
      </w:pPr>
      <w:r w:rsidRPr="00272B23">
        <w:rPr>
          <w:rStyle w:val="a6"/>
          <w:rFonts w:asciiTheme="majorBidi" w:hAnsiTheme="majorBidi" w:cstheme="majorBidi"/>
        </w:rPr>
        <w:footnoteRef/>
      </w:r>
      <w:r w:rsidRPr="00272B23">
        <w:rPr>
          <w:rFonts w:asciiTheme="majorBidi" w:hAnsiTheme="majorBidi" w:cstheme="majorBidi"/>
          <w:rtl/>
        </w:rPr>
        <w:t xml:space="preserve"> ד"ה נימא.</w:t>
      </w:r>
    </w:p>
  </w:footnote>
  <w:footnote w:id="16">
    <w:p w14:paraId="72D65B44" w14:textId="69C9723B" w:rsidR="00272B23" w:rsidRDefault="00272B23" w:rsidP="00272B23">
      <w:pPr>
        <w:pStyle w:val="a4"/>
        <w:spacing w:line="360" w:lineRule="auto"/>
      </w:pPr>
      <w:r w:rsidRPr="00272B23">
        <w:rPr>
          <w:rStyle w:val="a6"/>
          <w:rFonts w:asciiTheme="majorBidi" w:hAnsiTheme="majorBidi" w:cstheme="majorBidi"/>
        </w:rPr>
        <w:footnoteRef/>
      </w:r>
      <w:r w:rsidRPr="00272B23">
        <w:rPr>
          <w:rFonts w:asciiTheme="majorBidi" w:hAnsiTheme="majorBidi" w:cstheme="majorBidi"/>
          <w:rtl/>
        </w:rPr>
        <w:t xml:space="preserve"> בירורי השיטות  לרב בנימין שטיינר.</w:t>
      </w:r>
    </w:p>
  </w:footnote>
  <w:footnote w:id="17">
    <w:p w14:paraId="275C2C47" w14:textId="15CD1B38" w:rsidR="009E3476" w:rsidRPr="00A6520E" w:rsidRDefault="009E3476" w:rsidP="00A6520E">
      <w:pPr>
        <w:pStyle w:val="a4"/>
        <w:spacing w:line="360" w:lineRule="auto"/>
        <w:rPr>
          <w:rFonts w:asciiTheme="majorBidi" w:hAnsiTheme="majorBidi" w:cstheme="majorBidi"/>
          <w:rtl/>
        </w:rPr>
      </w:pPr>
      <w:r w:rsidRPr="00A6520E">
        <w:rPr>
          <w:rStyle w:val="a6"/>
          <w:rFonts w:asciiTheme="majorBidi" w:hAnsiTheme="majorBidi" w:cstheme="majorBidi"/>
        </w:rPr>
        <w:footnoteRef/>
      </w:r>
      <w:r w:rsidRPr="00A6520E">
        <w:rPr>
          <w:rFonts w:asciiTheme="majorBidi" w:hAnsiTheme="majorBidi" w:cstheme="majorBidi"/>
          <w:rtl/>
        </w:rPr>
        <w:t xml:space="preserve"> חו"מ סימן רצב סעיף ה.</w:t>
      </w:r>
    </w:p>
  </w:footnote>
  <w:footnote w:id="18">
    <w:p w14:paraId="6AB1BF25" w14:textId="24BF60DC" w:rsidR="00CD2D92" w:rsidRPr="00A6520E" w:rsidRDefault="00CD2D92" w:rsidP="00A6520E">
      <w:pPr>
        <w:pStyle w:val="a4"/>
        <w:spacing w:line="360" w:lineRule="auto"/>
        <w:rPr>
          <w:rFonts w:asciiTheme="majorBidi" w:hAnsiTheme="majorBidi" w:cstheme="majorBidi"/>
          <w:rtl/>
        </w:rPr>
      </w:pPr>
      <w:r w:rsidRPr="00A6520E">
        <w:rPr>
          <w:rStyle w:val="a6"/>
          <w:rFonts w:asciiTheme="majorBidi" w:hAnsiTheme="majorBidi" w:cstheme="majorBidi"/>
        </w:rPr>
        <w:footnoteRef/>
      </w:r>
      <w:r w:rsidRPr="00A6520E">
        <w:rPr>
          <w:rFonts w:asciiTheme="majorBidi" w:hAnsiTheme="majorBidi" w:cstheme="majorBidi"/>
          <w:rtl/>
        </w:rPr>
        <w:t xml:space="preserve"> ס"ק י.</w:t>
      </w:r>
    </w:p>
  </w:footnote>
  <w:footnote w:id="19">
    <w:p w14:paraId="6DDBE43E" w14:textId="014BD5DC" w:rsidR="002C4E94" w:rsidRPr="00A6520E" w:rsidRDefault="002C4E94" w:rsidP="00A6520E">
      <w:pPr>
        <w:pStyle w:val="a4"/>
        <w:spacing w:line="360" w:lineRule="auto"/>
        <w:rPr>
          <w:rFonts w:asciiTheme="majorBidi" w:hAnsiTheme="majorBidi" w:cstheme="majorBidi"/>
          <w:rtl/>
        </w:rPr>
      </w:pPr>
      <w:r w:rsidRPr="00A6520E">
        <w:rPr>
          <w:rStyle w:val="a6"/>
          <w:rFonts w:asciiTheme="majorBidi" w:hAnsiTheme="majorBidi" w:cstheme="majorBidi"/>
        </w:rPr>
        <w:footnoteRef/>
      </w:r>
      <w:r w:rsidRPr="00A6520E">
        <w:rPr>
          <w:rFonts w:asciiTheme="majorBidi" w:hAnsiTheme="majorBidi" w:cstheme="majorBidi"/>
          <w:rtl/>
        </w:rPr>
        <w:t xml:space="preserve"> ס"ק ד.</w:t>
      </w:r>
    </w:p>
  </w:footnote>
  <w:footnote w:id="20">
    <w:p w14:paraId="69E429AE" w14:textId="780D474B" w:rsidR="008B3111" w:rsidRPr="00A6520E" w:rsidRDefault="008B3111" w:rsidP="00A6520E">
      <w:pPr>
        <w:pStyle w:val="a4"/>
        <w:spacing w:line="360" w:lineRule="auto"/>
        <w:rPr>
          <w:rFonts w:asciiTheme="majorBidi" w:hAnsiTheme="majorBidi" w:cstheme="majorBidi"/>
          <w:rtl/>
        </w:rPr>
      </w:pPr>
      <w:r w:rsidRPr="00A6520E">
        <w:rPr>
          <w:rStyle w:val="a6"/>
          <w:rFonts w:asciiTheme="majorBidi" w:hAnsiTheme="majorBidi" w:cstheme="majorBidi"/>
        </w:rPr>
        <w:footnoteRef/>
      </w:r>
      <w:r w:rsidRPr="00A6520E">
        <w:rPr>
          <w:rFonts w:asciiTheme="majorBidi" w:hAnsiTheme="majorBidi" w:cstheme="majorBidi"/>
          <w:rtl/>
        </w:rPr>
        <w:t xml:space="preserve"> סימן רצב סעיף ה אות א.</w:t>
      </w:r>
    </w:p>
  </w:footnote>
  <w:footnote w:id="21">
    <w:p w14:paraId="5C190442" w14:textId="269FC6B8" w:rsidR="002A4078" w:rsidRPr="002A4078" w:rsidRDefault="002A4078" w:rsidP="002A4078">
      <w:pPr>
        <w:spacing w:after="0" w:line="360" w:lineRule="auto"/>
        <w:rPr>
          <w:rFonts w:asciiTheme="majorBidi" w:hAnsiTheme="majorBidi" w:cstheme="majorBidi"/>
          <w:sz w:val="20"/>
          <w:szCs w:val="20"/>
          <w:rtl/>
        </w:rPr>
      </w:pPr>
      <w:r>
        <w:rPr>
          <w:rStyle w:val="a6"/>
        </w:rPr>
        <w:footnoteRef/>
      </w:r>
      <w:r>
        <w:rPr>
          <w:rtl/>
        </w:rPr>
        <w:t xml:space="preserve"> </w:t>
      </w:r>
      <w:r w:rsidRPr="002A4078">
        <w:rPr>
          <w:rFonts w:asciiTheme="majorBidi" w:hAnsiTheme="majorBidi" w:cs="Times New Roman"/>
          <w:sz w:val="20"/>
          <w:szCs w:val="20"/>
          <w:rtl/>
        </w:rPr>
        <w:t>רמב"ם הלכות מעילה פרק ז הלכה ב</w:t>
      </w:r>
      <w:r w:rsidRPr="002A4078">
        <w:rPr>
          <w:rFonts w:asciiTheme="majorBidi" w:hAnsiTheme="majorBidi" w:cstheme="majorBidi" w:hint="cs"/>
          <w:sz w:val="20"/>
          <w:szCs w:val="20"/>
          <w:rtl/>
        </w:rPr>
        <w:t>.</w:t>
      </w:r>
    </w:p>
  </w:footnote>
  <w:footnote w:id="22">
    <w:p w14:paraId="271A0252" w14:textId="2997EF6A" w:rsidR="008D3E56" w:rsidRPr="00A6520E" w:rsidRDefault="008D3E56" w:rsidP="00A6520E">
      <w:pPr>
        <w:pStyle w:val="a4"/>
        <w:spacing w:line="360" w:lineRule="auto"/>
        <w:rPr>
          <w:rFonts w:asciiTheme="majorBidi" w:hAnsiTheme="majorBidi" w:cstheme="majorBidi"/>
          <w:rtl/>
        </w:rPr>
      </w:pPr>
      <w:r w:rsidRPr="00A6520E">
        <w:rPr>
          <w:rStyle w:val="a6"/>
          <w:rFonts w:asciiTheme="majorBidi" w:hAnsiTheme="majorBidi" w:cstheme="majorBidi"/>
        </w:rPr>
        <w:footnoteRef/>
      </w:r>
      <w:r w:rsidRPr="00A6520E">
        <w:rPr>
          <w:rFonts w:asciiTheme="majorBidi" w:hAnsiTheme="majorBidi" w:cstheme="majorBidi"/>
          <w:rtl/>
        </w:rPr>
        <w:t xml:space="preserve"> מעילה דף כא עמוד א.</w:t>
      </w:r>
    </w:p>
  </w:footnote>
  <w:footnote w:id="23">
    <w:p w14:paraId="101B86BA" w14:textId="4E6EE9BE" w:rsidR="002C2673" w:rsidRPr="00FD060B" w:rsidRDefault="002C2673">
      <w:pPr>
        <w:pStyle w:val="a4"/>
        <w:rPr>
          <w:rFonts w:asciiTheme="majorBidi" w:hAnsiTheme="majorBidi" w:cstheme="majorBidi"/>
          <w:rtl/>
        </w:rPr>
      </w:pPr>
      <w:r w:rsidRPr="00FD060B">
        <w:rPr>
          <w:rStyle w:val="a6"/>
          <w:rFonts w:asciiTheme="majorBidi" w:hAnsiTheme="majorBidi" w:cstheme="majorBidi"/>
        </w:rPr>
        <w:footnoteRef/>
      </w:r>
      <w:r w:rsidRPr="00FD060B">
        <w:rPr>
          <w:rFonts w:asciiTheme="majorBidi" w:hAnsiTheme="majorBidi" w:cstheme="majorBidi"/>
          <w:rtl/>
        </w:rPr>
        <w:t xml:space="preserve"> שיעורי הרב ישראלי על מסכת קידושין עמוד 87.</w:t>
      </w:r>
    </w:p>
  </w:footnote>
  <w:footnote w:id="24">
    <w:p w14:paraId="06950B46" w14:textId="2E7E2310" w:rsidR="00D17306" w:rsidRPr="00D15854" w:rsidRDefault="00D17306" w:rsidP="00D15854">
      <w:pPr>
        <w:pStyle w:val="a4"/>
        <w:spacing w:line="360" w:lineRule="auto"/>
        <w:rPr>
          <w:rFonts w:asciiTheme="majorBidi" w:hAnsiTheme="majorBidi" w:cstheme="majorBidi"/>
          <w:rtl/>
        </w:rPr>
      </w:pPr>
      <w:r w:rsidRPr="00D15854">
        <w:rPr>
          <w:rStyle w:val="a6"/>
          <w:rFonts w:asciiTheme="majorBidi" w:hAnsiTheme="majorBidi" w:cstheme="majorBidi"/>
        </w:rPr>
        <w:footnoteRef/>
      </w:r>
      <w:r w:rsidRPr="00D15854">
        <w:rPr>
          <w:rFonts w:asciiTheme="majorBidi" w:hAnsiTheme="majorBidi" w:cstheme="majorBidi"/>
          <w:rtl/>
        </w:rPr>
        <w:t xml:space="preserve"> חו"מ סימן קפב ס"ק ב.</w:t>
      </w:r>
    </w:p>
  </w:footnote>
  <w:footnote w:id="25">
    <w:p w14:paraId="57995069" w14:textId="5549DCE3" w:rsidR="00D17306" w:rsidRPr="00D15854" w:rsidRDefault="00D17306" w:rsidP="00D15854">
      <w:pPr>
        <w:pStyle w:val="a4"/>
        <w:spacing w:line="360" w:lineRule="auto"/>
        <w:rPr>
          <w:rFonts w:asciiTheme="majorBidi" w:hAnsiTheme="majorBidi" w:cstheme="majorBidi"/>
        </w:rPr>
      </w:pPr>
      <w:r w:rsidRPr="00D15854">
        <w:rPr>
          <w:rStyle w:val="a6"/>
          <w:rFonts w:asciiTheme="majorBidi" w:hAnsiTheme="majorBidi" w:cstheme="majorBidi"/>
        </w:rPr>
        <w:footnoteRef/>
      </w:r>
      <w:r w:rsidRPr="00D15854">
        <w:rPr>
          <w:rFonts w:asciiTheme="majorBidi" w:hAnsiTheme="majorBidi" w:cstheme="majorBidi"/>
          <w:rtl/>
        </w:rPr>
        <w:t xml:space="preserve"> בבא מציעא דף ח עמוד א.</w:t>
      </w:r>
    </w:p>
  </w:footnote>
  <w:footnote w:id="26">
    <w:p w14:paraId="4DCF5766" w14:textId="5785EA6C" w:rsidR="00C3282D" w:rsidRPr="00D15854" w:rsidRDefault="00C3282D" w:rsidP="00D15854">
      <w:pPr>
        <w:pStyle w:val="a4"/>
        <w:spacing w:line="360" w:lineRule="auto"/>
        <w:rPr>
          <w:rFonts w:asciiTheme="majorBidi" w:hAnsiTheme="majorBidi" w:cstheme="majorBidi"/>
          <w:rtl/>
        </w:rPr>
      </w:pPr>
      <w:r w:rsidRPr="00D15854">
        <w:rPr>
          <w:rStyle w:val="a6"/>
          <w:rFonts w:asciiTheme="majorBidi" w:hAnsiTheme="majorBidi" w:cstheme="majorBidi"/>
        </w:rPr>
        <w:footnoteRef/>
      </w:r>
      <w:r w:rsidRPr="00D15854">
        <w:rPr>
          <w:rFonts w:asciiTheme="majorBidi" w:hAnsiTheme="majorBidi" w:cstheme="majorBidi"/>
          <w:rtl/>
        </w:rPr>
        <w:t xml:space="preserve"> שם ד"ה ושותפין.</w:t>
      </w:r>
    </w:p>
  </w:footnote>
  <w:footnote w:id="27">
    <w:p w14:paraId="786B4348" w14:textId="70CF2F20" w:rsidR="0007143A" w:rsidRPr="00D15854" w:rsidRDefault="0007143A" w:rsidP="00D15854">
      <w:pPr>
        <w:pStyle w:val="a4"/>
        <w:spacing w:line="360" w:lineRule="auto"/>
        <w:rPr>
          <w:rFonts w:asciiTheme="majorBidi" w:hAnsiTheme="majorBidi" w:cstheme="majorBidi"/>
        </w:rPr>
      </w:pPr>
      <w:r w:rsidRPr="00D15854">
        <w:rPr>
          <w:rStyle w:val="a6"/>
          <w:rFonts w:asciiTheme="majorBidi" w:hAnsiTheme="majorBidi" w:cstheme="majorBidi"/>
        </w:rPr>
        <w:footnoteRef/>
      </w:r>
      <w:r w:rsidRPr="00D15854">
        <w:rPr>
          <w:rFonts w:asciiTheme="majorBidi" w:hAnsiTheme="majorBidi" w:cstheme="majorBidi"/>
          <w:rtl/>
        </w:rPr>
        <w:t xml:space="preserve"> רש"י שם ד"ה פטור.</w:t>
      </w:r>
    </w:p>
  </w:footnote>
  <w:footnote w:id="28">
    <w:p w14:paraId="6D659CD3" w14:textId="0D3A6042" w:rsidR="0007143A" w:rsidRPr="00D15854" w:rsidRDefault="0007143A" w:rsidP="00D15854">
      <w:pPr>
        <w:pStyle w:val="a4"/>
        <w:spacing w:line="360" w:lineRule="auto"/>
        <w:rPr>
          <w:rFonts w:asciiTheme="majorBidi" w:hAnsiTheme="majorBidi" w:cstheme="majorBidi"/>
          <w:rtl/>
        </w:rPr>
      </w:pPr>
      <w:r w:rsidRPr="00D15854">
        <w:rPr>
          <w:rStyle w:val="a6"/>
          <w:rFonts w:asciiTheme="majorBidi" w:hAnsiTheme="majorBidi" w:cstheme="majorBidi"/>
        </w:rPr>
        <w:footnoteRef/>
      </w:r>
      <w:r w:rsidRPr="00D15854">
        <w:rPr>
          <w:rFonts w:asciiTheme="majorBidi" w:hAnsiTheme="majorBidi" w:cstheme="majorBidi"/>
          <w:rtl/>
        </w:rPr>
        <w:t xml:space="preserve"> רע"א בבא מציעא דף י תחילת עמוד ב.</w:t>
      </w:r>
    </w:p>
  </w:footnote>
  <w:footnote w:id="29">
    <w:p w14:paraId="63A4133B" w14:textId="1D05CB65" w:rsidR="00D15854" w:rsidRPr="00D15854" w:rsidRDefault="00D15854" w:rsidP="00D15854">
      <w:pPr>
        <w:pStyle w:val="a4"/>
        <w:spacing w:line="360" w:lineRule="auto"/>
        <w:rPr>
          <w:rFonts w:asciiTheme="majorBidi" w:hAnsiTheme="majorBidi" w:cstheme="majorBidi"/>
        </w:rPr>
      </w:pPr>
      <w:r w:rsidRPr="00D15854">
        <w:rPr>
          <w:rStyle w:val="a6"/>
          <w:rFonts w:asciiTheme="majorBidi" w:hAnsiTheme="majorBidi" w:cstheme="majorBidi"/>
        </w:rPr>
        <w:footnoteRef/>
      </w:r>
      <w:r w:rsidRPr="00D15854">
        <w:rPr>
          <w:rFonts w:asciiTheme="majorBidi" w:hAnsiTheme="majorBidi" w:cstheme="majorBidi"/>
          <w:rtl/>
        </w:rPr>
        <w:t xml:space="preserve"> הרב ישראלי, שיעור אחרון עמוד 90 במהדורת תשמ"ח. שם הוסיף עוד להניף ידו הטובה במחלוקת התוספות והריטב"א.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3561423"/>
      <w:docPartObj>
        <w:docPartGallery w:val="Page Numbers (Top of Page)"/>
        <w:docPartUnique/>
      </w:docPartObj>
    </w:sdtPr>
    <w:sdtContent>
      <w:p w14:paraId="7B5C251C" w14:textId="084320AC" w:rsidR="00962428" w:rsidRDefault="00962428">
        <w:pPr>
          <w:pStyle w:val="a7"/>
        </w:pPr>
        <w:r>
          <w:fldChar w:fldCharType="begin"/>
        </w:r>
        <w:r>
          <w:instrText>PAGE   \* MERGEFORMAT</w:instrText>
        </w:r>
        <w:r>
          <w:fldChar w:fldCharType="separate"/>
        </w:r>
        <w:r>
          <w:rPr>
            <w:rtl/>
            <w:lang w:val="he-IL"/>
          </w:rPr>
          <w:t>2</w:t>
        </w:r>
        <w:r>
          <w:fldChar w:fldCharType="end"/>
        </w:r>
      </w:p>
    </w:sdtContent>
  </w:sdt>
  <w:p w14:paraId="3D7E454E" w14:textId="77777777" w:rsidR="00962428" w:rsidRDefault="009624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57B"/>
    <w:multiLevelType w:val="hybridMultilevel"/>
    <w:tmpl w:val="FAF665F8"/>
    <w:lvl w:ilvl="0" w:tplc="2B8E7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15245"/>
    <w:multiLevelType w:val="hybridMultilevel"/>
    <w:tmpl w:val="9C6A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C6690"/>
    <w:multiLevelType w:val="hybridMultilevel"/>
    <w:tmpl w:val="66FC5086"/>
    <w:lvl w:ilvl="0" w:tplc="5C766D02">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A6DB9"/>
    <w:multiLevelType w:val="hybridMultilevel"/>
    <w:tmpl w:val="39AA9214"/>
    <w:lvl w:ilvl="0" w:tplc="AF82801C">
      <w:start w:val="1"/>
      <w:numFmt w:val="decimal"/>
      <w:lvlText w:val="%1."/>
      <w:lvlJc w:val="left"/>
      <w:pPr>
        <w:ind w:left="360" w:hanging="360"/>
      </w:pPr>
      <w:rPr>
        <w:rFonts w:asciiTheme="majorBidi" w:hAnsiTheme="majorBidi" w:cstheme="maj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1128946">
    <w:abstractNumId w:val="0"/>
  </w:num>
  <w:num w:numId="2" w16cid:durableId="1597901325">
    <w:abstractNumId w:val="1"/>
  </w:num>
  <w:num w:numId="3" w16cid:durableId="1934778738">
    <w:abstractNumId w:val="2"/>
  </w:num>
  <w:num w:numId="4" w16cid:durableId="14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E"/>
    <w:rsid w:val="000003C6"/>
    <w:rsid w:val="0007143A"/>
    <w:rsid w:val="000A214C"/>
    <w:rsid w:val="001306C3"/>
    <w:rsid w:val="00152A57"/>
    <w:rsid w:val="00272B23"/>
    <w:rsid w:val="00293330"/>
    <w:rsid w:val="002A4078"/>
    <w:rsid w:val="002C2673"/>
    <w:rsid w:val="002C4E94"/>
    <w:rsid w:val="00361D6C"/>
    <w:rsid w:val="0045154B"/>
    <w:rsid w:val="00480DFF"/>
    <w:rsid w:val="004B75FA"/>
    <w:rsid w:val="005554EB"/>
    <w:rsid w:val="005F6F72"/>
    <w:rsid w:val="0061771A"/>
    <w:rsid w:val="00645D77"/>
    <w:rsid w:val="0067072C"/>
    <w:rsid w:val="00716573"/>
    <w:rsid w:val="007F4FE8"/>
    <w:rsid w:val="008265DF"/>
    <w:rsid w:val="00847015"/>
    <w:rsid w:val="008B3111"/>
    <w:rsid w:val="008D3E56"/>
    <w:rsid w:val="008D6D1E"/>
    <w:rsid w:val="00947A2F"/>
    <w:rsid w:val="00962428"/>
    <w:rsid w:val="009E3476"/>
    <w:rsid w:val="00A55B1D"/>
    <w:rsid w:val="00A6520E"/>
    <w:rsid w:val="00A82CF4"/>
    <w:rsid w:val="00AC5888"/>
    <w:rsid w:val="00B75104"/>
    <w:rsid w:val="00BE4172"/>
    <w:rsid w:val="00C3282D"/>
    <w:rsid w:val="00C649D9"/>
    <w:rsid w:val="00CD2D92"/>
    <w:rsid w:val="00D15854"/>
    <w:rsid w:val="00D17306"/>
    <w:rsid w:val="00DA0B84"/>
    <w:rsid w:val="00DB49AB"/>
    <w:rsid w:val="00E765F6"/>
    <w:rsid w:val="00EB2F0F"/>
    <w:rsid w:val="00F11F6A"/>
    <w:rsid w:val="00FA4DC3"/>
    <w:rsid w:val="00FD0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622C"/>
  <w15:chartTrackingRefBased/>
  <w15:docId w15:val="{387C8D8E-AD6A-47CB-AE15-BA8E921F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0F"/>
    <w:pPr>
      <w:ind w:left="720"/>
      <w:contextualSpacing/>
    </w:pPr>
  </w:style>
  <w:style w:type="paragraph" w:styleId="a4">
    <w:name w:val="footnote text"/>
    <w:basedOn w:val="a"/>
    <w:link w:val="a5"/>
    <w:uiPriority w:val="99"/>
    <w:semiHidden/>
    <w:unhideWhenUsed/>
    <w:rsid w:val="00A55B1D"/>
    <w:pPr>
      <w:spacing w:after="0" w:line="240" w:lineRule="auto"/>
    </w:pPr>
    <w:rPr>
      <w:sz w:val="20"/>
      <w:szCs w:val="20"/>
    </w:rPr>
  </w:style>
  <w:style w:type="character" w:customStyle="1" w:styleId="a5">
    <w:name w:val="טקסט הערת שוליים תו"/>
    <w:basedOn w:val="a0"/>
    <w:link w:val="a4"/>
    <w:uiPriority w:val="99"/>
    <w:semiHidden/>
    <w:rsid w:val="00A55B1D"/>
    <w:rPr>
      <w:noProof/>
      <w:sz w:val="20"/>
      <w:szCs w:val="20"/>
    </w:rPr>
  </w:style>
  <w:style w:type="character" w:styleId="a6">
    <w:name w:val="footnote reference"/>
    <w:basedOn w:val="a0"/>
    <w:uiPriority w:val="99"/>
    <w:semiHidden/>
    <w:unhideWhenUsed/>
    <w:rsid w:val="00A55B1D"/>
    <w:rPr>
      <w:vertAlign w:val="superscript"/>
    </w:rPr>
  </w:style>
  <w:style w:type="paragraph" w:styleId="a7">
    <w:name w:val="header"/>
    <w:basedOn w:val="a"/>
    <w:link w:val="a8"/>
    <w:uiPriority w:val="99"/>
    <w:unhideWhenUsed/>
    <w:rsid w:val="00962428"/>
    <w:pPr>
      <w:tabs>
        <w:tab w:val="center" w:pos="4153"/>
        <w:tab w:val="right" w:pos="8306"/>
      </w:tabs>
      <w:spacing w:after="0" w:line="240" w:lineRule="auto"/>
    </w:pPr>
  </w:style>
  <w:style w:type="character" w:customStyle="1" w:styleId="a8">
    <w:name w:val="כותרת עליונה תו"/>
    <w:basedOn w:val="a0"/>
    <w:link w:val="a7"/>
    <w:uiPriority w:val="99"/>
    <w:rsid w:val="00962428"/>
    <w:rPr>
      <w:noProof/>
    </w:rPr>
  </w:style>
  <w:style w:type="paragraph" w:styleId="a9">
    <w:name w:val="footer"/>
    <w:basedOn w:val="a"/>
    <w:link w:val="aa"/>
    <w:uiPriority w:val="99"/>
    <w:unhideWhenUsed/>
    <w:rsid w:val="00962428"/>
    <w:pPr>
      <w:tabs>
        <w:tab w:val="center" w:pos="4153"/>
        <w:tab w:val="right" w:pos="8306"/>
      </w:tabs>
      <w:spacing w:after="0" w:line="240" w:lineRule="auto"/>
    </w:pPr>
  </w:style>
  <w:style w:type="character" w:customStyle="1" w:styleId="aa">
    <w:name w:val="כותרת תחתונה תו"/>
    <w:basedOn w:val="a0"/>
    <w:link w:val="a9"/>
    <w:uiPriority w:val="99"/>
    <w:rsid w:val="00962428"/>
    <w:rPr>
      <w:noProof/>
    </w:rPr>
  </w:style>
  <w:style w:type="character" w:styleId="Hyperlink">
    <w:name w:val="Hyperlink"/>
    <w:basedOn w:val="a0"/>
    <w:uiPriority w:val="99"/>
    <w:semiHidden/>
    <w:unhideWhenUsed/>
    <w:rsid w:val="00D17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5961-F45F-4A5C-A52C-0A1E6B58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Pages>
  <Words>1764</Words>
  <Characters>8825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10</cp:revision>
  <dcterms:created xsi:type="dcterms:W3CDTF">2023-07-19T14:31:00Z</dcterms:created>
  <dcterms:modified xsi:type="dcterms:W3CDTF">2023-08-23T08:28:00Z</dcterms:modified>
</cp:coreProperties>
</file>