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C152" w14:textId="19F96EFD" w:rsidR="0065702A" w:rsidRPr="00A81A5C" w:rsidRDefault="0065702A" w:rsidP="00BF4625">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 xml:space="preserve">  מסכת קידושין דף מט עמוד ב</w:t>
      </w:r>
    </w:p>
    <w:p w14:paraId="3AD99F86" w14:textId="0F12FDCA" w:rsidR="00A82CF4" w:rsidRPr="00A81A5C" w:rsidRDefault="0065702A" w:rsidP="00BF4625">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ההוא גברא דזבין לנכסיה אדעתא למיסק לארץ ישראל, ובעידנא דזבין לא אמר ולא מידי; אמר רבא: הוי דברים שבלב, ודברים שבלב אינם דברים. מנא ליה לרבא הא?...</w:t>
      </w:r>
    </w:p>
    <w:p w14:paraId="60D21AC5" w14:textId="4EE8303E" w:rsidR="0065702A" w:rsidRPr="00A81A5C" w:rsidRDefault="0065702A" w:rsidP="00BF4625">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מסכת קידושין דף נ עמוד א</w:t>
      </w:r>
    </w:p>
    <w:p w14:paraId="794E3AF4" w14:textId="247EAABE" w:rsidR="0065702A" w:rsidRPr="00A81A5C" w:rsidRDefault="0065702A" w:rsidP="00BF4625">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פשטוה מהא: האומר לשלוחו הבא לי מן החלון או מן הדלוסקמא והביא לו, אף על פי שאמר בעל הבית לא היה לי בלבי אלא על זה, כיון שהביא לו מזה - בעל הבית מעל; ואמאי? הא קאמר בלבי! אלא לאו משום דאמרינן דברים שבלב אינן דברים... הוה ליה לומר נזכרתי, דתניא: נזכר בעל הבית ולא נזכר שליח - שליח מעל. ההוא גברא דזבנינהו לניכסיה אדעתא למיסק לארעא דישראל, סליק ולא איתדר ליה; אמר רבא: כל דסליק אדעתא למידר הוא, והא לא איתדר ליה. איכא דאמרי: אדעתא למיסק, והא סליק ליה. ההוא גברא דזבנינהו לניכסיה אדעתא למיסק לארץ ישראל, לסוף לא סליק; אמר רב אשי: אי בעי סליק. איכא דאמרי: אי בעי לא סליק. מאי בינייהו? איכא בינייהו, דאיתיליד אונסא באורחא.</w:t>
      </w:r>
    </w:p>
    <w:p w14:paraId="40393DF8" w14:textId="04E4F88E" w:rsidR="00290311" w:rsidRPr="00A81A5C" w:rsidRDefault="00290311" w:rsidP="00BF4625">
      <w:pPr>
        <w:spacing w:after="0" w:line="360" w:lineRule="auto"/>
        <w:jc w:val="center"/>
        <w:rPr>
          <w:rFonts w:asciiTheme="majorBidi" w:hAnsiTheme="majorBidi" w:cstheme="majorBidi"/>
          <w:b/>
          <w:bCs/>
          <w:sz w:val="28"/>
          <w:szCs w:val="28"/>
          <w:u w:val="single"/>
          <w:rtl/>
        </w:rPr>
      </w:pPr>
      <w:r w:rsidRPr="00A81A5C">
        <w:rPr>
          <w:rFonts w:asciiTheme="majorBidi" w:hAnsiTheme="majorBidi" w:cstheme="majorBidi"/>
          <w:b/>
          <w:bCs/>
          <w:sz w:val="28"/>
          <w:szCs w:val="28"/>
          <w:u w:val="single"/>
          <w:rtl/>
        </w:rPr>
        <w:t>דברים שבלב אינן דברים</w:t>
      </w:r>
    </w:p>
    <w:p w14:paraId="7818D9E5" w14:textId="18D485F4" w:rsidR="001B2255" w:rsidRPr="00A81A5C" w:rsidRDefault="00196F9F" w:rsidP="00A81A5C">
      <w:pPr>
        <w:pStyle w:val="a6"/>
        <w:numPr>
          <w:ilvl w:val="0"/>
          <w:numId w:val="3"/>
        </w:numPr>
        <w:spacing w:after="0" w:line="360" w:lineRule="auto"/>
        <w:rPr>
          <w:rFonts w:asciiTheme="majorBidi" w:hAnsiTheme="majorBidi" w:cstheme="majorBidi"/>
          <w:b/>
          <w:bCs/>
          <w:sz w:val="24"/>
          <w:szCs w:val="24"/>
          <w:rtl/>
        </w:rPr>
      </w:pPr>
      <w:r w:rsidRPr="00A81A5C">
        <w:rPr>
          <w:rFonts w:asciiTheme="majorBidi" w:hAnsiTheme="majorBidi" w:cstheme="majorBidi" w:hint="cs"/>
          <w:b/>
          <w:bCs/>
          <w:sz w:val="24"/>
          <w:szCs w:val="24"/>
          <w:rtl/>
        </w:rPr>
        <w:t xml:space="preserve">משמעות </w:t>
      </w:r>
      <w:r w:rsidR="002D65D9" w:rsidRPr="00A81A5C">
        <w:rPr>
          <w:rFonts w:asciiTheme="majorBidi" w:hAnsiTheme="majorBidi" w:cstheme="majorBidi" w:hint="cs"/>
          <w:b/>
          <w:bCs/>
          <w:sz w:val="24"/>
          <w:szCs w:val="24"/>
          <w:rtl/>
        </w:rPr>
        <w:t xml:space="preserve">דברים שבלב </w:t>
      </w:r>
      <w:r w:rsidRPr="00A81A5C">
        <w:rPr>
          <w:rFonts w:asciiTheme="majorBidi" w:hAnsiTheme="majorBidi" w:cstheme="majorBidi" w:hint="cs"/>
          <w:b/>
          <w:bCs/>
          <w:sz w:val="24"/>
          <w:szCs w:val="24"/>
          <w:rtl/>
        </w:rPr>
        <w:t xml:space="preserve"> </w:t>
      </w:r>
    </w:p>
    <w:p w14:paraId="052B48FB" w14:textId="3D4B0A6F" w:rsidR="00196F9F" w:rsidRPr="00A81A5C" w:rsidRDefault="002D65D9" w:rsidP="00BF4625">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הרשב"א</w:t>
      </w:r>
      <w:r w:rsidR="00196F9F" w:rsidRPr="00A81A5C">
        <w:rPr>
          <w:rStyle w:val="a5"/>
          <w:rFonts w:asciiTheme="majorBidi" w:hAnsiTheme="majorBidi" w:cstheme="majorBidi"/>
          <w:sz w:val="24"/>
          <w:szCs w:val="24"/>
          <w:rtl/>
        </w:rPr>
        <w:footnoteReference w:id="1"/>
      </w:r>
      <w:r w:rsidRPr="00A81A5C">
        <w:rPr>
          <w:rFonts w:asciiTheme="majorBidi" w:hAnsiTheme="majorBidi" w:cstheme="majorBidi" w:hint="cs"/>
          <w:sz w:val="24"/>
          <w:szCs w:val="24"/>
          <w:rtl/>
        </w:rPr>
        <w:t xml:space="preserve"> מקשה, שבשני מקומות לפחות </w:t>
      </w:r>
      <w:r w:rsidR="00A81A5C">
        <w:rPr>
          <w:rFonts w:asciiTheme="majorBidi" w:hAnsiTheme="majorBidi" w:cstheme="majorBidi" w:hint="cs"/>
          <w:sz w:val="24"/>
          <w:szCs w:val="24"/>
          <w:rtl/>
        </w:rPr>
        <w:t>דברים שבלב</w:t>
      </w:r>
      <w:r w:rsidRPr="00A81A5C">
        <w:rPr>
          <w:rFonts w:asciiTheme="majorBidi" w:hAnsiTheme="majorBidi" w:cstheme="majorBidi" w:hint="cs"/>
          <w:sz w:val="24"/>
          <w:szCs w:val="24"/>
          <w:rtl/>
        </w:rPr>
        <w:t xml:space="preserve"> יוצרים חלות:</w:t>
      </w:r>
    </w:p>
    <w:p w14:paraId="2C3B19D8" w14:textId="4F7C1D56" w:rsidR="002D65D9" w:rsidRPr="00A81A5C" w:rsidRDefault="00196F9F" w:rsidP="00BF4625">
      <w:pPr>
        <w:spacing w:after="0" w:line="360" w:lineRule="auto"/>
        <w:rPr>
          <w:rFonts w:ascii="David" w:hAnsi="David" w:cs="David"/>
          <w:sz w:val="24"/>
          <w:szCs w:val="24"/>
          <w:rtl/>
        </w:rPr>
      </w:pPr>
      <w:r w:rsidRPr="00A81A5C">
        <w:rPr>
          <w:rFonts w:ascii="David" w:hAnsi="David" w:cs="David"/>
          <w:sz w:val="24"/>
          <w:szCs w:val="24"/>
          <w:rtl/>
        </w:rPr>
        <w:t xml:space="preserve">הא דתנן בפ"ק דנזיר </w:t>
      </w:r>
      <w:r w:rsidRPr="00A81A5C">
        <w:rPr>
          <w:rFonts w:ascii="David" w:hAnsi="David" w:cs="David"/>
          <w:sz w:val="18"/>
          <w:szCs w:val="18"/>
          <w:rtl/>
        </w:rPr>
        <w:t>(ב' א')</w:t>
      </w:r>
      <w:r w:rsidRPr="00A81A5C">
        <w:rPr>
          <w:rFonts w:ascii="David" w:hAnsi="David" w:cs="David"/>
          <w:sz w:val="24"/>
          <w:szCs w:val="24"/>
          <w:rtl/>
        </w:rPr>
        <w:t xml:space="preserve"> האומר אהא הרי זה נזיר ואוקימנא בשהי' נזיר עובר לפניו ואף על גב דלא פירש דאלמא דברים שבלב הוו דברים...</w:t>
      </w:r>
      <w:r w:rsidRPr="00A81A5C">
        <w:rPr>
          <w:rFonts w:ascii="David" w:hAnsi="David" w:cs="David"/>
          <w:rtl/>
        </w:rPr>
        <w:t xml:space="preserve"> </w:t>
      </w:r>
      <w:r w:rsidRPr="00A81A5C">
        <w:rPr>
          <w:rFonts w:ascii="David" w:hAnsi="David" w:cs="David"/>
          <w:sz w:val="24"/>
          <w:szCs w:val="24"/>
          <w:rtl/>
        </w:rPr>
        <w:t xml:space="preserve"> עוד קשי' לי: נידוק מתרומה דקי"ל דניטלת במחשבה כלומר שיתן עיניו בצד זה ואוכל בצד אחר, אלמא דברים שבלב ישנן דברים</w:t>
      </w:r>
    </w:p>
    <w:p w14:paraId="0F89A8D5" w14:textId="28A18A9C" w:rsidR="00787653" w:rsidRPr="00A81A5C" w:rsidRDefault="00196F9F" w:rsidP="00787653">
      <w:pPr>
        <w:spacing w:after="0" w:line="360" w:lineRule="auto"/>
        <w:rPr>
          <w:rFonts w:ascii="David" w:hAnsi="David" w:cs="David"/>
          <w:sz w:val="24"/>
          <w:szCs w:val="24"/>
          <w:rtl/>
        </w:rPr>
      </w:pPr>
      <w:r w:rsidRPr="00A81A5C">
        <w:rPr>
          <w:rFonts w:asciiTheme="majorBidi" w:hAnsiTheme="majorBidi" w:cstheme="majorBidi" w:hint="cs"/>
          <w:sz w:val="24"/>
          <w:szCs w:val="24"/>
          <w:rtl/>
        </w:rPr>
        <w:t xml:space="preserve">לכן הוא מסיק: </w:t>
      </w:r>
      <w:r w:rsidRPr="00A81A5C">
        <w:rPr>
          <w:rFonts w:asciiTheme="majorBidi" w:hAnsiTheme="majorBidi" w:cs="Times New Roman" w:hint="cs"/>
          <w:sz w:val="24"/>
          <w:szCs w:val="24"/>
          <w:rtl/>
        </w:rPr>
        <w:t xml:space="preserve"> </w:t>
      </w:r>
      <w:r w:rsidRPr="00A81A5C">
        <w:rPr>
          <w:rFonts w:asciiTheme="majorBidi" w:hAnsiTheme="majorBidi" w:cs="Times New Roman"/>
          <w:sz w:val="24"/>
          <w:szCs w:val="24"/>
          <w:rtl/>
        </w:rPr>
        <w:t xml:space="preserve"> </w:t>
      </w:r>
      <w:r w:rsidRPr="00A81A5C">
        <w:rPr>
          <w:rFonts w:asciiTheme="majorBidi" w:hAnsiTheme="majorBidi" w:cs="Times New Roman" w:hint="cs"/>
          <w:sz w:val="24"/>
          <w:szCs w:val="24"/>
          <w:rtl/>
        </w:rPr>
        <w:t xml:space="preserve"> </w:t>
      </w:r>
      <w:r w:rsidRPr="00A81A5C">
        <w:rPr>
          <w:rFonts w:ascii="David" w:hAnsi="David" w:cs="David"/>
          <w:sz w:val="24"/>
          <w:szCs w:val="24"/>
          <w:rtl/>
        </w:rPr>
        <w:t xml:space="preserve">כי אמרי' דברים שבלב אינן דברים, היינו שאינן דברים </w:t>
      </w:r>
      <w:r w:rsidRPr="00A81A5C">
        <w:rPr>
          <w:rFonts w:ascii="David" w:hAnsi="David" w:cs="David"/>
          <w:b/>
          <w:bCs/>
          <w:sz w:val="24"/>
          <w:szCs w:val="24"/>
          <w:rtl/>
        </w:rPr>
        <w:t>לבטל מה שאמר בפיו,</w:t>
      </w:r>
      <w:r w:rsidRPr="00A81A5C">
        <w:rPr>
          <w:rFonts w:ascii="David" w:hAnsi="David" w:cs="David"/>
          <w:sz w:val="24"/>
          <w:szCs w:val="24"/>
          <w:rtl/>
        </w:rPr>
        <w:t xml:space="preserve"> כההוא דזבין והי' בלבו תנאי שיעלה לירושלים, ובאומר סבור הייתי שהיא כהנת וכן כולם, אבל </w:t>
      </w:r>
    </w:p>
    <w:p w14:paraId="20D111DC" w14:textId="077C074D" w:rsidR="002D65D9" w:rsidRPr="00A81A5C" w:rsidRDefault="00787653" w:rsidP="00787653">
      <w:pPr>
        <w:spacing w:after="0" w:line="360" w:lineRule="auto"/>
        <w:rPr>
          <w:rFonts w:ascii="David" w:hAnsi="David" w:cs="David"/>
          <w:sz w:val="24"/>
          <w:szCs w:val="24"/>
          <w:rtl/>
        </w:rPr>
      </w:pPr>
      <w:r w:rsidRPr="00A81A5C">
        <w:rPr>
          <w:rFonts w:ascii="David" w:hAnsi="David" w:cs="David"/>
          <w:sz w:val="24"/>
          <w:szCs w:val="24"/>
          <w:rtl/>
        </w:rPr>
        <w:t>כל שהדברים שבלבו אינן מבטלין מעשיו אלא מקיימין</w:t>
      </w:r>
      <w:r w:rsidRPr="00A81A5C">
        <w:rPr>
          <w:rFonts w:ascii="David" w:hAnsi="David" w:cs="David" w:hint="cs"/>
          <w:sz w:val="24"/>
          <w:szCs w:val="24"/>
          <w:rtl/>
        </w:rPr>
        <w:t xml:space="preserve">, </w:t>
      </w:r>
      <w:r w:rsidRPr="00A81A5C">
        <w:rPr>
          <w:rFonts w:ascii="David" w:hAnsi="David" w:cs="David"/>
          <w:sz w:val="24"/>
          <w:szCs w:val="24"/>
          <w:rtl/>
        </w:rPr>
        <w:t>כנזיר שאמר בלבי הי' להיות כזה שהי' עובר</w:t>
      </w:r>
      <w:r w:rsidRPr="00A81A5C">
        <w:rPr>
          <w:rStyle w:val="a5"/>
          <w:rFonts w:ascii="David" w:hAnsi="David" w:cs="David"/>
          <w:sz w:val="24"/>
          <w:szCs w:val="24"/>
          <w:rtl/>
        </w:rPr>
        <w:footnoteReference w:id="2"/>
      </w:r>
      <w:r w:rsidRPr="00A81A5C">
        <w:rPr>
          <w:rFonts w:ascii="David" w:hAnsi="David" w:cs="David"/>
          <w:sz w:val="24"/>
          <w:szCs w:val="24"/>
          <w:rtl/>
        </w:rPr>
        <w:t xml:space="preserve">, או מחשב בתרומה שאין דברי לבו מבטלין שום דבר, הוו דברים, ואין זה בכלל דברי רבא כלל </w:t>
      </w:r>
      <w:r w:rsidR="002D65D9" w:rsidRPr="00A81A5C">
        <w:rPr>
          <w:rStyle w:val="a5"/>
          <w:rFonts w:ascii="David" w:hAnsi="David" w:cs="David"/>
          <w:sz w:val="24"/>
          <w:szCs w:val="24"/>
          <w:rtl/>
        </w:rPr>
        <w:footnoteReference w:id="3"/>
      </w:r>
      <w:r w:rsidR="002D65D9" w:rsidRPr="00A81A5C">
        <w:rPr>
          <w:rFonts w:ascii="David" w:hAnsi="David" w:cs="David" w:hint="cs"/>
          <w:sz w:val="24"/>
          <w:szCs w:val="24"/>
          <w:rtl/>
        </w:rPr>
        <w:t xml:space="preserve">". </w:t>
      </w:r>
    </w:p>
    <w:p w14:paraId="218AEE7C" w14:textId="70B1F39F" w:rsidR="00196F9F" w:rsidRPr="00A81A5C" w:rsidRDefault="00196F9F" w:rsidP="00A81A5C">
      <w:pPr>
        <w:pStyle w:val="a6"/>
        <w:numPr>
          <w:ilvl w:val="0"/>
          <w:numId w:val="3"/>
        </w:numPr>
        <w:spacing w:after="0" w:line="360" w:lineRule="auto"/>
        <w:rPr>
          <w:rFonts w:asciiTheme="majorBidi" w:hAnsiTheme="majorBidi" w:cstheme="majorBidi"/>
          <w:b/>
          <w:bCs/>
          <w:sz w:val="24"/>
          <w:szCs w:val="24"/>
          <w:rtl/>
        </w:rPr>
      </w:pPr>
      <w:r w:rsidRPr="00A81A5C">
        <w:rPr>
          <w:rFonts w:asciiTheme="majorBidi" w:hAnsiTheme="majorBidi" w:cstheme="majorBidi"/>
          <w:b/>
          <w:bCs/>
          <w:sz w:val="24"/>
          <w:szCs w:val="24"/>
          <w:rtl/>
        </w:rPr>
        <w:t xml:space="preserve">נאמנות על </w:t>
      </w:r>
      <w:r w:rsidR="00A81A5C" w:rsidRPr="00A81A5C">
        <w:rPr>
          <w:rFonts w:asciiTheme="majorBidi" w:hAnsiTheme="majorBidi" w:cstheme="majorBidi"/>
          <w:b/>
          <w:bCs/>
          <w:sz w:val="24"/>
          <w:szCs w:val="24"/>
          <w:rtl/>
        </w:rPr>
        <w:t>דברים שבלב</w:t>
      </w:r>
    </w:p>
    <w:p w14:paraId="11F5CCA8" w14:textId="6C09F305" w:rsidR="00A35C04" w:rsidRPr="00A81A5C" w:rsidRDefault="00196F9F" w:rsidP="00A81A5C">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 xml:space="preserve">מעבר לשאלת חלות </w:t>
      </w:r>
      <w:r w:rsidR="00A81A5C">
        <w:rPr>
          <w:rFonts w:asciiTheme="majorBidi" w:hAnsiTheme="majorBidi" w:cstheme="majorBidi"/>
          <w:sz w:val="24"/>
          <w:szCs w:val="24"/>
          <w:rtl/>
        </w:rPr>
        <w:t>דברים שבלב</w:t>
      </w:r>
      <w:r w:rsidRPr="00A81A5C">
        <w:rPr>
          <w:rFonts w:asciiTheme="majorBidi" w:hAnsiTheme="majorBidi" w:cstheme="majorBidi"/>
          <w:sz w:val="24"/>
          <w:szCs w:val="24"/>
          <w:rtl/>
        </w:rPr>
        <w:t xml:space="preserve">, עלינו לברר את </w:t>
      </w:r>
      <w:r w:rsidR="00613999" w:rsidRPr="00A81A5C">
        <w:rPr>
          <w:rFonts w:asciiTheme="majorBidi" w:hAnsiTheme="majorBidi" w:cstheme="majorBidi"/>
          <w:sz w:val="24"/>
          <w:szCs w:val="24"/>
          <w:rtl/>
        </w:rPr>
        <w:t xml:space="preserve">עצם </w:t>
      </w:r>
      <w:r w:rsidRPr="00A81A5C">
        <w:rPr>
          <w:rFonts w:asciiTheme="majorBidi" w:hAnsiTheme="majorBidi" w:cstheme="majorBidi"/>
          <w:sz w:val="24"/>
          <w:szCs w:val="24"/>
          <w:rtl/>
        </w:rPr>
        <w:t xml:space="preserve">קיומם. הר"ן מצריך אומדן כלשהו על קיום </w:t>
      </w:r>
      <w:r w:rsidR="00A81A5C">
        <w:rPr>
          <w:rFonts w:asciiTheme="majorBidi" w:hAnsiTheme="majorBidi" w:cstheme="majorBidi"/>
          <w:sz w:val="24"/>
          <w:szCs w:val="24"/>
          <w:rtl/>
        </w:rPr>
        <w:t>דברים שבלב</w:t>
      </w:r>
      <w:r w:rsidRPr="00A81A5C">
        <w:rPr>
          <w:rFonts w:asciiTheme="majorBidi" w:hAnsiTheme="majorBidi" w:cstheme="majorBidi"/>
          <w:sz w:val="24"/>
          <w:szCs w:val="24"/>
          <w:rtl/>
        </w:rPr>
        <w:t>:</w:t>
      </w:r>
      <w:r w:rsidR="00A81A5C">
        <w:rPr>
          <w:rFonts w:asciiTheme="majorBidi" w:hAnsiTheme="majorBidi" w:cstheme="majorBidi" w:hint="cs"/>
          <w:sz w:val="24"/>
          <w:szCs w:val="24"/>
          <w:rtl/>
        </w:rPr>
        <w:t xml:space="preserve"> </w:t>
      </w:r>
      <w:r w:rsidRPr="00A81A5C">
        <w:rPr>
          <w:rFonts w:ascii="David" w:hAnsi="David" w:cs="David" w:hint="cs"/>
          <w:sz w:val="24"/>
          <w:szCs w:val="24"/>
          <w:rtl/>
        </w:rPr>
        <w:t>"</w:t>
      </w:r>
      <w:r w:rsidRPr="00A81A5C">
        <w:rPr>
          <w:rFonts w:ascii="David" w:hAnsi="David" w:cs="David"/>
          <w:sz w:val="24"/>
          <w:szCs w:val="24"/>
          <w:rtl/>
        </w:rPr>
        <w:t>בשגלה דעתו תחלה דאדעתא למיסק לא"י קא מזבין עסקינן</w:t>
      </w:r>
      <w:r w:rsidR="00275933">
        <w:rPr>
          <w:rFonts w:ascii="David" w:hAnsi="David" w:cs="David" w:hint="cs"/>
          <w:sz w:val="24"/>
          <w:szCs w:val="24"/>
          <w:rtl/>
        </w:rPr>
        <w:t>,</w:t>
      </w:r>
      <w:r w:rsidRPr="00A81A5C">
        <w:rPr>
          <w:rFonts w:ascii="David" w:hAnsi="David" w:cs="David"/>
          <w:sz w:val="24"/>
          <w:szCs w:val="24"/>
          <w:rtl/>
        </w:rPr>
        <w:t xml:space="preserve"> ואף אח"כ אנו רואין שהוא טורח אם יוכל לעלות</w:t>
      </w:r>
      <w:r w:rsidR="00275933">
        <w:rPr>
          <w:rFonts w:ascii="David" w:hAnsi="David" w:cs="David" w:hint="cs"/>
          <w:sz w:val="24"/>
          <w:szCs w:val="24"/>
          <w:rtl/>
        </w:rPr>
        <w:t>.</w:t>
      </w:r>
      <w:r w:rsidRPr="00A81A5C">
        <w:rPr>
          <w:rFonts w:ascii="David" w:hAnsi="David" w:cs="David"/>
          <w:sz w:val="24"/>
          <w:szCs w:val="24"/>
          <w:rtl/>
        </w:rPr>
        <w:t xml:space="preserve"> דאי לאו הכי</w:t>
      </w:r>
      <w:r w:rsidR="00275933">
        <w:rPr>
          <w:rFonts w:ascii="David" w:hAnsi="David" w:cs="David" w:hint="cs"/>
          <w:sz w:val="24"/>
          <w:szCs w:val="24"/>
          <w:rtl/>
        </w:rPr>
        <w:t>,</w:t>
      </w:r>
      <w:r w:rsidRPr="00A81A5C">
        <w:rPr>
          <w:rFonts w:ascii="David" w:hAnsi="David" w:cs="David"/>
          <w:sz w:val="24"/>
          <w:szCs w:val="24"/>
          <w:rtl/>
        </w:rPr>
        <w:t xml:space="preserve"> אפי' הוו דברים שבלב דברים</w:t>
      </w:r>
      <w:r w:rsidR="00275933">
        <w:rPr>
          <w:rFonts w:ascii="David" w:hAnsi="David" w:cs="David" w:hint="cs"/>
          <w:sz w:val="24"/>
          <w:szCs w:val="24"/>
          <w:rtl/>
        </w:rPr>
        <w:t>-</w:t>
      </w:r>
      <w:r w:rsidRPr="00A81A5C">
        <w:rPr>
          <w:rFonts w:ascii="David" w:hAnsi="David" w:cs="David"/>
          <w:sz w:val="24"/>
          <w:szCs w:val="24"/>
          <w:rtl/>
        </w:rPr>
        <w:t xml:space="preserve"> פשיטא שלא כל הימנו לומר בלבי היה</w:t>
      </w:r>
      <w:r w:rsidRPr="00A81A5C">
        <w:rPr>
          <w:rStyle w:val="a5"/>
          <w:rFonts w:ascii="David" w:hAnsi="David" w:cs="David"/>
          <w:sz w:val="24"/>
          <w:szCs w:val="24"/>
          <w:rtl/>
        </w:rPr>
        <w:footnoteReference w:id="4"/>
      </w:r>
      <w:r w:rsidRPr="00A81A5C">
        <w:rPr>
          <w:rFonts w:ascii="David" w:hAnsi="David" w:cs="David" w:hint="cs"/>
          <w:sz w:val="24"/>
          <w:szCs w:val="24"/>
          <w:rtl/>
        </w:rPr>
        <w:t>".</w:t>
      </w:r>
      <w:r w:rsidR="00A35C04" w:rsidRPr="00A81A5C">
        <w:rPr>
          <w:rFonts w:ascii="David" w:hAnsi="David" w:cs="David" w:hint="cs"/>
          <w:sz w:val="24"/>
          <w:szCs w:val="24"/>
          <w:rtl/>
        </w:rPr>
        <w:t xml:space="preserve"> </w:t>
      </w:r>
      <w:r w:rsidR="00A35C04" w:rsidRPr="00A81A5C">
        <w:rPr>
          <w:rFonts w:asciiTheme="majorBidi" w:hAnsiTheme="majorBidi" w:cstheme="majorBidi" w:hint="cs"/>
          <w:sz w:val="24"/>
          <w:szCs w:val="24"/>
          <w:rtl/>
        </w:rPr>
        <w:t>בדומה לכך, רב יוסף ניסה ללמוד ש</w:t>
      </w:r>
      <w:r w:rsidR="00A81A5C">
        <w:rPr>
          <w:rFonts w:asciiTheme="majorBidi" w:hAnsiTheme="majorBidi" w:cstheme="majorBidi" w:hint="cs"/>
          <w:sz w:val="24"/>
          <w:szCs w:val="24"/>
          <w:rtl/>
        </w:rPr>
        <w:t>דברים שבלב</w:t>
      </w:r>
      <w:r w:rsidR="00A35C04" w:rsidRPr="00A81A5C">
        <w:rPr>
          <w:rFonts w:asciiTheme="majorBidi" w:hAnsiTheme="majorBidi" w:cstheme="majorBidi" w:hint="cs"/>
          <w:sz w:val="24"/>
          <w:szCs w:val="24"/>
          <w:rtl/>
        </w:rPr>
        <w:t xml:space="preserve"> אינם </w:t>
      </w:r>
      <w:r w:rsidR="00A81A5C">
        <w:rPr>
          <w:rFonts w:asciiTheme="majorBidi" w:hAnsiTheme="majorBidi" w:cstheme="majorBidi" w:hint="cs"/>
          <w:sz w:val="24"/>
          <w:szCs w:val="24"/>
          <w:rtl/>
        </w:rPr>
        <w:t>דברים</w:t>
      </w:r>
      <w:r w:rsidR="00A35C04" w:rsidRPr="00A81A5C">
        <w:rPr>
          <w:rFonts w:asciiTheme="majorBidi" w:hAnsiTheme="majorBidi" w:cstheme="majorBidi" w:hint="cs"/>
          <w:sz w:val="24"/>
          <w:szCs w:val="24"/>
          <w:rtl/>
        </w:rPr>
        <w:t xml:space="preserve">, מן המשנה: </w:t>
      </w:r>
    </w:p>
    <w:p w14:paraId="265A28EA" w14:textId="58C837F6" w:rsidR="00A35C04" w:rsidRPr="00A81A5C" w:rsidRDefault="00A35C04" w:rsidP="00BF4625">
      <w:pPr>
        <w:spacing w:after="0" w:line="360" w:lineRule="auto"/>
        <w:rPr>
          <w:rFonts w:asciiTheme="majorBidi" w:hAnsiTheme="majorBidi" w:cstheme="majorBidi"/>
          <w:sz w:val="24"/>
          <w:szCs w:val="24"/>
          <w:rtl/>
        </w:rPr>
      </w:pPr>
      <w:r w:rsidRPr="00A81A5C">
        <w:rPr>
          <w:rFonts w:ascii="David" w:hAnsi="David" w:cs="David"/>
          <w:sz w:val="24"/>
          <w:szCs w:val="24"/>
          <w:rtl/>
        </w:rPr>
        <w:lastRenderedPageBreak/>
        <w:t>"המקדש את האשה, ואמר כסבור הייתי שהיא כהנת והרי היא לויה, לויה ונמצאת כהנת, ענייה והרי היא עשירה, עשירה והרי היא ענייה - מקודשת, מפני שלא הטעתו; ואמאי? הא קאמר כסבור הייתי! אלא משום דאמרינן דברים שבלב אינן דברים</w:t>
      </w:r>
      <w:r w:rsidRPr="00A81A5C">
        <w:rPr>
          <w:rStyle w:val="a5"/>
          <w:rFonts w:ascii="David" w:hAnsi="David" w:cs="David"/>
          <w:sz w:val="24"/>
          <w:szCs w:val="24"/>
          <w:rtl/>
        </w:rPr>
        <w:footnoteReference w:id="5"/>
      </w:r>
      <w:r w:rsidRPr="00A81A5C">
        <w:rPr>
          <w:rFonts w:ascii="David" w:hAnsi="David" w:cs="David"/>
          <w:sz w:val="24"/>
          <w:szCs w:val="24"/>
          <w:rtl/>
        </w:rPr>
        <w:t>".</w:t>
      </w:r>
      <w:r w:rsidRPr="00A81A5C">
        <w:rPr>
          <w:rFonts w:asciiTheme="majorBidi" w:hAnsiTheme="majorBidi" w:cs="Times New Roman" w:hint="cs"/>
          <w:sz w:val="24"/>
          <w:szCs w:val="24"/>
          <w:rtl/>
        </w:rPr>
        <w:t xml:space="preserve"> </w:t>
      </w:r>
      <w:r w:rsidRPr="00A81A5C">
        <w:rPr>
          <w:rFonts w:asciiTheme="majorBidi" w:hAnsiTheme="majorBidi" w:cstheme="majorBidi" w:hint="cs"/>
          <w:sz w:val="24"/>
          <w:szCs w:val="24"/>
          <w:rtl/>
        </w:rPr>
        <w:t xml:space="preserve">כתב על כך </w:t>
      </w:r>
      <w:r w:rsidRPr="00A81A5C">
        <w:rPr>
          <w:rFonts w:asciiTheme="majorBidi" w:hAnsiTheme="majorBidi" w:cs="Times New Roman"/>
          <w:sz w:val="24"/>
          <w:szCs w:val="24"/>
          <w:rtl/>
        </w:rPr>
        <w:t>הריטב"א</w:t>
      </w:r>
      <w:r w:rsidRPr="00A81A5C">
        <w:rPr>
          <w:rFonts w:asciiTheme="majorBidi" w:hAnsiTheme="majorBidi" w:cs="Times New Roman" w:hint="cs"/>
          <w:sz w:val="24"/>
          <w:szCs w:val="24"/>
          <w:rtl/>
        </w:rPr>
        <w:t>:</w:t>
      </w:r>
    </w:p>
    <w:p w14:paraId="7955D504" w14:textId="40F69845" w:rsidR="00196F9F" w:rsidRPr="00A81A5C" w:rsidRDefault="00A35C04" w:rsidP="00BF4625">
      <w:pPr>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קשיא לי</w:t>
      </w:r>
      <w:r w:rsidRPr="00A81A5C">
        <w:rPr>
          <w:rFonts w:ascii="David" w:hAnsi="David" w:cs="David" w:hint="cs"/>
          <w:sz w:val="24"/>
          <w:szCs w:val="24"/>
          <w:rtl/>
        </w:rPr>
        <w:t>:</w:t>
      </w:r>
      <w:r w:rsidRPr="00A81A5C">
        <w:rPr>
          <w:rFonts w:ascii="David" w:hAnsi="David" w:cs="David"/>
          <w:sz w:val="24"/>
          <w:szCs w:val="24"/>
          <w:rtl/>
        </w:rPr>
        <w:t xml:space="preserve"> ודלמא משום דלא מהימנינן ליה שכך היה בדעתו, הא אילו ידענו שכך היה בדעתו אינה מקודשת</w:t>
      </w:r>
      <w:r w:rsidRPr="00A81A5C">
        <w:rPr>
          <w:rFonts w:ascii="David" w:hAnsi="David" w:cs="David" w:hint="cs"/>
          <w:sz w:val="24"/>
          <w:szCs w:val="24"/>
          <w:rtl/>
        </w:rPr>
        <w:t>,</w:t>
      </w:r>
      <w:r w:rsidRPr="00A81A5C">
        <w:rPr>
          <w:rFonts w:ascii="David" w:hAnsi="David" w:cs="David"/>
          <w:sz w:val="24"/>
          <w:szCs w:val="24"/>
          <w:rtl/>
        </w:rPr>
        <w:t xml:space="preserve"> דדברים שבלב הוו דברים</w:t>
      </w:r>
      <w:r w:rsidRPr="00A81A5C">
        <w:rPr>
          <w:rFonts w:ascii="David" w:hAnsi="David" w:cs="David" w:hint="cs"/>
          <w:sz w:val="24"/>
          <w:szCs w:val="24"/>
          <w:rtl/>
        </w:rPr>
        <w:t xml:space="preserve">? </w:t>
      </w:r>
      <w:r w:rsidRPr="00A81A5C">
        <w:rPr>
          <w:rFonts w:ascii="David" w:hAnsi="David" w:cs="David"/>
          <w:sz w:val="24"/>
          <w:szCs w:val="24"/>
          <w:rtl/>
        </w:rPr>
        <w:t xml:space="preserve"> ואיכא למימר דמתניתין קשיתיה</w:t>
      </w:r>
      <w:r w:rsidRPr="00A81A5C">
        <w:rPr>
          <w:rFonts w:ascii="David" w:hAnsi="David" w:cs="David" w:hint="cs"/>
          <w:sz w:val="24"/>
          <w:szCs w:val="24"/>
          <w:rtl/>
        </w:rPr>
        <w:t>,</w:t>
      </w:r>
      <w:r w:rsidRPr="00A81A5C">
        <w:rPr>
          <w:rFonts w:ascii="David" w:hAnsi="David" w:cs="David"/>
          <w:sz w:val="24"/>
          <w:szCs w:val="24"/>
          <w:rtl/>
        </w:rPr>
        <w:t xml:space="preserve"> דקתני מקודשת לגמרי בין לקולא בין לחומרא</w:t>
      </w:r>
      <w:r w:rsidRPr="00A81A5C">
        <w:rPr>
          <w:rFonts w:ascii="David" w:hAnsi="David" w:cs="David" w:hint="cs"/>
          <w:sz w:val="24"/>
          <w:szCs w:val="24"/>
          <w:rtl/>
        </w:rPr>
        <w:t>,</w:t>
      </w:r>
      <w:r w:rsidRPr="00A81A5C">
        <w:rPr>
          <w:rFonts w:ascii="David" w:hAnsi="David" w:cs="David"/>
          <w:sz w:val="24"/>
          <w:szCs w:val="24"/>
          <w:rtl/>
        </w:rPr>
        <w:t xml:space="preserve"> ואם קדשה אחר אינה צריכה גט הימנו</w:t>
      </w:r>
      <w:r w:rsidRPr="00A81A5C">
        <w:rPr>
          <w:rFonts w:ascii="David" w:hAnsi="David" w:cs="David" w:hint="cs"/>
          <w:sz w:val="24"/>
          <w:szCs w:val="24"/>
          <w:rtl/>
        </w:rPr>
        <w:t>.</w:t>
      </w:r>
      <w:r w:rsidRPr="00A81A5C">
        <w:rPr>
          <w:rFonts w:ascii="David" w:hAnsi="David" w:cs="David"/>
          <w:sz w:val="24"/>
          <w:szCs w:val="24"/>
          <w:rtl/>
        </w:rPr>
        <w:t xml:space="preserve"> ואי משום דלא מהימ</w:t>
      </w:r>
      <w:r w:rsidRPr="00A81A5C">
        <w:rPr>
          <w:rFonts w:ascii="David" w:hAnsi="David" w:cs="David" w:hint="cs"/>
          <w:sz w:val="24"/>
          <w:szCs w:val="24"/>
          <w:rtl/>
        </w:rPr>
        <w:t>ן-</w:t>
      </w:r>
      <w:r w:rsidRPr="00A81A5C">
        <w:rPr>
          <w:rFonts w:ascii="David" w:hAnsi="David" w:cs="David"/>
          <w:sz w:val="24"/>
          <w:szCs w:val="24"/>
          <w:rtl/>
        </w:rPr>
        <w:t xml:space="preserve"> הוה לן למיחש לדבריו לחומרא להצריכה גט משני, ומדלא חיישינן להכי</w:t>
      </w:r>
      <w:r w:rsidRPr="00A81A5C">
        <w:rPr>
          <w:rFonts w:ascii="David" w:hAnsi="David" w:cs="David" w:hint="cs"/>
          <w:sz w:val="24"/>
          <w:szCs w:val="24"/>
          <w:rtl/>
        </w:rPr>
        <w:t>,</w:t>
      </w:r>
      <w:r w:rsidRPr="00A81A5C">
        <w:rPr>
          <w:rFonts w:ascii="David" w:hAnsi="David" w:cs="David"/>
          <w:sz w:val="24"/>
          <w:szCs w:val="24"/>
          <w:rtl/>
        </w:rPr>
        <w:t xml:space="preserve"> שמעינן שאע"פ שהיה כן בדעתו לא מהני</w:t>
      </w:r>
      <w:r w:rsidRPr="00A81A5C">
        <w:rPr>
          <w:rFonts w:ascii="David" w:hAnsi="David" w:cs="David" w:hint="cs"/>
          <w:sz w:val="24"/>
          <w:szCs w:val="24"/>
          <w:rtl/>
        </w:rPr>
        <w:t>,</w:t>
      </w:r>
      <w:r w:rsidRPr="00A81A5C">
        <w:rPr>
          <w:rFonts w:ascii="David" w:hAnsi="David" w:cs="David"/>
          <w:sz w:val="24"/>
          <w:szCs w:val="24"/>
          <w:rtl/>
        </w:rPr>
        <w:t xml:space="preserve"> דדברים שבלב אינם דברים, והיינו</w:t>
      </w:r>
      <w:r w:rsidR="002F7C63" w:rsidRPr="00A81A5C">
        <w:rPr>
          <w:rFonts w:ascii="David" w:hAnsi="David" w:cs="David" w:hint="cs"/>
          <w:sz w:val="24"/>
          <w:szCs w:val="24"/>
          <w:rtl/>
        </w:rPr>
        <w:t xml:space="preserve"> </w:t>
      </w:r>
      <w:r w:rsidRPr="00A81A5C">
        <w:rPr>
          <w:rFonts w:ascii="David" w:hAnsi="David" w:cs="David"/>
          <w:sz w:val="24"/>
          <w:szCs w:val="24"/>
          <w:rtl/>
        </w:rPr>
        <w:t>דדחינן</w:t>
      </w:r>
      <w:r w:rsidRPr="00A81A5C">
        <w:rPr>
          <w:rFonts w:ascii="David" w:hAnsi="David" w:cs="David" w:hint="cs"/>
          <w:sz w:val="24"/>
          <w:szCs w:val="24"/>
          <w:rtl/>
        </w:rPr>
        <w:t>,</w:t>
      </w:r>
      <w:r w:rsidRPr="00A81A5C">
        <w:rPr>
          <w:rFonts w:ascii="David" w:hAnsi="David" w:cs="David"/>
          <w:sz w:val="24"/>
          <w:szCs w:val="24"/>
          <w:rtl/>
        </w:rPr>
        <w:t xml:space="preserve"> דדילמא הא דאמרינן מקודשת לחומרא הוא להצריכה גט משום דלא מהימן לן, וצריכה גט נמי משני דלמא קושטא קאמר</w:t>
      </w:r>
      <w:r w:rsidRPr="00A81A5C">
        <w:rPr>
          <w:rFonts w:ascii="David" w:hAnsi="David" w:cs="David" w:hint="cs"/>
          <w:sz w:val="24"/>
          <w:szCs w:val="24"/>
          <w:rtl/>
        </w:rPr>
        <w:t>"?</w:t>
      </w:r>
    </w:p>
    <w:p w14:paraId="5DA805E6" w14:textId="4BBAF92A" w:rsidR="002F7C63" w:rsidRPr="00A81A5C" w:rsidRDefault="00A81A5C" w:rsidP="00A81A5C">
      <w:pPr>
        <w:pStyle w:val="a6"/>
        <w:numPr>
          <w:ilvl w:val="0"/>
          <w:numId w:val="3"/>
        </w:numPr>
        <w:spacing w:after="0" w:line="360" w:lineRule="auto"/>
        <w:rPr>
          <w:rFonts w:asciiTheme="majorBidi" w:hAnsiTheme="majorBidi" w:cstheme="majorBidi"/>
          <w:b/>
          <w:bCs/>
          <w:sz w:val="24"/>
          <w:szCs w:val="24"/>
          <w:rtl/>
        </w:rPr>
      </w:pPr>
      <w:r w:rsidRPr="00A81A5C">
        <w:rPr>
          <w:rFonts w:asciiTheme="majorBidi" w:hAnsiTheme="majorBidi" w:cstheme="majorBidi" w:hint="cs"/>
          <w:b/>
          <w:bCs/>
          <w:sz w:val="24"/>
          <w:szCs w:val="24"/>
          <w:rtl/>
        </w:rPr>
        <w:t>דברים שבלב</w:t>
      </w:r>
      <w:r w:rsidR="002F7C63" w:rsidRPr="00A81A5C">
        <w:rPr>
          <w:rFonts w:asciiTheme="majorBidi" w:hAnsiTheme="majorBidi" w:cstheme="majorBidi" w:hint="cs"/>
          <w:b/>
          <w:bCs/>
          <w:sz w:val="24"/>
          <w:szCs w:val="24"/>
          <w:rtl/>
        </w:rPr>
        <w:t xml:space="preserve"> שהם לגמרי </w:t>
      </w:r>
      <w:r w:rsidRPr="00A81A5C">
        <w:rPr>
          <w:rFonts w:asciiTheme="majorBidi" w:hAnsiTheme="majorBidi" w:cstheme="majorBidi" w:hint="cs"/>
          <w:b/>
          <w:bCs/>
          <w:sz w:val="24"/>
          <w:szCs w:val="24"/>
          <w:rtl/>
        </w:rPr>
        <w:t xml:space="preserve">דברים </w:t>
      </w:r>
    </w:p>
    <w:p w14:paraId="1B8EAB92" w14:textId="3C4ECFF3" w:rsidR="002F7C63" w:rsidRPr="00A81A5C" w:rsidRDefault="002F7C63" w:rsidP="00A81A5C">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 xml:space="preserve">כתבו בעלי התוספות: </w:t>
      </w:r>
      <w:r w:rsidRPr="00A81A5C">
        <w:rPr>
          <w:rFonts w:asciiTheme="majorBidi" w:hAnsiTheme="majorBidi" w:cs="Times New Roman" w:hint="cs"/>
          <w:sz w:val="24"/>
          <w:szCs w:val="24"/>
          <w:rtl/>
        </w:rPr>
        <w:t xml:space="preserve"> </w:t>
      </w:r>
      <w:r w:rsidRPr="00A81A5C">
        <w:rPr>
          <w:rFonts w:ascii="David" w:hAnsi="David" w:cs="David"/>
          <w:sz w:val="24"/>
          <w:szCs w:val="24"/>
          <w:rtl/>
        </w:rPr>
        <w:t>"אומר ר"י דצריך לחלק ולומר דיש דברים שאינם צריכין תנאי כפול</w:t>
      </w:r>
      <w:r w:rsidR="00275933">
        <w:rPr>
          <w:rFonts w:ascii="David" w:hAnsi="David" w:cs="David" w:hint="cs"/>
          <w:sz w:val="24"/>
          <w:szCs w:val="24"/>
          <w:rtl/>
        </w:rPr>
        <w:t>,</w:t>
      </w:r>
      <w:r w:rsidRPr="00A81A5C">
        <w:rPr>
          <w:rFonts w:ascii="David" w:hAnsi="David" w:cs="David"/>
          <w:sz w:val="24"/>
          <w:szCs w:val="24"/>
          <w:rtl/>
        </w:rPr>
        <w:t xml:space="preserve"> אלא גלוי מילתא דאנן סהדי דאדעתא דהכי עביד</w:t>
      </w:r>
      <w:r w:rsidR="00275933">
        <w:rPr>
          <w:rFonts w:ascii="David" w:hAnsi="David" w:cs="David" w:hint="cs"/>
          <w:sz w:val="24"/>
          <w:szCs w:val="24"/>
          <w:rtl/>
        </w:rPr>
        <w:t>.</w:t>
      </w:r>
      <w:r w:rsidRPr="00A81A5C">
        <w:rPr>
          <w:rFonts w:ascii="David" w:hAnsi="David" w:cs="David"/>
          <w:sz w:val="24"/>
          <w:szCs w:val="24"/>
          <w:rtl/>
        </w:rPr>
        <w:t xml:space="preserve"> וגם יש דברים </w:t>
      </w:r>
      <w:r w:rsidRPr="00A81A5C">
        <w:rPr>
          <w:rFonts w:ascii="David" w:hAnsi="David" w:cs="David"/>
          <w:b/>
          <w:bCs/>
          <w:sz w:val="24"/>
          <w:szCs w:val="24"/>
          <w:rtl/>
        </w:rPr>
        <w:t>דאפילו גילוי מילתא לא בעי</w:t>
      </w:r>
      <w:r w:rsidR="00275933">
        <w:rPr>
          <w:rFonts w:ascii="David" w:hAnsi="David" w:cs="David" w:hint="cs"/>
          <w:b/>
          <w:bCs/>
          <w:sz w:val="24"/>
          <w:szCs w:val="24"/>
          <w:rtl/>
        </w:rPr>
        <w:t>,</w:t>
      </w:r>
      <w:r w:rsidRPr="00A81A5C">
        <w:rPr>
          <w:rFonts w:ascii="David" w:hAnsi="David" w:cs="David"/>
          <w:sz w:val="24"/>
          <w:szCs w:val="24"/>
          <w:rtl/>
        </w:rPr>
        <w:t xml:space="preserve"> כגון ההיא דהכותב כל נכסיו לאחרים ושמע שיש לו בן שהמתנה בטלה וכן הכותב כל נכסיו לאשתו לא עשאה אלא אפוטרופא לפי שאנו אומדין שלכך היה בדעתו".</w:t>
      </w:r>
      <w:r w:rsidRPr="00A81A5C">
        <w:rPr>
          <w:rFonts w:ascii="David" w:hAnsi="David" w:cs="David" w:hint="cs"/>
          <w:sz w:val="24"/>
          <w:szCs w:val="24"/>
          <w:rtl/>
        </w:rPr>
        <w:t xml:space="preserve"> </w:t>
      </w:r>
      <w:r w:rsidRPr="00A81A5C">
        <w:rPr>
          <w:rFonts w:asciiTheme="majorBidi" w:hAnsiTheme="majorBidi" w:cstheme="majorBidi" w:hint="cs"/>
          <w:sz w:val="24"/>
          <w:szCs w:val="24"/>
          <w:rtl/>
        </w:rPr>
        <w:t xml:space="preserve">מונים התוספות שני מקרים. </w:t>
      </w:r>
      <w:r w:rsidR="00275933">
        <w:rPr>
          <w:rFonts w:asciiTheme="majorBidi" w:hAnsiTheme="majorBidi" w:cstheme="majorBidi" w:hint="cs"/>
          <w:sz w:val="24"/>
          <w:szCs w:val="24"/>
          <w:rtl/>
        </w:rPr>
        <w:t xml:space="preserve">נרכז </w:t>
      </w:r>
      <w:r w:rsidRPr="00A81A5C">
        <w:rPr>
          <w:rFonts w:asciiTheme="majorBidi" w:hAnsiTheme="majorBidi" w:cstheme="majorBidi" w:hint="cs"/>
          <w:sz w:val="24"/>
          <w:szCs w:val="24"/>
          <w:rtl/>
        </w:rPr>
        <w:t>דוגמאות להפעלת אומדנא:</w:t>
      </w:r>
    </w:p>
    <w:p w14:paraId="12162AA6" w14:textId="3878D953" w:rsidR="002F7C63" w:rsidRPr="00A81A5C" w:rsidRDefault="002F7C63" w:rsidP="00BF4625">
      <w:pPr>
        <w:spacing w:after="0" w:line="360" w:lineRule="auto"/>
        <w:rPr>
          <w:rFonts w:ascii="David" w:hAnsi="David" w:cs="David"/>
          <w:sz w:val="24"/>
          <w:szCs w:val="24"/>
          <w:rtl/>
        </w:rPr>
      </w:pPr>
      <w:r w:rsidRPr="00A81A5C">
        <w:rPr>
          <w:rFonts w:ascii="David" w:hAnsi="David" w:cs="David"/>
          <w:sz w:val="24"/>
          <w:szCs w:val="24"/>
          <w:rtl/>
        </w:rPr>
        <w:t>1.</w:t>
      </w:r>
      <w:r w:rsidRPr="00A81A5C">
        <w:rPr>
          <w:rFonts w:ascii="David" w:hAnsi="David" w:cs="David" w:hint="cs"/>
          <w:sz w:val="24"/>
          <w:szCs w:val="24"/>
          <w:rtl/>
        </w:rPr>
        <w:t>"</w:t>
      </w:r>
      <w:r w:rsidRPr="00A81A5C">
        <w:rPr>
          <w:rFonts w:ascii="David" w:hAnsi="David" w:cs="David"/>
          <w:sz w:val="24"/>
          <w:szCs w:val="24"/>
          <w:rtl/>
        </w:rPr>
        <w:t xml:space="preserve">מתני'. שכיב מרע שכתב כל נכסיו לאחרים ושייר קרקע כל שהוא - מתנתו קיימת, לא שייר קרקע כל שהוא - אין מתנתו קיימת. </w:t>
      </w:r>
    </w:p>
    <w:p w14:paraId="776ED780" w14:textId="77777777" w:rsidR="002F7C63" w:rsidRPr="00A81A5C" w:rsidRDefault="002F7C63" w:rsidP="00BF4625">
      <w:pPr>
        <w:spacing w:after="0" w:line="360" w:lineRule="auto"/>
        <w:rPr>
          <w:rFonts w:ascii="David" w:hAnsi="David" w:cs="David"/>
          <w:sz w:val="24"/>
          <w:szCs w:val="24"/>
          <w:rtl/>
        </w:rPr>
      </w:pPr>
      <w:r w:rsidRPr="00A81A5C">
        <w:rPr>
          <w:rFonts w:ascii="David" w:hAnsi="David" w:cs="David"/>
          <w:sz w:val="24"/>
          <w:szCs w:val="24"/>
          <w:rtl/>
        </w:rPr>
        <w:t xml:space="preserve">גמ'. מאן תנא דאזלינן בתר אומדנא? אמר רב נחמן: רבי שמעון בן מנסיא היא; </w:t>
      </w:r>
    </w:p>
    <w:p w14:paraId="724E485A" w14:textId="0993EFC3" w:rsidR="002F7C63" w:rsidRPr="00A81A5C" w:rsidRDefault="002F7C63" w:rsidP="00BF4625">
      <w:pPr>
        <w:spacing w:after="0" w:line="360" w:lineRule="auto"/>
        <w:rPr>
          <w:rFonts w:ascii="David" w:hAnsi="David" w:cs="David"/>
          <w:sz w:val="24"/>
          <w:szCs w:val="24"/>
          <w:rtl/>
        </w:rPr>
      </w:pPr>
      <w:r w:rsidRPr="00A81A5C">
        <w:rPr>
          <w:rFonts w:ascii="David" w:hAnsi="David" w:cs="David"/>
          <w:sz w:val="24"/>
          <w:szCs w:val="24"/>
          <w:rtl/>
        </w:rPr>
        <w:t xml:space="preserve">2. דתניא: הרי שהלך בנו למדינת הים, ושמע שמת בנו ועמד וכתב כל נכסיו לאחר, ואחר כך בא בנו - מתנתו מתנה; רבי שמעון בן מנסיא אומר: אין מתנתו מתנה, שאלמלי היה יודע שבנו קיים - לא היה כותבן. </w:t>
      </w:r>
    </w:p>
    <w:p w14:paraId="403A9277" w14:textId="0F361B06" w:rsidR="002F7C63" w:rsidRPr="00A81A5C" w:rsidRDefault="002F7C63" w:rsidP="00BF4625">
      <w:pPr>
        <w:spacing w:after="0" w:line="360" w:lineRule="auto"/>
        <w:rPr>
          <w:rFonts w:ascii="David" w:hAnsi="David" w:cs="David"/>
          <w:sz w:val="24"/>
          <w:szCs w:val="24"/>
          <w:rtl/>
        </w:rPr>
      </w:pPr>
      <w:r w:rsidRPr="00A81A5C">
        <w:rPr>
          <w:rFonts w:ascii="David" w:hAnsi="David" w:cs="David"/>
          <w:sz w:val="24"/>
          <w:szCs w:val="24"/>
          <w:rtl/>
        </w:rPr>
        <w:t>3. רב ששת אמר: ר' שמעון שזורי היא; דתניא, בראשונה היו אומרים: היוצא בקולר ואמר כתבו גט לאשתי - הרי אלו יכתבו ויתנו, חזרו לומר: אף המפרש והיוצא בשיירא; רבי שמעון שזורי אומר: אף המסוכן</w:t>
      </w:r>
      <w:r w:rsidRPr="00A81A5C">
        <w:rPr>
          <w:rStyle w:val="a5"/>
          <w:rFonts w:ascii="David" w:hAnsi="David" w:cs="David"/>
          <w:sz w:val="24"/>
          <w:szCs w:val="24"/>
          <w:rtl/>
        </w:rPr>
        <w:footnoteReference w:id="6"/>
      </w:r>
      <w:r w:rsidRPr="00A81A5C">
        <w:rPr>
          <w:rFonts w:ascii="David" w:hAnsi="David" w:cs="David" w:hint="cs"/>
          <w:sz w:val="24"/>
          <w:szCs w:val="24"/>
          <w:rtl/>
        </w:rPr>
        <w:t>"</w:t>
      </w:r>
      <w:r w:rsidRPr="00A81A5C">
        <w:rPr>
          <w:rFonts w:ascii="David" w:hAnsi="David" w:cs="David"/>
          <w:sz w:val="24"/>
          <w:szCs w:val="24"/>
          <w:rtl/>
        </w:rPr>
        <w:t>.</w:t>
      </w:r>
    </w:p>
    <w:p w14:paraId="6AFB720A" w14:textId="353724DA" w:rsidR="00A246EA" w:rsidRPr="00A81A5C" w:rsidRDefault="002F7C63" w:rsidP="00BF4625">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 xml:space="preserve">אם כן, הנחות יסוד שניתן לפסוק על פיהן אף נגד הכתוב בשטר הן: אדם אינו נותן כל רכושו לזולת, אין אדם מוריש רכושו לאחרים כשיש לו בן, ושאפילו חולה מסוכן, </w:t>
      </w:r>
      <w:r w:rsidR="00A246EA" w:rsidRPr="00A81A5C">
        <w:rPr>
          <w:rFonts w:asciiTheme="majorBidi" w:hAnsiTheme="majorBidi" w:cstheme="majorBidi" w:hint="cs"/>
          <w:sz w:val="24"/>
          <w:szCs w:val="24"/>
          <w:rtl/>
        </w:rPr>
        <w:t xml:space="preserve">שיחסית יש לו זמו לדבר בישוב הדעת, אם אמר שיכתבו גט לאשתו </w:t>
      </w:r>
      <w:r w:rsidR="00A246EA" w:rsidRPr="00A81A5C">
        <w:rPr>
          <w:rFonts w:asciiTheme="majorBidi" w:hAnsiTheme="majorBidi" w:cstheme="majorBidi"/>
          <w:sz w:val="24"/>
          <w:szCs w:val="24"/>
          <w:rtl/>
        </w:rPr>
        <w:t>–</w:t>
      </w:r>
      <w:r w:rsidR="00A246EA" w:rsidRPr="00A81A5C">
        <w:rPr>
          <w:rFonts w:asciiTheme="majorBidi" w:hAnsiTheme="majorBidi" w:cstheme="majorBidi" w:hint="cs"/>
          <w:sz w:val="24"/>
          <w:szCs w:val="24"/>
          <w:rtl/>
        </w:rPr>
        <w:t xml:space="preserve"> אומדן טוב הוא שהתכוון שיתנו לה, למרות שלא אמר תנו. הדוגמה השניה של התוספות היא </w:t>
      </w:r>
      <w:r w:rsidR="00A246EA" w:rsidRPr="00A81A5C">
        <w:rPr>
          <w:rFonts w:asciiTheme="majorBidi" w:hAnsiTheme="majorBidi" w:cs="Times New Roman" w:hint="cs"/>
          <w:sz w:val="24"/>
          <w:szCs w:val="24"/>
          <w:rtl/>
        </w:rPr>
        <w:t xml:space="preserve"> </w:t>
      </w:r>
      <w:r w:rsidR="00A246EA" w:rsidRPr="00A81A5C">
        <w:rPr>
          <w:rFonts w:asciiTheme="majorBidi" w:hAnsiTheme="majorBidi" w:cs="Times New Roman"/>
          <w:sz w:val="24"/>
          <w:szCs w:val="24"/>
          <w:rtl/>
        </w:rPr>
        <w:t xml:space="preserve"> </w:t>
      </w:r>
      <w:r w:rsidR="00A246EA" w:rsidRPr="00A81A5C">
        <w:rPr>
          <w:rFonts w:asciiTheme="majorBidi" w:hAnsiTheme="majorBidi" w:cstheme="majorBidi" w:hint="cs"/>
          <w:sz w:val="24"/>
          <w:szCs w:val="24"/>
          <w:rtl/>
        </w:rPr>
        <w:t xml:space="preserve">4. </w:t>
      </w:r>
      <w:r w:rsidR="00A246EA" w:rsidRPr="00A81A5C">
        <w:rPr>
          <w:rFonts w:ascii="David" w:hAnsi="David" w:cs="David"/>
          <w:sz w:val="24"/>
          <w:szCs w:val="24"/>
          <w:rtl/>
        </w:rPr>
        <w:t>"שוינהו רבנן כהלכתא בלא טעמא.. דאמר רב יהודה אמר שמואל: הכותב כל נכסיו לאשתו - לא עשאה אלא אפוטרופא</w:t>
      </w:r>
      <w:r w:rsidR="00A246EA" w:rsidRPr="00A81A5C">
        <w:rPr>
          <w:rStyle w:val="a5"/>
          <w:rFonts w:ascii="David" w:hAnsi="David" w:cs="David"/>
          <w:sz w:val="24"/>
          <w:szCs w:val="24"/>
          <w:rtl/>
        </w:rPr>
        <w:footnoteReference w:id="7"/>
      </w:r>
      <w:r w:rsidR="00A246EA" w:rsidRPr="00A81A5C">
        <w:rPr>
          <w:rFonts w:ascii="David" w:hAnsi="David" w:cs="David"/>
          <w:sz w:val="24"/>
          <w:szCs w:val="24"/>
          <w:rtl/>
        </w:rPr>
        <w:t>".</w:t>
      </w:r>
      <w:r w:rsidR="00A246EA" w:rsidRPr="00A81A5C">
        <w:rPr>
          <w:rFonts w:ascii="David" w:hAnsi="David" w:cs="David" w:hint="cs"/>
          <w:sz w:val="24"/>
          <w:szCs w:val="24"/>
          <w:rtl/>
        </w:rPr>
        <w:t xml:space="preserve"> </w:t>
      </w:r>
    </w:p>
    <w:p w14:paraId="7D227C18" w14:textId="120E7320" w:rsidR="002F7C63" w:rsidRPr="00A81A5C" w:rsidRDefault="00A246EA" w:rsidP="00BF4625">
      <w:pPr>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 xml:space="preserve">דאנן סהדי </w:t>
      </w:r>
      <w:r w:rsidRPr="00A81A5C">
        <w:rPr>
          <w:rFonts w:ascii="David" w:hAnsi="David" w:cs="David"/>
          <w:b/>
          <w:bCs/>
          <w:sz w:val="24"/>
          <w:szCs w:val="24"/>
          <w:rtl/>
        </w:rPr>
        <w:t>דלא עקר נחלת הבנים</w:t>
      </w:r>
      <w:r w:rsidRPr="00A81A5C">
        <w:rPr>
          <w:rFonts w:ascii="David" w:hAnsi="David" w:cs="David"/>
          <w:sz w:val="24"/>
          <w:szCs w:val="24"/>
          <w:rtl/>
        </w:rPr>
        <w:t xml:space="preserve"> ולא נתכוין אלא שיכבדוה הבנים מתוך שאוכלין על ידה</w:t>
      </w:r>
      <w:r w:rsidRPr="00A81A5C">
        <w:rPr>
          <w:rStyle w:val="a5"/>
          <w:rFonts w:ascii="David" w:hAnsi="David" w:cs="David"/>
          <w:sz w:val="24"/>
          <w:szCs w:val="24"/>
          <w:rtl/>
        </w:rPr>
        <w:footnoteReference w:id="8"/>
      </w:r>
      <w:r w:rsidRPr="00A81A5C">
        <w:rPr>
          <w:rFonts w:ascii="David" w:hAnsi="David" w:cs="David" w:hint="cs"/>
          <w:sz w:val="24"/>
          <w:szCs w:val="24"/>
          <w:rtl/>
        </w:rPr>
        <w:t>"</w:t>
      </w:r>
      <w:r w:rsidRPr="00A81A5C">
        <w:rPr>
          <w:rFonts w:ascii="David" w:hAnsi="David" w:cs="David"/>
          <w:sz w:val="24"/>
          <w:szCs w:val="24"/>
          <w:rtl/>
        </w:rPr>
        <w:t>.</w:t>
      </w:r>
    </w:p>
    <w:p w14:paraId="1307448B" w14:textId="4402EB21" w:rsidR="00A246EA" w:rsidRPr="00A81A5C" w:rsidRDefault="00A246EA" w:rsidP="00BF4625">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דוגמאות נוספות: 5. גוסס שכתב גט ועמד מחליו, חוזר בו. שוודאי התכון רק לפוטרה מיבם.</w:t>
      </w:r>
    </w:p>
    <w:p w14:paraId="76CE4988" w14:textId="0EEF6CF8" w:rsidR="00A246EA" w:rsidRPr="00A81A5C" w:rsidRDefault="00A246EA" w:rsidP="00BF4625">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lastRenderedPageBreak/>
        <w:t xml:space="preserve">5. </w:t>
      </w:r>
      <w:r w:rsidRPr="00A81A5C">
        <w:rPr>
          <w:rFonts w:asciiTheme="majorBidi" w:hAnsiTheme="majorBidi" w:cstheme="majorBidi" w:hint="cs"/>
          <w:sz w:val="24"/>
          <w:szCs w:val="24"/>
          <w:rtl/>
        </w:rPr>
        <w:t>"</w:t>
      </w:r>
      <w:r w:rsidRPr="00A81A5C">
        <w:rPr>
          <w:rFonts w:ascii="David" w:hAnsi="David" w:cs="David"/>
          <w:sz w:val="24"/>
          <w:szCs w:val="24"/>
          <w:rtl/>
        </w:rPr>
        <w:t>אמר רב הונא: גיטו כמתנתו מהגט, מה מתנתו אם עמד חוזר, אף גיטו אם עמד חוזר</w:t>
      </w:r>
      <w:r w:rsidRPr="00A81A5C">
        <w:rPr>
          <w:rStyle w:val="a5"/>
          <w:rFonts w:ascii="David" w:hAnsi="David" w:cs="David"/>
          <w:sz w:val="24"/>
          <w:szCs w:val="24"/>
          <w:rtl/>
        </w:rPr>
        <w:footnoteReference w:id="9"/>
      </w:r>
      <w:r w:rsidRPr="00A81A5C">
        <w:rPr>
          <w:rFonts w:ascii="David" w:hAnsi="David" w:cs="David" w:hint="cs"/>
          <w:sz w:val="24"/>
          <w:szCs w:val="24"/>
          <w:rtl/>
        </w:rPr>
        <w:t>"?</w:t>
      </w:r>
    </w:p>
    <w:p w14:paraId="71A70D1C" w14:textId="25D8AEE6" w:rsidR="00A246EA" w:rsidRPr="00A81A5C" w:rsidRDefault="00A246EA" w:rsidP="00BF4625">
      <w:pPr>
        <w:spacing w:after="0" w:line="360" w:lineRule="auto"/>
        <w:rPr>
          <w:rFonts w:asciiTheme="majorBidi" w:hAnsiTheme="majorBidi" w:cstheme="majorBidi"/>
          <w:sz w:val="24"/>
          <w:szCs w:val="24"/>
          <w:rtl/>
        </w:rPr>
      </w:pPr>
      <w:r w:rsidRPr="00A81A5C">
        <w:rPr>
          <w:rFonts w:ascii="FrankRuehl" w:hAnsi="FrankRuehl" w:cs="FrankRuehl"/>
          <w:sz w:val="24"/>
          <w:szCs w:val="24"/>
          <w:rtl/>
        </w:rPr>
        <w:t xml:space="preserve">6. </w:t>
      </w:r>
      <w:r w:rsidR="00BF4625" w:rsidRPr="00A81A5C">
        <w:rPr>
          <w:rFonts w:asciiTheme="majorBidi" w:hAnsiTheme="majorBidi" w:cstheme="majorBidi" w:hint="cs"/>
          <w:sz w:val="24"/>
          <w:szCs w:val="24"/>
          <w:rtl/>
        </w:rPr>
        <w:t xml:space="preserve">אישה שנתנה כל נכסיה לביתה לפני נישואיה השניים </w:t>
      </w:r>
      <w:r w:rsidR="00BF4625" w:rsidRPr="00A81A5C">
        <w:rPr>
          <w:rFonts w:asciiTheme="majorBidi" w:hAnsiTheme="majorBidi" w:cstheme="majorBidi"/>
          <w:sz w:val="24"/>
          <w:szCs w:val="24"/>
          <w:rtl/>
        </w:rPr>
        <w:t>–</w:t>
      </w:r>
      <w:r w:rsidR="00BF4625" w:rsidRPr="00A81A5C">
        <w:rPr>
          <w:rFonts w:asciiTheme="majorBidi" w:hAnsiTheme="majorBidi" w:cstheme="majorBidi" w:hint="cs"/>
          <w:sz w:val="24"/>
          <w:szCs w:val="24"/>
          <w:rtl/>
        </w:rPr>
        <w:t xml:space="preserve"> התכוונה רק להבריחם מבעלה ולא לתת לבת לנצח. "</w:t>
      </w:r>
      <w:r w:rsidRPr="00A81A5C">
        <w:rPr>
          <w:rFonts w:ascii="David" w:hAnsi="David" w:cs="David"/>
          <w:sz w:val="24"/>
          <w:szCs w:val="24"/>
          <w:rtl/>
        </w:rPr>
        <w:t xml:space="preserve">ההיא איתתא דבעיא דתברחינהו לנכסה מגברה, כתבתינהו לברתה, אינסיבה ואיגרשה,  </w:t>
      </w:r>
    </w:p>
    <w:p w14:paraId="30AED4D2" w14:textId="04BA6C46" w:rsidR="00A246EA" w:rsidRPr="00A81A5C" w:rsidRDefault="00A246EA" w:rsidP="00BF4625">
      <w:pPr>
        <w:spacing w:after="0" w:line="360" w:lineRule="auto"/>
        <w:rPr>
          <w:rFonts w:ascii="David" w:hAnsi="David" w:cs="David"/>
          <w:sz w:val="24"/>
          <w:szCs w:val="24"/>
          <w:rtl/>
        </w:rPr>
      </w:pPr>
      <w:r w:rsidRPr="00A81A5C">
        <w:rPr>
          <w:rFonts w:ascii="David" w:hAnsi="David" w:cs="David"/>
          <w:sz w:val="24"/>
          <w:szCs w:val="24"/>
          <w:rtl/>
        </w:rPr>
        <w:t>אתאי לקמיה דרב נחמן, קרעיה ר"נ לשטרא... א"ל רבא לרב נחמן: טעמא מאי? דלא שביק איניש נפשיה ויהיב לאחריני, ה"מ לאחריני, אבל לברתה יהיבא! אפ"ה, במקום ברתה נפשה עדיפא לה</w:t>
      </w:r>
      <w:r w:rsidRPr="00A81A5C">
        <w:rPr>
          <w:rStyle w:val="a5"/>
          <w:rFonts w:ascii="David" w:hAnsi="David" w:cs="David"/>
          <w:sz w:val="24"/>
          <w:szCs w:val="24"/>
          <w:rtl/>
        </w:rPr>
        <w:footnoteReference w:id="10"/>
      </w:r>
      <w:r w:rsidR="00BF4625" w:rsidRPr="00A81A5C">
        <w:rPr>
          <w:rFonts w:ascii="David" w:hAnsi="David" w:cs="David" w:hint="cs"/>
          <w:sz w:val="24"/>
          <w:szCs w:val="24"/>
          <w:rtl/>
        </w:rPr>
        <w:t>"</w:t>
      </w:r>
      <w:r w:rsidRPr="00A81A5C">
        <w:rPr>
          <w:rFonts w:ascii="David" w:hAnsi="David" w:cs="David"/>
          <w:sz w:val="24"/>
          <w:szCs w:val="24"/>
          <w:rtl/>
        </w:rPr>
        <w:t>.</w:t>
      </w:r>
    </w:p>
    <w:p w14:paraId="0A644316" w14:textId="1056ADEF" w:rsidR="00A20A91" w:rsidRPr="00A81A5C" w:rsidRDefault="00A20A91" w:rsidP="00A20A91">
      <w:pPr>
        <w:spacing w:after="0" w:line="360" w:lineRule="auto"/>
        <w:rPr>
          <w:rFonts w:ascii="David" w:hAnsi="David" w:cs="David"/>
          <w:sz w:val="24"/>
          <w:szCs w:val="24"/>
          <w:rtl/>
        </w:rPr>
      </w:pPr>
      <w:r w:rsidRPr="00A81A5C">
        <w:rPr>
          <w:rFonts w:ascii="David" w:hAnsi="David" w:cs="David" w:hint="cs"/>
          <w:sz w:val="24"/>
          <w:szCs w:val="24"/>
          <w:rtl/>
        </w:rPr>
        <w:t xml:space="preserve">7. </w:t>
      </w:r>
      <w:r w:rsidRPr="00A81A5C">
        <w:rPr>
          <w:rFonts w:asciiTheme="majorBidi" w:hAnsiTheme="majorBidi" w:cstheme="majorBidi" w:hint="cs"/>
          <w:sz w:val="24"/>
          <w:szCs w:val="24"/>
          <w:rtl/>
        </w:rPr>
        <w:t>המתחייבת להתחתן עם כל מועמד.</w:t>
      </w:r>
      <w:r w:rsidRPr="00A81A5C">
        <w:rPr>
          <w:rFonts w:ascii="David" w:hAnsi="David" w:cs="David" w:hint="cs"/>
          <w:sz w:val="24"/>
          <w:szCs w:val="24"/>
          <w:rtl/>
        </w:rPr>
        <w:t xml:space="preserve"> </w:t>
      </w:r>
      <w:r w:rsidRPr="00A81A5C">
        <w:rPr>
          <w:rFonts w:ascii="David" w:hAnsi="David" w:cs="David"/>
          <w:sz w:val="24"/>
          <w:szCs w:val="24"/>
          <w:rtl/>
        </w:rPr>
        <w:t xml:space="preserve"> </w:t>
      </w:r>
      <w:r w:rsidRPr="00A81A5C">
        <w:rPr>
          <w:rFonts w:ascii="David" w:hAnsi="David" w:cs="David" w:hint="cs"/>
          <w:sz w:val="24"/>
          <w:szCs w:val="24"/>
          <w:rtl/>
        </w:rPr>
        <w:t>"</w:t>
      </w:r>
      <w:r w:rsidRPr="00A81A5C">
        <w:rPr>
          <w:rFonts w:ascii="David" w:hAnsi="David" w:cs="David"/>
          <w:sz w:val="24"/>
          <w:szCs w:val="24"/>
          <w:rtl/>
        </w:rPr>
        <w:t>מעשה באשה אחת שהיה בנה מיצר לה, וקפצה ונשבעה: כל מי שיבא איני מחזירתו, וקפצו עליה בני אדם שאינן מהוגנין, וכשבא הדבר אצל חכמים, אמרו: לא נתכוונה זו אלא להגון לה</w:t>
      </w:r>
      <w:r w:rsidRPr="00A81A5C">
        <w:rPr>
          <w:rStyle w:val="a5"/>
          <w:rFonts w:ascii="David" w:hAnsi="David" w:cs="David"/>
          <w:sz w:val="24"/>
          <w:szCs w:val="24"/>
          <w:rtl/>
        </w:rPr>
        <w:footnoteReference w:id="11"/>
      </w:r>
      <w:r w:rsidRPr="00A81A5C">
        <w:rPr>
          <w:rFonts w:ascii="David" w:hAnsi="David" w:cs="David" w:hint="cs"/>
          <w:sz w:val="24"/>
          <w:szCs w:val="24"/>
          <w:rtl/>
        </w:rPr>
        <w:t>"</w:t>
      </w:r>
      <w:r w:rsidRPr="00A81A5C">
        <w:rPr>
          <w:rFonts w:ascii="David" w:hAnsi="David" w:cs="David"/>
          <w:sz w:val="24"/>
          <w:szCs w:val="24"/>
          <w:rtl/>
        </w:rPr>
        <w:t>.</w:t>
      </w:r>
    </w:p>
    <w:p w14:paraId="472ACFBE" w14:textId="39243585" w:rsidR="00A20A91" w:rsidRPr="00A81A5C" w:rsidRDefault="00BF4625" w:rsidP="00A20A91">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בכל המקרים הללו,</w:t>
      </w:r>
      <w:r w:rsidRPr="00A81A5C">
        <w:rPr>
          <w:rFonts w:ascii="David" w:hAnsi="David" w:cs="David"/>
          <w:sz w:val="24"/>
          <w:szCs w:val="24"/>
          <w:rtl/>
        </w:rPr>
        <w:t xml:space="preserve"> </w:t>
      </w:r>
      <w:r w:rsidRPr="00A81A5C">
        <w:rPr>
          <w:rFonts w:ascii="David" w:hAnsi="David" w:cs="David" w:hint="cs"/>
          <w:sz w:val="24"/>
          <w:szCs w:val="24"/>
          <w:rtl/>
        </w:rPr>
        <w:t>"</w:t>
      </w:r>
      <w:r w:rsidRPr="00A81A5C">
        <w:rPr>
          <w:rFonts w:ascii="David" w:hAnsi="David" w:cs="David"/>
          <w:sz w:val="24"/>
          <w:szCs w:val="24"/>
          <w:rtl/>
        </w:rPr>
        <w:t>אומדין דעתו של הנותן כפי השכל הישר</w:t>
      </w:r>
      <w:r w:rsidRPr="00A81A5C">
        <w:rPr>
          <w:rStyle w:val="a5"/>
          <w:rFonts w:ascii="David" w:hAnsi="David" w:cs="David"/>
          <w:sz w:val="24"/>
          <w:szCs w:val="24"/>
          <w:rtl/>
        </w:rPr>
        <w:footnoteReference w:id="12"/>
      </w:r>
      <w:r w:rsidRPr="00A81A5C">
        <w:rPr>
          <w:rFonts w:ascii="David" w:hAnsi="David" w:cs="David" w:hint="cs"/>
          <w:sz w:val="24"/>
          <w:szCs w:val="24"/>
          <w:rtl/>
        </w:rPr>
        <w:t>"</w:t>
      </w:r>
      <w:r w:rsidRPr="00A81A5C">
        <w:rPr>
          <w:rFonts w:ascii="David" w:hAnsi="David" w:cs="David"/>
          <w:sz w:val="24"/>
          <w:szCs w:val="24"/>
          <w:rtl/>
        </w:rPr>
        <w:t>.</w:t>
      </w:r>
      <w:r w:rsidRPr="00A81A5C">
        <w:rPr>
          <w:rFonts w:ascii="David" w:hAnsi="David" w:cs="David" w:hint="cs"/>
          <w:sz w:val="24"/>
          <w:szCs w:val="24"/>
          <w:rtl/>
        </w:rPr>
        <w:t xml:space="preserve"> </w:t>
      </w:r>
      <w:r w:rsidRPr="00A81A5C">
        <w:rPr>
          <w:rFonts w:asciiTheme="majorBidi" w:hAnsiTheme="majorBidi" w:cstheme="majorBidi" w:hint="cs"/>
          <w:sz w:val="24"/>
          <w:szCs w:val="24"/>
          <w:rtl/>
        </w:rPr>
        <w:t xml:space="preserve">דהיינו, שאם נשאל עשרה אנשים יש להניח שכולם יגידו כן. ואם יהיה אחד שיאמר אחרת, כגון שיטען שאדם היה מוריש הכול לאחרים גם לו היה מגלה שיש לו בן חי- יראו בו האחרים אדם מן המתמיהים. </w:t>
      </w:r>
    </w:p>
    <w:p w14:paraId="3E275AA0" w14:textId="3A118F35" w:rsidR="00A246EA" w:rsidRPr="00A81A5C" w:rsidRDefault="00A20A91" w:rsidP="00BF4625">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8</w:t>
      </w:r>
      <w:r w:rsidR="00A246EA" w:rsidRPr="00A81A5C">
        <w:rPr>
          <w:rFonts w:asciiTheme="majorBidi" w:hAnsiTheme="majorBidi" w:cstheme="majorBidi"/>
          <w:sz w:val="24"/>
          <w:szCs w:val="24"/>
          <w:rtl/>
        </w:rPr>
        <w:t xml:space="preserve">. </w:t>
      </w:r>
      <w:r w:rsidR="00BF4625" w:rsidRPr="00A81A5C">
        <w:rPr>
          <w:rFonts w:asciiTheme="majorBidi" w:hAnsiTheme="majorBidi" w:cstheme="majorBidi"/>
          <w:sz w:val="24"/>
          <w:szCs w:val="24"/>
          <w:rtl/>
        </w:rPr>
        <w:t>הרב גוסטמן מביא בהקשר זה גם את המעשה  בבצורת שגרמה לאנשים למכור דירותיהם. התגלה שבעת מכירה כבר היה משלוח חיטים בעיקול הנהר, והמכירות בוטלו:</w:t>
      </w:r>
    </w:p>
    <w:p w14:paraId="41214133" w14:textId="587256B6" w:rsidR="007C2F6C" w:rsidRPr="00A81A5C" w:rsidRDefault="00BF4625" w:rsidP="007C2F6C">
      <w:pPr>
        <w:spacing w:after="0" w:line="360" w:lineRule="auto"/>
        <w:rPr>
          <w:rFonts w:asciiTheme="majorBidi" w:hAnsiTheme="majorBidi" w:cstheme="majorBidi"/>
          <w:sz w:val="24"/>
          <w:szCs w:val="24"/>
          <w:rtl/>
        </w:rPr>
      </w:pPr>
      <w:r w:rsidRPr="00A81A5C">
        <w:rPr>
          <w:rFonts w:ascii="David" w:hAnsi="David" w:cs="David" w:hint="cs"/>
          <w:sz w:val="24"/>
          <w:szCs w:val="24"/>
          <w:rtl/>
        </w:rPr>
        <w:t>"</w:t>
      </w:r>
      <w:r w:rsidR="00A246EA" w:rsidRPr="00A81A5C">
        <w:rPr>
          <w:rFonts w:ascii="David" w:hAnsi="David" w:cs="David"/>
          <w:sz w:val="24"/>
          <w:szCs w:val="24"/>
          <w:rtl/>
        </w:rPr>
        <w:t>ההוא בצורתא דהוה בנהרדעא, זבנינהו כולי עלמא לאפדנייהו, לסוף אתו חיטי, אמר להו רב נחמן: דינא הוא, דהדרי אפדני למרייהו. התם נמי זביני בטעות הוו, דאיגלאי מילתא דארבא בעקולי הוה קיימא</w:t>
      </w:r>
      <w:r w:rsidRPr="00A81A5C">
        <w:rPr>
          <w:rStyle w:val="a5"/>
          <w:rFonts w:ascii="David" w:hAnsi="David" w:cs="David"/>
          <w:sz w:val="24"/>
          <w:szCs w:val="24"/>
          <w:rtl/>
        </w:rPr>
        <w:footnoteReference w:id="13"/>
      </w:r>
      <w:r w:rsidRPr="00A81A5C">
        <w:rPr>
          <w:rFonts w:ascii="David" w:hAnsi="David" w:cs="David" w:hint="cs"/>
          <w:sz w:val="24"/>
          <w:szCs w:val="24"/>
          <w:rtl/>
        </w:rPr>
        <w:t>"</w:t>
      </w:r>
      <w:r w:rsidR="00A246EA" w:rsidRPr="00A81A5C">
        <w:rPr>
          <w:rFonts w:ascii="David" w:hAnsi="David" w:cs="David"/>
          <w:sz w:val="24"/>
          <w:szCs w:val="24"/>
          <w:rtl/>
        </w:rPr>
        <w:t>.</w:t>
      </w:r>
      <w:r w:rsidRPr="00A81A5C">
        <w:rPr>
          <w:rFonts w:ascii="David" w:hAnsi="David" w:cs="David" w:hint="cs"/>
          <w:sz w:val="24"/>
          <w:szCs w:val="24"/>
          <w:rtl/>
        </w:rPr>
        <w:t xml:space="preserve"> </w:t>
      </w:r>
      <w:r w:rsidR="007C2F6C" w:rsidRPr="00A81A5C">
        <w:rPr>
          <w:rFonts w:ascii="David" w:hAnsi="David" w:cs="David" w:hint="cs"/>
          <w:sz w:val="24"/>
          <w:szCs w:val="24"/>
          <w:rtl/>
        </w:rPr>
        <w:t>"הרי להדיא אומדנא מחמת חסרון הידיעה דמבטל המקח והוי מקח טעות</w:t>
      </w:r>
      <w:r w:rsidR="007C2F6C" w:rsidRPr="00A81A5C">
        <w:rPr>
          <w:rStyle w:val="a5"/>
          <w:rFonts w:ascii="David" w:hAnsi="David" w:cs="David"/>
          <w:sz w:val="24"/>
          <w:szCs w:val="24"/>
          <w:rtl/>
        </w:rPr>
        <w:footnoteReference w:id="14"/>
      </w:r>
      <w:r w:rsidR="007C2F6C" w:rsidRPr="00A81A5C">
        <w:rPr>
          <w:rFonts w:ascii="David" w:hAnsi="David" w:cs="David" w:hint="cs"/>
          <w:sz w:val="24"/>
          <w:szCs w:val="24"/>
          <w:rtl/>
        </w:rPr>
        <w:t xml:space="preserve">". </w:t>
      </w:r>
      <w:r w:rsidRPr="00A81A5C">
        <w:rPr>
          <w:rFonts w:asciiTheme="majorBidi" w:hAnsiTheme="majorBidi" w:cstheme="majorBidi" w:hint="cs"/>
          <w:sz w:val="24"/>
          <w:szCs w:val="24"/>
          <w:rtl/>
        </w:rPr>
        <w:t>דוגמה זו מורכ</w:t>
      </w:r>
      <w:r w:rsidR="007C2F6C" w:rsidRPr="00A81A5C">
        <w:rPr>
          <w:rFonts w:asciiTheme="majorBidi" w:hAnsiTheme="majorBidi" w:cstheme="majorBidi" w:hint="cs"/>
          <w:sz w:val="24"/>
          <w:szCs w:val="24"/>
          <w:rtl/>
        </w:rPr>
        <w:t>ב</w:t>
      </w:r>
      <w:r w:rsidRPr="00A81A5C">
        <w:rPr>
          <w:rFonts w:asciiTheme="majorBidi" w:hAnsiTheme="majorBidi" w:cstheme="majorBidi" w:hint="cs"/>
          <w:sz w:val="24"/>
          <w:szCs w:val="24"/>
          <w:rtl/>
        </w:rPr>
        <w:t xml:space="preserve">ת, כיוון שמדובר במשא ומתן. פוסקים רבים כתבו כדברי המאירי שם: </w:t>
      </w:r>
      <w:r w:rsidRPr="00A81A5C">
        <w:rPr>
          <w:rFonts w:ascii="David" w:hAnsi="David" w:cs="David"/>
          <w:sz w:val="24"/>
          <w:szCs w:val="24"/>
          <w:rtl/>
        </w:rPr>
        <w:t>"דוקא בשגלה דעתו בשעת המכר שלצורך כך וכך הוא מוכר".</w:t>
      </w:r>
      <w:r w:rsidRPr="00A81A5C">
        <w:rPr>
          <w:rFonts w:asciiTheme="majorBidi" w:hAnsiTheme="majorBidi" w:cstheme="majorBidi" w:hint="cs"/>
          <w:sz w:val="24"/>
          <w:szCs w:val="24"/>
          <w:rtl/>
        </w:rPr>
        <w:t xml:space="preserve"> אם כן, לכאורה </w:t>
      </w:r>
      <w:r w:rsidR="00787653" w:rsidRPr="00A81A5C">
        <w:rPr>
          <w:rFonts w:asciiTheme="majorBidi" w:hAnsiTheme="majorBidi" w:cstheme="majorBidi" w:hint="cs"/>
          <w:sz w:val="24"/>
          <w:szCs w:val="24"/>
          <w:rtl/>
        </w:rPr>
        <w:t>מעשה זה דומה דווקא למוכר נכסיו בסוגייתנו</w:t>
      </w:r>
      <w:r w:rsidR="00787653" w:rsidRPr="00A81A5C">
        <w:rPr>
          <w:rStyle w:val="a5"/>
          <w:rFonts w:asciiTheme="majorBidi" w:hAnsiTheme="majorBidi" w:cstheme="majorBidi"/>
          <w:sz w:val="24"/>
          <w:szCs w:val="24"/>
          <w:rtl/>
        </w:rPr>
        <w:footnoteReference w:id="15"/>
      </w:r>
      <w:r w:rsidRPr="00A81A5C">
        <w:rPr>
          <w:rFonts w:asciiTheme="majorBidi" w:hAnsiTheme="majorBidi" w:cstheme="majorBidi" w:hint="cs"/>
          <w:sz w:val="24"/>
          <w:szCs w:val="24"/>
          <w:rtl/>
        </w:rPr>
        <w:t xml:space="preserve">. </w:t>
      </w:r>
    </w:p>
    <w:p w14:paraId="06CC79E8" w14:textId="368C7492" w:rsidR="00A246EA" w:rsidRPr="00A81A5C" w:rsidRDefault="007C2F6C" w:rsidP="007C2F6C">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 xml:space="preserve">אמנם, הרב גוסטמן הקפיד להביא את פירוש רש"י בכתובות, שכתב: </w:t>
      </w:r>
      <w:r w:rsidRPr="00A81A5C">
        <w:rPr>
          <w:rFonts w:ascii="David" w:hAnsi="David" w:cs="David" w:hint="cs"/>
          <w:sz w:val="24"/>
          <w:szCs w:val="24"/>
          <w:rtl/>
        </w:rPr>
        <w:t>"אילו ידעו המוכרים כן, לא היו מוכרים בתיהם, ובשעת המכירה הוה ליה טעות".</w:t>
      </w:r>
      <w:r w:rsidR="00BF4625" w:rsidRPr="00A81A5C">
        <w:rPr>
          <w:rFonts w:asciiTheme="majorBidi" w:hAnsiTheme="majorBidi" w:cstheme="majorBidi" w:hint="cs"/>
          <w:sz w:val="24"/>
          <w:szCs w:val="24"/>
          <w:rtl/>
        </w:rPr>
        <w:t>אולם, גם</w:t>
      </w:r>
      <w:r w:rsidRPr="00A81A5C">
        <w:rPr>
          <w:rFonts w:asciiTheme="majorBidi" w:hAnsiTheme="majorBidi" w:cstheme="majorBidi" w:hint="cs"/>
          <w:sz w:val="24"/>
          <w:szCs w:val="24"/>
          <w:rtl/>
        </w:rPr>
        <w:t xml:space="preserve"> לדעה המציע שהזכירו זאת בפירוש ניתן להבין. </w:t>
      </w:r>
      <w:r w:rsidR="00BF4625" w:rsidRPr="00A81A5C">
        <w:rPr>
          <w:rFonts w:asciiTheme="majorBidi" w:hAnsiTheme="majorBidi" w:cstheme="majorBidi" w:hint="cs"/>
          <w:sz w:val="24"/>
          <w:szCs w:val="24"/>
          <w:rtl/>
        </w:rPr>
        <w:t xml:space="preserve"> בסוגייתנו סיימו בעלי התוספות: </w:t>
      </w:r>
      <w:r w:rsidRPr="00A81A5C">
        <w:rPr>
          <w:rFonts w:asciiTheme="majorBidi" w:hAnsiTheme="majorBidi" w:cs="Times New Roman" w:hint="cs"/>
          <w:sz w:val="24"/>
          <w:szCs w:val="24"/>
          <w:rtl/>
        </w:rPr>
        <w:t xml:space="preserve"> </w:t>
      </w:r>
      <w:r w:rsidR="00BF4625" w:rsidRPr="00A81A5C">
        <w:rPr>
          <w:rFonts w:ascii="David" w:hAnsi="David" w:cs="David"/>
          <w:sz w:val="24"/>
          <w:szCs w:val="24"/>
          <w:rtl/>
        </w:rPr>
        <w:t>"כמו כן אנן סהדי דלא זבן אלא אדעתא למיסק לארעא דישראל".</w:t>
      </w:r>
      <w:r w:rsidRPr="00A81A5C">
        <w:rPr>
          <w:rFonts w:asciiTheme="majorBidi" w:hAnsiTheme="majorBidi" w:cstheme="majorBidi" w:hint="cs"/>
          <w:sz w:val="24"/>
          <w:szCs w:val="24"/>
          <w:rtl/>
        </w:rPr>
        <w:t xml:space="preserve"> אולם בסוגייתנו נפסק דווקא בהקשר זה ש</w:t>
      </w:r>
      <w:r w:rsidR="00A81A5C">
        <w:rPr>
          <w:rFonts w:asciiTheme="majorBidi" w:hAnsiTheme="majorBidi" w:cstheme="majorBidi" w:hint="cs"/>
          <w:sz w:val="24"/>
          <w:szCs w:val="24"/>
          <w:rtl/>
        </w:rPr>
        <w:t>דברים שבלב</w:t>
      </w:r>
      <w:r w:rsidRPr="00A81A5C">
        <w:rPr>
          <w:rFonts w:asciiTheme="majorBidi" w:hAnsiTheme="majorBidi" w:cstheme="majorBidi" w:hint="cs"/>
          <w:sz w:val="24"/>
          <w:szCs w:val="24"/>
          <w:rtl/>
        </w:rPr>
        <w:t xml:space="preserve"> אינם </w:t>
      </w:r>
      <w:r w:rsidR="00A81A5C">
        <w:rPr>
          <w:rFonts w:asciiTheme="majorBidi" w:hAnsiTheme="majorBidi" w:cstheme="majorBidi" w:hint="cs"/>
          <w:sz w:val="24"/>
          <w:szCs w:val="24"/>
          <w:rtl/>
        </w:rPr>
        <w:t xml:space="preserve">דברים </w:t>
      </w:r>
      <w:r w:rsidRPr="00A81A5C">
        <w:rPr>
          <w:rFonts w:asciiTheme="majorBidi" w:hAnsiTheme="majorBidi" w:cstheme="majorBidi" w:hint="cs"/>
          <w:sz w:val="24"/>
          <w:szCs w:val="24"/>
          <w:rtl/>
        </w:rPr>
        <w:t xml:space="preserve">. אלא שיש לצרף דברי התוספות לתחילתם: </w:t>
      </w:r>
      <w:r w:rsidRPr="00A81A5C">
        <w:rPr>
          <w:rFonts w:asciiTheme="majorBidi" w:hAnsiTheme="majorBidi" w:cs="Times New Roman" w:hint="cs"/>
          <w:sz w:val="24"/>
          <w:szCs w:val="24"/>
          <w:rtl/>
        </w:rPr>
        <w:t xml:space="preserve"> </w:t>
      </w:r>
      <w:r w:rsidRPr="00A81A5C">
        <w:rPr>
          <w:rFonts w:asciiTheme="majorBidi" w:hAnsiTheme="majorBidi" w:cstheme="majorBidi" w:hint="cs"/>
          <w:sz w:val="24"/>
          <w:szCs w:val="24"/>
          <w:rtl/>
        </w:rPr>
        <w:t>"</w:t>
      </w:r>
      <w:r w:rsidRPr="00A81A5C">
        <w:rPr>
          <w:rFonts w:ascii="David" w:hAnsi="David" w:cs="David"/>
          <w:sz w:val="24"/>
          <w:szCs w:val="24"/>
          <w:rtl/>
        </w:rPr>
        <w:t xml:space="preserve">אם </w:t>
      </w:r>
      <w:r w:rsidRPr="00A81A5C">
        <w:rPr>
          <w:rFonts w:ascii="David" w:hAnsi="David" w:cs="David"/>
          <w:b/>
          <w:bCs/>
          <w:sz w:val="24"/>
          <w:szCs w:val="24"/>
          <w:rtl/>
        </w:rPr>
        <w:t>פירש דבריו להדיא</w:t>
      </w:r>
      <w:r w:rsidRPr="00A81A5C">
        <w:rPr>
          <w:rFonts w:ascii="David" w:hAnsi="David" w:cs="David"/>
          <w:sz w:val="24"/>
          <w:szCs w:val="24"/>
          <w:rtl/>
        </w:rPr>
        <w:t xml:space="preserve"> ואמר בשעת המכר שהוא מוכרם לפי שהוא רוצה ללכת לארץ ישראל הוה המכר בטל</w:t>
      </w:r>
      <w:r w:rsidRPr="00A81A5C">
        <w:rPr>
          <w:rFonts w:asciiTheme="majorBidi" w:hAnsiTheme="majorBidi" w:cstheme="majorBidi" w:hint="cs"/>
          <w:sz w:val="24"/>
          <w:szCs w:val="24"/>
          <w:rtl/>
        </w:rPr>
        <w:t xml:space="preserve">". דהיינו: במקרה שיש </w:t>
      </w:r>
      <w:r w:rsidR="00A81A5C">
        <w:rPr>
          <w:rFonts w:asciiTheme="majorBidi" w:hAnsiTheme="majorBidi" w:cstheme="majorBidi" w:hint="cs"/>
          <w:sz w:val="24"/>
          <w:szCs w:val="24"/>
          <w:rtl/>
        </w:rPr>
        <w:t>דברים שבלב</w:t>
      </w:r>
      <w:r w:rsidRPr="00A81A5C">
        <w:rPr>
          <w:rFonts w:asciiTheme="majorBidi" w:hAnsiTheme="majorBidi" w:cstheme="majorBidi" w:hint="cs"/>
          <w:sz w:val="24"/>
          <w:szCs w:val="24"/>
          <w:rtl/>
        </w:rPr>
        <w:t xml:space="preserve">, והוא אמר כן בפירוש </w:t>
      </w:r>
      <w:r w:rsidRPr="00A81A5C">
        <w:rPr>
          <w:rFonts w:asciiTheme="majorBidi" w:hAnsiTheme="majorBidi" w:cstheme="majorBidi"/>
          <w:sz w:val="24"/>
          <w:szCs w:val="24"/>
          <w:rtl/>
        </w:rPr>
        <w:t>–</w:t>
      </w:r>
      <w:r w:rsidRPr="00A81A5C">
        <w:rPr>
          <w:rFonts w:asciiTheme="majorBidi" w:hAnsiTheme="majorBidi" w:cstheme="majorBidi" w:hint="cs"/>
          <w:sz w:val="24"/>
          <w:szCs w:val="24"/>
          <w:rtl/>
        </w:rPr>
        <w:t xml:space="preserve"> אמירתו יצרה אומדנא דמוכח שזו כוונתו. ולפיכך הוא פטור מלהזדקק לכל כללי תנאים כגון תנאי כפול. </w:t>
      </w:r>
      <w:r w:rsidRPr="00A81A5C">
        <w:rPr>
          <w:rFonts w:asciiTheme="majorBidi" w:hAnsiTheme="majorBidi" w:cstheme="majorBidi" w:hint="cs"/>
          <w:sz w:val="24"/>
          <w:szCs w:val="24"/>
          <w:rtl/>
        </w:rPr>
        <w:lastRenderedPageBreak/>
        <w:t xml:space="preserve">אם כן, גם המקרה בכתובות יכול להיות בגדר דומה. האמירה שהמכר הוא רק למען השגת אוכל, יוצרת אומדנא דמוכח, שגורמת שמציאות החיטים תבטל את המכירה. </w:t>
      </w:r>
    </w:p>
    <w:p w14:paraId="131B3F12" w14:textId="69D55805" w:rsidR="00613999" w:rsidRPr="00A81A5C" w:rsidRDefault="00613999" w:rsidP="00613999">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 xml:space="preserve">דוגמה נוספת מן הראשונים: </w:t>
      </w:r>
    </w:p>
    <w:p w14:paraId="64972576" w14:textId="77777777" w:rsidR="00613999" w:rsidRPr="00A81A5C" w:rsidRDefault="00613999" w:rsidP="00613999">
      <w:pPr>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ראובן שחלק נכסיו והניח קרקע לבתו לנדוניא בתנאי שאם תמות קודם הנישואין שישאר הקרקע להקדש. וחלתה חולי מות, וכדי להפקיע מיד הקדש הקרקע</w:t>
      </w:r>
      <w:r w:rsidRPr="00A81A5C">
        <w:rPr>
          <w:rFonts w:ascii="David" w:hAnsi="David" w:cs="David" w:hint="cs"/>
          <w:sz w:val="24"/>
          <w:szCs w:val="24"/>
          <w:rtl/>
        </w:rPr>
        <w:t>,</w:t>
      </w:r>
      <w:r w:rsidRPr="00A81A5C">
        <w:rPr>
          <w:rFonts w:ascii="David" w:hAnsi="David" w:cs="David"/>
          <w:sz w:val="24"/>
          <w:szCs w:val="24"/>
          <w:rtl/>
        </w:rPr>
        <w:t xml:space="preserve"> הלכו קרוביה והושיבוה במטה בחוליה עם חתנה ועשה ז' ברכות כדי שירשנה</w:t>
      </w:r>
      <w:r w:rsidRPr="00A81A5C">
        <w:rPr>
          <w:rFonts w:ascii="David" w:hAnsi="David" w:cs="David" w:hint="cs"/>
          <w:sz w:val="24"/>
          <w:szCs w:val="24"/>
          <w:rtl/>
        </w:rPr>
        <w:t>.</w:t>
      </w:r>
      <w:r w:rsidRPr="00A81A5C">
        <w:rPr>
          <w:rFonts w:ascii="David" w:hAnsi="David" w:cs="David"/>
          <w:sz w:val="24"/>
          <w:szCs w:val="24"/>
          <w:rtl/>
        </w:rPr>
        <w:t xml:space="preserve"> ומתה מחולי זה ולא קרב אליה. הורני אם יורש זה, ונראה דלא.</w:t>
      </w:r>
      <w:r w:rsidRPr="00A81A5C">
        <w:rPr>
          <w:rFonts w:ascii="David" w:hAnsi="David" w:cs="David" w:hint="cs"/>
          <w:sz w:val="24"/>
          <w:szCs w:val="24"/>
          <w:rtl/>
        </w:rPr>
        <w:t>..</w:t>
      </w:r>
    </w:p>
    <w:p w14:paraId="716D3FD3" w14:textId="389EABCE" w:rsidR="00BF4625" w:rsidRPr="00A81A5C" w:rsidRDefault="00613999" w:rsidP="00613999">
      <w:pPr>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תשובה: על קרקע שנתן ראובן לבתו נראה ש</w:t>
      </w:r>
      <w:r w:rsidRPr="00A81A5C">
        <w:rPr>
          <w:rFonts w:ascii="David" w:hAnsi="David" w:cs="David"/>
          <w:b/>
          <w:bCs/>
          <w:sz w:val="24"/>
          <w:szCs w:val="24"/>
          <w:rtl/>
        </w:rPr>
        <w:t>אין באותה חופה כלום</w:t>
      </w:r>
      <w:r w:rsidRPr="00A81A5C">
        <w:rPr>
          <w:rFonts w:ascii="David" w:hAnsi="David" w:cs="David"/>
          <w:sz w:val="24"/>
          <w:szCs w:val="24"/>
          <w:rtl/>
        </w:rPr>
        <w:t xml:space="preserve">, חדא כמו שכתב' כיון שלא היתה ראויה לביאה. ועוד </w:t>
      </w:r>
      <w:r w:rsidRPr="00A81A5C">
        <w:rPr>
          <w:rFonts w:ascii="David" w:hAnsi="David" w:cs="David"/>
          <w:b/>
          <w:bCs/>
          <w:sz w:val="24"/>
          <w:szCs w:val="24"/>
          <w:rtl/>
        </w:rPr>
        <w:t>דאזלינן בתר דעתו דראובן</w:t>
      </w:r>
      <w:r w:rsidRPr="00A81A5C">
        <w:rPr>
          <w:rFonts w:ascii="David" w:hAnsi="David" w:cs="David" w:hint="cs"/>
          <w:b/>
          <w:bCs/>
          <w:sz w:val="24"/>
          <w:szCs w:val="24"/>
          <w:rtl/>
        </w:rPr>
        <w:t>,</w:t>
      </w:r>
      <w:r w:rsidRPr="00A81A5C">
        <w:rPr>
          <w:rFonts w:ascii="David" w:hAnsi="David" w:cs="David"/>
          <w:sz w:val="24"/>
          <w:szCs w:val="24"/>
          <w:rtl/>
        </w:rPr>
        <w:t xml:space="preserve"> שרצה לעשות טובה לנשמתו ליתן להקדש ולא שירשוהו יורשיו רק כדי לינשא בו בתו, וכל שכן שלא היה בדעתו שיבא איש נכרי ע"י הערמה. הילכך אומר אני דמוכח הוא ש</w:t>
      </w:r>
      <w:r w:rsidRPr="00A81A5C">
        <w:rPr>
          <w:rFonts w:ascii="David" w:hAnsi="David" w:cs="David"/>
          <w:b/>
          <w:bCs/>
          <w:sz w:val="24"/>
          <w:szCs w:val="24"/>
          <w:rtl/>
        </w:rPr>
        <w:t>הקרקע בא להקדש</w:t>
      </w:r>
      <w:r w:rsidRPr="00A81A5C">
        <w:rPr>
          <w:rStyle w:val="a5"/>
          <w:rFonts w:ascii="David" w:hAnsi="David" w:cs="David"/>
          <w:b/>
          <w:bCs/>
          <w:sz w:val="24"/>
          <w:szCs w:val="24"/>
          <w:rtl/>
        </w:rPr>
        <w:footnoteReference w:id="16"/>
      </w:r>
      <w:r w:rsidRPr="00A81A5C">
        <w:rPr>
          <w:rFonts w:ascii="David" w:hAnsi="David" w:cs="David" w:hint="cs"/>
          <w:sz w:val="24"/>
          <w:szCs w:val="24"/>
          <w:rtl/>
        </w:rPr>
        <w:t>"</w:t>
      </w:r>
      <w:r w:rsidRPr="00A81A5C">
        <w:rPr>
          <w:rFonts w:ascii="David" w:hAnsi="David" w:cs="David"/>
          <w:sz w:val="24"/>
          <w:szCs w:val="24"/>
          <w:rtl/>
        </w:rPr>
        <w:t>.</w:t>
      </w:r>
    </w:p>
    <w:p w14:paraId="0C046800" w14:textId="522311E6" w:rsidR="00835860" w:rsidRPr="00A81A5C" w:rsidRDefault="00835860" w:rsidP="00613999">
      <w:pPr>
        <w:spacing w:after="0" w:line="360" w:lineRule="auto"/>
        <w:rPr>
          <w:rFonts w:asciiTheme="majorBidi" w:hAnsiTheme="majorBidi" w:cstheme="majorBidi"/>
          <w:sz w:val="24"/>
          <w:szCs w:val="24"/>
          <w:rtl/>
        </w:rPr>
      </w:pPr>
      <w:r w:rsidRPr="00A81A5C">
        <w:rPr>
          <w:rFonts w:asciiTheme="majorBidi" w:hAnsiTheme="majorBidi" w:cstheme="majorBidi"/>
          <w:sz w:val="24"/>
          <w:szCs w:val="24"/>
          <w:rtl/>
        </w:rPr>
        <w:t>הראשונים עוסקים כאן גם בדין נודרים להרגין ומצמצמים את הנדר בלב</w:t>
      </w:r>
      <w:r w:rsidRPr="00A81A5C">
        <w:rPr>
          <w:rStyle w:val="a5"/>
          <w:rFonts w:asciiTheme="majorBidi" w:hAnsiTheme="majorBidi" w:cstheme="majorBidi"/>
          <w:sz w:val="24"/>
          <w:szCs w:val="24"/>
          <w:rtl/>
        </w:rPr>
        <w:footnoteReference w:id="17"/>
      </w:r>
      <w:r w:rsidRPr="00A81A5C">
        <w:rPr>
          <w:rFonts w:asciiTheme="majorBidi" w:hAnsiTheme="majorBidi" w:cstheme="majorBidi"/>
          <w:sz w:val="24"/>
          <w:szCs w:val="24"/>
          <w:rtl/>
        </w:rPr>
        <w:t>, ובעניין הנשבע בפיו ומבטל בליבו</w:t>
      </w:r>
      <w:r w:rsidR="00A81A5C" w:rsidRPr="00A81A5C">
        <w:rPr>
          <w:rStyle w:val="a5"/>
          <w:rFonts w:asciiTheme="majorBidi" w:hAnsiTheme="majorBidi" w:cstheme="majorBidi"/>
          <w:sz w:val="24"/>
          <w:szCs w:val="24"/>
          <w:rtl/>
        </w:rPr>
        <w:footnoteReference w:id="18"/>
      </w:r>
      <w:r w:rsidR="00A81A5C" w:rsidRPr="00A81A5C">
        <w:rPr>
          <w:rFonts w:asciiTheme="majorBidi" w:hAnsiTheme="majorBidi" w:cstheme="majorBidi" w:hint="cs"/>
          <w:sz w:val="24"/>
          <w:szCs w:val="24"/>
          <w:rtl/>
        </w:rPr>
        <w:t>, ולא נרחיב בהלכות אלו כאן</w:t>
      </w:r>
      <w:r w:rsidR="00A81A5C" w:rsidRPr="00A81A5C">
        <w:rPr>
          <w:rStyle w:val="a5"/>
          <w:rFonts w:asciiTheme="majorBidi" w:hAnsiTheme="majorBidi" w:cstheme="majorBidi"/>
          <w:sz w:val="24"/>
          <w:szCs w:val="24"/>
          <w:rtl/>
        </w:rPr>
        <w:footnoteReference w:id="19"/>
      </w:r>
      <w:r w:rsidR="00A81A5C" w:rsidRPr="00A81A5C">
        <w:rPr>
          <w:rFonts w:asciiTheme="majorBidi" w:hAnsiTheme="majorBidi" w:cstheme="majorBidi" w:hint="cs"/>
          <w:sz w:val="24"/>
          <w:szCs w:val="24"/>
          <w:rtl/>
        </w:rPr>
        <w:t xml:space="preserve">. </w:t>
      </w:r>
    </w:p>
    <w:p w14:paraId="3FDFC0AF" w14:textId="08099274" w:rsidR="00613999" w:rsidRPr="00A81A5C" w:rsidRDefault="00613999" w:rsidP="00A81A5C">
      <w:pPr>
        <w:pStyle w:val="a6"/>
        <w:numPr>
          <w:ilvl w:val="0"/>
          <w:numId w:val="3"/>
        </w:numPr>
        <w:spacing w:after="0" w:line="360" w:lineRule="auto"/>
        <w:rPr>
          <w:rFonts w:asciiTheme="majorBidi" w:hAnsiTheme="majorBidi" w:cstheme="majorBidi"/>
          <w:b/>
          <w:bCs/>
          <w:sz w:val="24"/>
          <w:szCs w:val="24"/>
          <w:rtl/>
        </w:rPr>
      </w:pPr>
      <w:r w:rsidRPr="00A81A5C">
        <w:rPr>
          <w:rFonts w:asciiTheme="majorBidi" w:hAnsiTheme="majorBidi" w:cstheme="majorBidi" w:hint="cs"/>
          <w:b/>
          <w:bCs/>
          <w:sz w:val="24"/>
          <w:szCs w:val="24"/>
          <w:rtl/>
        </w:rPr>
        <w:t>הסוגים השונים</w:t>
      </w:r>
      <w:r w:rsidR="00A81A5C">
        <w:rPr>
          <w:rFonts w:asciiTheme="majorBidi" w:hAnsiTheme="majorBidi" w:cstheme="majorBidi" w:hint="cs"/>
          <w:b/>
          <w:bCs/>
          <w:sz w:val="24"/>
          <w:szCs w:val="24"/>
          <w:rtl/>
        </w:rPr>
        <w:t xml:space="preserve"> של דברים שבלב</w:t>
      </w:r>
    </w:p>
    <w:p w14:paraId="7BA27612" w14:textId="131B4B6D" w:rsidR="00613999" w:rsidRPr="00A81A5C" w:rsidRDefault="00613999" w:rsidP="00613999">
      <w:pPr>
        <w:rPr>
          <w:rFonts w:asciiTheme="majorBidi" w:hAnsiTheme="majorBidi" w:cstheme="majorBidi"/>
          <w:sz w:val="24"/>
          <w:szCs w:val="24"/>
          <w:rtl/>
        </w:rPr>
      </w:pPr>
      <w:r w:rsidRPr="00A81A5C">
        <w:rPr>
          <w:rFonts w:asciiTheme="majorBidi" w:hAnsiTheme="majorBidi" w:cstheme="majorBidi" w:hint="cs"/>
          <w:sz w:val="24"/>
          <w:szCs w:val="24"/>
          <w:rtl/>
        </w:rPr>
        <w:t>מסכם הרב גוסטמן: "</w:t>
      </w:r>
      <w:r w:rsidRPr="00A81A5C">
        <w:rPr>
          <w:rFonts w:asciiTheme="majorBidi" w:hAnsiTheme="majorBidi" w:cstheme="majorBidi"/>
          <w:sz w:val="24"/>
          <w:szCs w:val="24"/>
          <w:rtl/>
        </w:rPr>
        <w:t>בכלל דברים שבלב מצינו שלושה אופנים</w:t>
      </w:r>
    </w:p>
    <w:p w14:paraId="22987B2A" w14:textId="77777777" w:rsidR="00613999" w:rsidRPr="00A81A5C" w:rsidRDefault="00613999" w:rsidP="00A81A5C">
      <w:pPr>
        <w:pStyle w:val="a6"/>
        <w:numPr>
          <w:ilvl w:val="0"/>
          <w:numId w:val="2"/>
        </w:numPr>
        <w:spacing w:after="0" w:line="360" w:lineRule="auto"/>
        <w:rPr>
          <w:rFonts w:ascii="David" w:hAnsi="David" w:cs="David"/>
          <w:sz w:val="24"/>
          <w:szCs w:val="24"/>
        </w:rPr>
      </w:pPr>
      <w:r w:rsidRPr="00A81A5C">
        <w:rPr>
          <w:rFonts w:ascii="David" w:hAnsi="David" w:cs="David"/>
          <w:sz w:val="24"/>
          <w:szCs w:val="24"/>
          <w:rtl/>
        </w:rPr>
        <w:t xml:space="preserve">אומדנא מחמת חסרון ידיעה של האדם, דאמדינן דעתיה שאילו היה יודע שהאמת הוא כך וכך – לא היה מוכר...  </w:t>
      </w:r>
    </w:p>
    <w:p w14:paraId="4EB9C004" w14:textId="77777777" w:rsidR="00613999" w:rsidRPr="00A81A5C" w:rsidRDefault="00613999" w:rsidP="00A81A5C">
      <w:pPr>
        <w:pStyle w:val="a6"/>
        <w:numPr>
          <w:ilvl w:val="0"/>
          <w:numId w:val="2"/>
        </w:numPr>
        <w:spacing w:after="0" w:line="360" w:lineRule="auto"/>
        <w:rPr>
          <w:rFonts w:ascii="David" w:hAnsi="David" w:cs="David"/>
          <w:sz w:val="24"/>
          <w:szCs w:val="24"/>
        </w:rPr>
      </w:pPr>
      <w:r w:rsidRPr="00A81A5C">
        <w:rPr>
          <w:rFonts w:ascii="David" w:hAnsi="David" w:cs="David"/>
          <w:sz w:val="24"/>
          <w:szCs w:val="24"/>
          <w:rtl/>
        </w:rPr>
        <w:t xml:space="preserve"> מקום שאין שום חסרון ידיעה אצל המוכר.... אלא דאנן אמדינן דעתיה דאע"ג דאמר סתם , מ"מ לא נתכוון אלא על תנאי כך וכך , אבל על כל פנים האומדנא היא תיכף בשעת המכר...</w:t>
      </w:r>
    </w:p>
    <w:p w14:paraId="3712CD60" w14:textId="4992584B" w:rsidR="00C72CA0" w:rsidRPr="00A81A5C" w:rsidRDefault="00613999" w:rsidP="00A81A5C">
      <w:pPr>
        <w:pStyle w:val="a6"/>
        <w:numPr>
          <w:ilvl w:val="0"/>
          <w:numId w:val="2"/>
        </w:numPr>
        <w:spacing w:after="0" w:line="360" w:lineRule="auto"/>
        <w:rPr>
          <w:rFonts w:ascii="David" w:hAnsi="David" w:cs="David"/>
          <w:sz w:val="24"/>
          <w:szCs w:val="24"/>
          <w:rtl/>
        </w:rPr>
      </w:pPr>
      <w:r w:rsidRPr="00A81A5C">
        <w:rPr>
          <w:rFonts w:ascii="David" w:hAnsi="David" w:cs="David"/>
          <w:sz w:val="24"/>
          <w:szCs w:val="24"/>
          <w:rtl/>
        </w:rPr>
        <w:t xml:space="preserve">אומדנא שנולדה לאחר זמן.. </w:t>
      </w:r>
      <w:r w:rsidRPr="00A81A5C">
        <w:rPr>
          <w:rFonts w:asciiTheme="majorBidi" w:hAnsiTheme="majorBidi" w:cstheme="majorBidi" w:hint="cs"/>
          <w:sz w:val="24"/>
          <w:szCs w:val="24"/>
          <w:rtl/>
        </w:rPr>
        <w:t>בסוג זה לא נאריך כאן, נביא רק כלל שמעלה הרב גוסטמן מדברי התוספות: "</w:t>
      </w:r>
      <w:r w:rsidRPr="00A81A5C">
        <w:rPr>
          <w:rFonts w:ascii="David" w:hAnsi="David" w:cs="David"/>
          <w:sz w:val="24"/>
          <w:szCs w:val="24"/>
          <w:rtl/>
        </w:rPr>
        <w:t>לא מהני אלא במקום שהדבר תלוי רק בדעת הנותן לחוד.. מה שאין כן במקום שתלוי גם בדעת שני   לא מהני</w:t>
      </w:r>
      <w:r w:rsidR="00C72CA0" w:rsidRPr="00A81A5C">
        <w:rPr>
          <w:rFonts w:ascii="David" w:hAnsi="David" w:cs="David" w:hint="cs"/>
          <w:sz w:val="24"/>
          <w:szCs w:val="24"/>
          <w:rtl/>
        </w:rPr>
        <w:t>"</w:t>
      </w:r>
      <w:r w:rsidRPr="00A81A5C">
        <w:rPr>
          <w:rFonts w:ascii="David" w:hAnsi="David" w:cs="David"/>
          <w:sz w:val="24"/>
          <w:szCs w:val="24"/>
          <w:rtl/>
        </w:rPr>
        <w:t>.</w:t>
      </w:r>
    </w:p>
    <w:p w14:paraId="0D5C69D5" w14:textId="122784ED" w:rsidR="00C72CA0" w:rsidRPr="00A81A5C" w:rsidRDefault="00C72CA0" w:rsidP="00A81A5C">
      <w:pPr>
        <w:pStyle w:val="a6"/>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אם כן כל אדם הלוקח פרה מחבירו ונטרפה או מתה</w:t>
      </w:r>
      <w:r w:rsidR="00275933">
        <w:rPr>
          <w:rFonts w:ascii="David" w:hAnsi="David" w:cs="David" w:hint="cs"/>
          <w:sz w:val="24"/>
          <w:szCs w:val="24"/>
          <w:rtl/>
        </w:rPr>
        <w:t>,</w:t>
      </w:r>
      <w:r w:rsidRPr="00A81A5C">
        <w:rPr>
          <w:rFonts w:ascii="David" w:hAnsi="David" w:cs="David"/>
          <w:sz w:val="24"/>
          <w:szCs w:val="24"/>
          <w:rtl/>
        </w:rPr>
        <w:t xml:space="preserve"> אנן סהדי שלא על מנת כן לקחה</w:t>
      </w:r>
      <w:r w:rsidRPr="00A81A5C">
        <w:rPr>
          <w:rFonts w:ascii="David" w:hAnsi="David" w:cs="David" w:hint="cs"/>
          <w:sz w:val="24"/>
          <w:szCs w:val="24"/>
          <w:rtl/>
        </w:rPr>
        <w:t>?</w:t>
      </w:r>
      <w:r w:rsidRPr="00A81A5C">
        <w:rPr>
          <w:rFonts w:ascii="David" w:hAnsi="David" w:cs="David"/>
          <w:sz w:val="24"/>
          <w:szCs w:val="24"/>
          <w:rtl/>
        </w:rPr>
        <w:t xml:space="preserve"> וי"ל דהתם אנן סהדי </w:t>
      </w:r>
      <w:r w:rsidRPr="00A81A5C">
        <w:rPr>
          <w:rFonts w:ascii="David" w:hAnsi="David" w:cs="David"/>
          <w:b/>
          <w:bCs/>
          <w:sz w:val="24"/>
          <w:szCs w:val="24"/>
          <w:rtl/>
        </w:rPr>
        <w:t>שבאותו ספק היה רוצה ליכנס</w:t>
      </w:r>
      <w:r w:rsidR="00275933">
        <w:rPr>
          <w:rFonts w:ascii="David" w:hAnsi="David" w:cs="David" w:hint="cs"/>
          <w:b/>
          <w:bCs/>
          <w:sz w:val="24"/>
          <w:szCs w:val="24"/>
          <w:rtl/>
        </w:rPr>
        <w:t>.</w:t>
      </w:r>
      <w:r w:rsidRPr="00A81A5C">
        <w:rPr>
          <w:rFonts w:ascii="David" w:hAnsi="David" w:cs="David"/>
          <w:sz w:val="24"/>
          <w:szCs w:val="24"/>
          <w:rtl/>
        </w:rPr>
        <w:t xml:space="preserve"> ואפי' אם אומר לו אם תטרף יש לך לקבל הפסד</w:t>
      </w:r>
      <w:r w:rsidR="00275933">
        <w:rPr>
          <w:rFonts w:ascii="David" w:hAnsi="David" w:cs="David" w:hint="cs"/>
          <w:sz w:val="24"/>
          <w:szCs w:val="24"/>
          <w:rtl/>
        </w:rPr>
        <w:t>-</w:t>
      </w:r>
      <w:r w:rsidRPr="00A81A5C">
        <w:rPr>
          <w:rFonts w:ascii="David" w:hAnsi="David" w:cs="David"/>
          <w:sz w:val="24"/>
          <w:szCs w:val="24"/>
          <w:rtl/>
        </w:rPr>
        <w:t xml:space="preserve"> היה לוקחה</w:t>
      </w:r>
      <w:r w:rsidRPr="00A81A5C">
        <w:rPr>
          <w:rFonts w:ascii="David" w:hAnsi="David" w:cs="David" w:hint="cs"/>
          <w:sz w:val="24"/>
          <w:szCs w:val="24"/>
          <w:rtl/>
        </w:rPr>
        <w:t>...</w:t>
      </w:r>
      <w:r w:rsidRPr="00A81A5C">
        <w:rPr>
          <w:rFonts w:ascii="David" w:hAnsi="David" w:cs="David"/>
          <w:sz w:val="24"/>
          <w:szCs w:val="24"/>
          <w:rtl/>
        </w:rPr>
        <w:t xml:space="preserve"> לוקח חפץ ואירע בו אונס דלא אמרינן דאדעתא דהכי לא קנה ומבטל המקח</w:t>
      </w:r>
      <w:r w:rsidRPr="00A81A5C">
        <w:rPr>
          <w:rFonts w:ascii="David" w:hAnsi="David" w:cs="David" w:hint="cs"/>
          <w:sz w:val="24"/>
          <w:szCs w:val="24"/>
          <w:rtl/>
        </w:rPr>
        <w:t>,</w:t>
      </w:r>
      <w:r w:rsidRPr="00A81A5C">
        <w:rPr>
          <w:rFonts w:ascii="David" w:hAnsi="David" w:cs="David"/>
          <w:sz w:val="24"/>
          <w:szCs w:val="24"/>
          <w:rtl/>
        </w:rPr>
        <w:t xml:space="preserve"> דאינו תלוי בדעת הקונה לבדו</w:t>
      </w:r>
      <w:r w:rsidR="00EF6268">
        <w:rPr>
          <w:rFonts w:ascii="David" w:hAnsi="David" w:cs="David" w:hint="cs"/>
          <w:sz w:val="24"/>
          <w:szCs w:val="24"/>
          <w:rtl/>
        </w:rPr>
        <w:t>,</w:t>
      </w:r>
      <w:r w:rsidRPr="00A81A5C">
        <w:rPr>
          <w:rFonts w:ascii="David" w:hAnsi="David" w:cs="David"/>
          <w:sz w:val="24"/>
          <w:szCs w:val="24"/>
          <w:rtl/>
        </w:rPr>
        <w:t xml:space="preserve"> </w:t>
      </w:r>
      <w:r w:rsidRPr="00A81A5C">
        <w:rPr>
          <w:rFonts w:ascii="David" w:hAnsi="David" w:cs="David"/>
          <w:b/>
          <w:bCs/>
          <w:sz w:val="24"/>
          <w:szCs w:val="24"/>
          <w:rtl/>
        </w:rPr>
        <w:t>דהא איכא נמי דעת מקנה</w:t>
      </w:r>
      <w:r w:rsidRPr="00A81A5C">
        <w:rPr>
          <w:rFonts w:ascii="David" w:hAnsi="David" w:cs="David"/>
          <w:sz w:val="24"/>
          <w:szCs w:val="24"/>
          <w:rtl/>
        </w:rPr>
        <w:t xml:space="preserve"> שלא היה מקנה לו לדעתו אם לא יפרש</w:t>
      </w:r>
      <w:r w:rsidRPr="00A81A5C">
        <w:rPr>
          <w:rStyle w:val="a5"/>
          <w:rFonts w:ascii="David" w:hAnsi="David" w:cs="David"/>
          <w:sz w:val="24"/>
          <w:szCs w:val="24"/>
          <w:rtl/>
        </w:rPr>
        <w:footnoteReference w:id="20"/>
      </w:r>
      <w:r w:rsidRPr="00A81A5C">
        <w:rPr>
          <w:rFonts w:ascii="David" w:hAnsi="David" w:cs="David" w:hint="cs"/>
          <w:sz w:val="24"/>
          <w:szCs w:val="24"/>
          <w:rtl/>
        </w:rPr>
        <w:t>".</w:t>
      </w:r>
    </w:p>
    <w:p w14:paraId="219F0F38" w14:textId="77777777" w:rsidR="00613999" w:rsidRDefault="00613999" w:rsidP="00613999">
      <w:pPr>
        <w:pStyle w:val="a6"/>
        <w:rPr>
          <w:rFonts w:asciiTheme="majorBidi" w:hAnsiTheme="majorBidi" w:cstheme="majorBidi"/>
          <w:sz w:val="24"/>
          <w:szCs w:val="24"/>
          <w:rtl/>
        </w:rPr>
      </w:pPr>
    </w:p>
    <w:p w14:paraId="0FFD590A" w14:textId="77777777" w:rsidR="00275933" w:rsidRDefault="00275933" w:rsidP="00613999">
      <w:pPr>
        <w:pStyle w:val="a6"/>
        <w:rPr>
          <w:rFonts w:asciiTheme="majorBidi" w:hAnsiTheme="majorBidi" w:cstheme="majorBidi"/>
          <w:sz w:val="24"/>
          <w:szCs w:val="24"/>
          <w:rtl/>
        </w:rPr>
      </w:pPr>
    </w:p>
    <w:p w14:paraId="0B9C1E24" w14:textId="77777777" w:rsidR="00275933" w:rsidRPr="00A81A5C" w:rsidRDefault="00275933" w:rsidP="00613999">
      <w:pPr>
        <w:pStyle w:val="a6"/>
        <w:rPr>
          <w:rFonts w:asciiTheme="majorBidi" w:hAnsiTheme="majorBidi" w:cstheme="majorBidi"/>
          <w:sz w:val="24"/>
          <w:szCs w:val="24"/>
        </w:rPr>
      </w:pPr>
    </w:p>
    <w:p w14:paraId="4454730B" w14:textId="20347328" w:rsidR="00A246EA" w:rsidRPr="00EF6268" w:rsidRDefault="00787653" w:rsidP="00EF6268">
      <w:pPr>
        <w:pStyle w:val="a6"/>
        <w:numPr>
          <w:ilvl w:val="0"/>
          <w:numId w:val="3"/>
        </w:numPr>
        <w:spacing w:after="0" w:line="360" w:lineRule="auto"/>
        <w:rPr>
          <w:rFonts w:asciiTheme="majorBidi" w:hAnsiTheme="majorBidi" w:cstheme="majorBidi"/>
          <w:b/>
          <w:bCs/>
          <w:sz w:val="24"/>
          <w:szCs w:val="24"/>
          <w:rtl/>
        </w:rPr>
      </w:pPr>
      <w:r w:rsidRPr="00EF6268">
        <w:rPr>
          <w:rFonts w:asciiTheme="majorBidi" w:hAnsiTheme="majorBidi" w:cstheme="majorBidi" w:hint="cs"/>
          <w:b/>
          <w:bCs/>
          <w:sz w:val="24"/>
          <w:szCs w:val="24"/>
          <w:rtl/>
        </w:rPr>
        <w:lastRenderedPageBreak/>
        <w:t>להלכה</w:t>
      </w:r>
    </w:p>
    <w:p w14:paraId="15B50622" w14:textId="56938A9E" w:rsidR="00F47D78" w:rsidRPr="00A81A5C" w:rsidRDefault="00F47D78" w:rsidP="00EF6268">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 xml:space="preserve">הרמב"ם פוסק את דין האומדן המוכח: </w:t>
      </w:r>
      <w:r w:rsidR="00EF6268">
        <w:rPr>
          <w:rFonts w:asciiTheme="majorBidi" w:hAnsiTheme="majorBidi" w:cstheme="majorBidi" w:hint="cs"/>
          <w:sz w:val="24"/>
          <w:szCs w:val="24"/>
          <w:rtl/>
        </w:rPr>
        <w:t xml:space="preserve"> </w:t>
      </w:r>
      <w:r w:rsidRPr="00A81A5C">
        <w:rPr>
          <w:rFonts w:ascii="David" w:hAnsi="David" w:cs="David" w:hint="cs"/>
          <w:sz w:val="24"/>
          <w:szCs w:val="24"/>
          <w:rtl/>
        </w:rPr>
        <w:t>"</w:t>
      </w:r>
      <w:r w:rsidRPr="00A81A5C">
        <w:rPr>
          <w:rFonts w:ascii="David" w:hAnsi="David" w:cs="David"/>
          <w:sz w:val="24"/>
          <w:szCs w:val="24"/>
          <w:rtl/>
        </w:rPr>
        <w:t>לעולם אומדין דעת הנותן, אם היו הדברים מראין סוף דעתו עושין על פי האומד אף על פי שלא פירש, כיצד מי שהלך בנו למדינת הים ושמע שמת וכתב כל נכסיו לאחר מתנה גלויה גמורה ואחר כך בא בנו אין מתנתו קיימת, שהדברים מוכיחין שאילו ידע שבנו קיים לא היה נותן  כל נכסיו, לפיכך אם שייר מנכסיו כל שהוא בין קרקע בין במטלטלין מתנתו קיימת</w:t>
      </w:r>
      <w:r w:rsidRPr="00A81A5C">
        <w:rPr>
          <w:rStyle w:val="a5"/>
          <w:rFonts w:ascii="David" w:hAnsi="David" w:cs="David"/>
          <w:sz w:val="24"/>
          <w:szCs w:val="24"/>
          <w:rtl/>
        </w:rPr>
        <w:footnoteReference w:id="21"/>
      </w:r>
      <w:r w:rsidRPr="00A81A5C">
        <w:rPr>
          <w:rFonts w:ascii="David" w:hAnsi="David" w:cs="David" w:hint="cs"/>
          <w:sz w:val="24"/>
          <w:szCs w:val="24"/>
          <w:rtl/>
        </w:rPr>
        <w:t>"</w:t>
      </w:r>
      <w:r w:rsidRPr="00A81A5C">
        <w:rPr>
          <w:rFonts w:ascii="David" w:hAnsi="David" w:cs="David"/>
          <w:sz w:val="24"/>
          <w:szCs w:val="24"/>
          <w:rtl/>
        </w:rPr>
        <w:t>.</w:t>
      </w:r>
      <w:r w:rsidR="00EF6268">
        <w:rPr>
          <w:rFonts w:asciiTheme="majorBidi" w:hAnsiTheme="majorBidi" w:cstheme="majorBidi" w:hint="cs"/>
          <w:sz w:val="24"/>
          <w:szCs w:val="24"/>
          <w:rtl/>
        </w:rPr>
        <w:t xml:space="preserve"> </w:t>
      </w:r>
      <w:r w:rsidRPr="00A81A5C">
        <w:rPr>
          <w:rFonts w:asciiTheme="majorBidi" w:hAnsiTheme="majorBidi" w:cstheme="majorBidi" w:hint="cs"/>
          <w:sz w:val="24"/>
          <w:szCs w:val="24"/>
          <w:rtl/>
        </w:rPr>
        <w:t>כמו כן הוא מביא את דין סוגיייתנו, באומדן מוכח פחות:</w:t>
      </w:r>
    </w:p>
    <w:p w14:paraId="582E101D" w14:textId="22E661FD" w:rsidR="00F47D78" w:rsidRPr="00A81A5C" w:rsidRDefault="00F47D78" w:rsidP="00F47D78">
      <w:pPr>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המוכר סתם אף על פי שה</w:t>
      </w:r>
      <w:r w:rsidRPr="00A81A5C">
        <w:rPr>
          <w:rFonts w:ascii="David" w:hAnsi="David" w:cs="David" w:hint="cs"/>
          <w:sz w:val="24"/>
          <w:szCs w:val="24"/>
          <w:rtl/>
        </w:rPr>
        <w:t>י</w:t>
      </w:r>
      <w:r w:rsidRPr="00A81A5C">
        <w:rPr>
          <w:rFonts w:ascii="David" w:hAnsi="David" w:cs="David"/>
          <w:sz w:val="24"/>
          <w:szCs w:val="24"/>
          <w:rtl/>
        </w:rPr>
        <w:t>ה בלבו שמפני כך וכך הוא מוכר, ואף על פי שמראין הדברים שאינו מוכר אלא לעשות כך וכך ולא נעשה אינו חוזר, שהרי לא פירש ודברים שבלב אינן דברים</w:t>
      </w:r>
      <w:r w:rsidRPr="00A81A5C">
        <w:rPr>
          <w:rStyle w:val="a5"/>
          <w:rFonts w:ascii="David" w:hAnsi="David" w:cs="David"/>
          <w:sz w:val="24"/>
          <w:szCs w:val="24"/>
          <w:rtl/>
        </w:rPr>
        <w:footnoteReference w:id="22"/>
      </w:r>
      <w:r w:rsidRPr="00A81A5C">
        <w:rPr>
          <w:rFonts w:ascii="David" w:hAnsi="David" w:cs="David" w:hint="cs"/>
          <w:sz w:val="24"/>
          <w:szCs w:val="24"/>
          <w:rtl/>
        </w:rPr>
        <w:t>"</w:t>
      </w:r>
      <w:r w:rsidRPr="00A81A5C">
        <w:rPr>
          <w:rFonts w:ascii="David" w:hAnsi="David" w:cs="David"/>
          <w:sz w:val="24"/>
          <w:szCs w:val="24"/>
          <w:rtl/>
        </w:rPr>
        <w:t>.</w:t>
      </w:r>
    </w:p>
    <w:p w14:paraId="6F2026A5" w14:textId="3AB9429E" w:rsidR="00F47D78" w:rsidRPr="00A81A5C" w:rsidRDefault="00F47D78" w:rsidP="00F47D78">
      <w:pPr>
        <w:spacing w:after="0" w:line="360" w:lineRule="auto"/>
        <w:rPr>
          <w:rFonts w:asciiTheme="majorBidi" w:hAnsiTheme="majorBidi" w:cstheme="majorBidi"/>
          <w:sz w:val="24"/>
          <w:szCs w:val="24"/>
          <w:rtl/>
        </w:rPr>
      </w:pPr>
      <w:r w:rsidRPr="00A81A5C">
        <w:rPr>
          <w:rFonts w:asciiTheme="majorBidi" w:hAnsiTheme="majorBidi" w:cstheme="majorBidi" w:hint="cs"/>
          <w:sz w:val="24"/>
          <w:szCs w:val="24"/>
          <w:rtl/>
        </w:rPr>
        <w:t xml:space="preserve">הרמ"א הוסיף את ההלכה הראשונה לאחר השניה: </w:t>
      </w:r>
    </w:p>
    <w:p w14:paraId="71D7E0D4" w14:textId="4893624A" w:rsidR="00F47D78" w:rsidRPr="00A81A5C" w:rsidRDefault="00F47D78" w:rsidP="00F47D78">
      <w:pPr>
        <w:spacing w:after="0" w:line="360" w:lineRule="auto"/>
        <w:rPr>
          <w:rFonts w:ascii="David" w:hAnsi="David" w:cs="Guttman Yad-Brush"/>
          <w:sz w:val="18"/>
          <w:szCs w:val="18"/>
          <w:rtl/>
        </w:rPr>
      </w:pPr>
      <w:r w:rsidRPr="00A81A5C">
        <w:rPr>
          <w:rFonts w:ascii="David" w:hAnsi="David" w:cs="David" w:hint="cs"/>
          <w:sz w:val="24"/>
          <w:szCs w:val="24"/>
          <w:rtl/>
        </w:rPr>
        <w:t>"</w:t>
      </w:r>
      <w:r w:rsidRPr="00A81A5C">
        <w:rPr>
          <w:rFonts w:ascii="David" w:hAnsi="David" w:cs="David"/>
          <w:sz w:val="24"/>
          <w:szCs w:val="24"/>
          <w:rtl/>
        </w:rPr>
        <w:t>המוכר סתם, אף על פי שהיה בלבו שמפני כך וכך הוא מוכר, ואף על פי שנראים הדברים שלא מכר אלא לעשות כך וכך, ולא נעשה, אינו חוזר, שהרי לא פירש,</w:t>
      </w:r>
      <w:r w:rsidRPr="00A81A5C">
        <w:rPr>
          <w:rFonts w:ascii="David" w:hAnsi="David" w:cs="David" w:hint="cs"/>
          <w:sz w:val="24"/>
          <w:szCs w:val="24"/>
          <w:rtl/>
        </w:rPr>
        <w:t xml:space="preserve"> </w:t>
      </w:r>
      <w:r w:rsidRPr="00A81A5C">
        <w:rPr>
          <w:rFonts w:ascii="David" w:hAnsi="David" w:cs="David"/>
          <w:sz w:val="24"/>
          <w:szCs w:val="24"/>
          <w:rtl/>
        </w:rPr>
        <w:t>ודברים שבלב אינם דברים. ואף על פי שקודם מכירה אמר שהוא מוכר על דעת לעשות כך וכך, כיון דבשעת המכירה לא אמר, אינו חוזר</w:t>
      </w:r>
      <w:r w:rsidR="00E036FE" w:rsidRPr="00A81A5C">
        <w:rPr>
          <w:rFonts w:ascii="David" w:hAnsi="David" w:cs="David" w:hint="cs"/>
          <w:sz w:val="24"/>
          <w:szCs w:val="24"/>
          <w:rtl/>
        </w:rPr>
        <w:t>"</w:t>
      </w:r>
      <w:r w:rsidRPr="00A81A5C">
        <w:rPr>
          <w:rFonts w:ascii="David" w:hAnsi="David" w:cs="David"/>
          <w:sz w:val="24"/>
          <w:szCs w:val="24"/>
          <w:rtl/>
        </w:rPr>
        <w:t xml:space="preserve">. </w:t>
      </w:r>
      <w:r w:rsidR="00E036FE" w:rsidRPr="00A81A5C">
        <w:rPr>
          <w:rFonts w:ascii="David" w:hAnsi="David" w:cs="Guttman Yad-Brush" w:hint="cs"/>
          <w:sz w:val="18"/>
          <w:szCs w:val="18"/>
          <w:rtl/>
        </w:rPr>
        <w:t>"</w:t>
      </w:r>
      <w:r w:rsidRPr="00A81A5C">
        <w:rPr>
          <w:rFonts w:ascii="David" w:hAnsi="David" w:cs="Guttman Yad-Brush"/>
          <w:sz w:val="18"/>
          <w:szCs w:val="18"/>
          <w:rtl/>
        </w:rPr>
        <w:t>הגה:</w:t>
      </w:r>
      <w:r w:rsidRPr="00A81A5C">
        <w:rPr>
          <w:rFonts w:ascii="David" w:hAnsi="David" w:cs="David"/>
          <w:sz w:val="24"/>
          <w:szCs w:val="24"/>
          <w:rtl/>
        </w:rPr>
        <w:t xml:space="preserve"> </w:t>
      </w:r>
      <w:r w:rsidRPr="00A81A5C">
        <w:rPr>
          <w:rFonts w:ascii="David" w:hAnsi="David" w:cs="Guttman Yad-Brush"/>
          <w:sz w:val="18"/>
          <w:szCs w:val="18"/>
          <w:rtl/>
        </w:rPr>
        <w:t xml:space="preserve">מיהו אי איכא אומדנא דמוכח, נתבטל המקח </w:t>
      </w:r>
      <w:r w:rsidRPr="00275933">
        <w:rPr>
          <w:rFonts w:ascii="David" w:hAnsi="David" w:cs="Guttman Yad-Brush"/>
          <w:sz w:val="16"/>
          <w:szCs w:val="16"/>
          <w:rtl/>
        </w:rPr>
        <w:t>(תוספות והרא"ש כלל פ"ה)</w:t>
      </w:r>
      <w:r w:rsidRPr="00A81A5C">
        <w:rPr>
          <w:rStyle w:val="a5"/>
          <w:rFonts w:ascii="David" w:hAnsi="David" w:cs="Guttman Yad-Brush"/>
          <w:sz w:val="18"/>
          <w:szCs w:val="18"/>
          <w:rtl/>
        </w:rPr>
        <w:footnoteReference w:id="23"/>
      </w:r>
      <w:r w:rsidRPr="00A81A5C">
        <w:rPr>
          <w:rFonts w:ascii="David" w:hAnsi="David" w:cs="Guttman Yad-Brush"/>
          <w:sz w:val="18"/>
          <w:szCs w:val="18"/>
          <w:rtl/>
        </w:rPr>
        <w:t>.</w:t>
      </w:r>
      <w:r w:rsidRPr="00A81A5C">
        <w:rPr>
          <w:rFonts w:ascii="David" w:hAnsi="David" w:cs="Guttman Yad-Brush" w:hint="cs"/>
          <w:sz w:val="18"/>
          <w:szCs w:val="18"/>
          <w:rtl/>
        </w:rPr>
        <w:t>..".</w:t>
      </w:r>
    </w:p>
    <w:p w14:paraId="6900AC03" w14:textId="33AF14EE" w:rsidR="00E036FE" w:rsidRPr="00A81A5C" w:rsidRDefault="00E036FE" w:rsidP="00E036FE">
      <w:pPr>
        <w:spacing w:after="0" w:line="360" w:lineRule="auto"/>
        <w:rPr>
          <w:rFonts w:ascii="David" w:hAnsi="David" w:cs="Guttman Yad-Brush"/>
          <w:sz w:val="18"/>
          <w:szCs w:val="18"/>
          <w:rtl/>
        </w:rPr>
      </w:pPr>
      <w:r w:rsidRPr="00A81A5C">
        <w:rPr>
          <w:rFonts w:asciiTheme="majorBidi" w:hAnsiTheme="majorBidi" w:cstheme="majorBidi" w:hint="cs"/>
          <w:sz w:val="24"/>
          <w:szCs w:val="24"/>
          <w:rtl/>
        </w:rPr>
        <w:t>אולם לגבי קידושין כתב הרמ"א:</w:t>
      </w:r>
      <w:r w:rsidRPr="00A81A5C">
        <w:rPr>
          <w:rFonts w:ascii="David" w:hAnsi="David" w:cs="Guttman Yad-Brush" w:hint="cs"/>
          <w:sz w:val="18"/>
          <w:szCs w:val="18"/>
          <w:rtl/>
        </w:rPr>
        <w:t xml:space="preserve"> "</w:t>
      </w:r>
      <w:r w:rsidRPr="00A81A5C">
        <w:rPr>
          <w:rFonts w:ascii="David" w:hAnsi="David" w:cs="Guttman Yad-Brush"/>
          <w:sz w:val="18"/>
          <w:szCs w:val="18"/>
          <w:rtl/>
        </w:rPr>
        <w:t>הגה:</w:t>
      </w:r>
      <w:r w:rsidRPr="00A81A5C">
        <w:rPr>
          <w:rFonts w:ascii="David" w:hAnsi="David" w:cs="Guttman Yad-Brush" w:hint="cs"/>
          <w:sz w:val="18"/>
          <w:szCs w:val="18"/>
          <w:rtl/>
        </w:rPr>
        <w:t xml:space="preserve"> </w:t>
      </w:r>
      <w:r w:rsidRPr="00A81A5C">
        <w:rPr>
          <w:rFonts w:ascii="David" w:hAnsi="David" w:cs="Guttman Yad-Brush"/>
          <w:sz w:val="18"/>
          <w:szCs w:val="18"/>
          <w:rtl/>
        </w:rPr>
        <w:t xml:space="preserve">אמרה תחלה: קדשיני, וזרק קדושין לתוך חיקה ואמר לה: הרי את מקודשת לי, וניערה בגדיה תוך כדי דיבור להשליך ממנה הקדושין, ואומרת שלא כיוונה מתחלה רק לשחוק בעלמא, אפילו הכי הוי מקודשת </w:t>
      </w:r>
      <w:r w:rsidRPr="00A81A5C">
        <w:rPr>
          <w:rFonts w:ascii="David" w:hAnsi="David" w:cs="Guttman Yad-Brush"/>
          <w:sz w:val="16"/>
          <w:szCs w:val="16"/>
          <w:rtl/>
        </w:rPr>
        <w:t xml:space="preserve">(תשובת מוהר"ם סוף ספר נשים). </w:t>
      </w:r>
      <w:r w:rsidRPr="00A81A5C">
        <w:rPr>
          <w:rFonts w:ascii="David" w:hAnsi="David" w:cs="Guttman Yad-Brush"/>
          <w:sz w:val="18"/>
          <w:szCs w:val="18"/>
          <w:rtl/>
        </w:rPr>
        <w:t>ואין הולכים בענין קידושין אחר אומדנות והוכחות המוכיחות שלא כיוונה לשם קדושין</w:t>
      </w:r>
      <w:r w:rsidRPr="00A81A5C">
        <w:rPr>
          <w:rStyle w:val="a5"/>
          <w:rFonts w:ascii="David" w:hAnsi="David" w:cs="Guttman Yad-Brush"/>
          <w:sz w:val="18"/>
          <w:szCs w:val="18"/>
          <w:rtl/>
        </w:rPr>
        <w:footnoteReference w:id="24"/>
      </w:r>
      <w:r w:rsidRPr="00A81A5C">
        <w:rPr>
          <w:rFonts w:ascii="David" w:hAnsi="David" w:cs="Guttman Yad-Brush" w:hint="cs"/>
          <w:sz w:val="18"/>
          <w:szCs w:val="18"/>
          <w:rtl/>
        </w:rPr>
        <w:t>"</w:t>
      </w:r>
      <w:r w:rsidRPr="00A81A5C">
        <w:rPr>
          <w:rFonts w:ascii="David" w:hAnsi="David" w:cs="Guttman Yad-Brush"/>
          <w:sz w:val="18"/>
          <w:szCs w:val="18"/>
          <w:rtl/>
        </w:rPr>
        <w:t>.</w:t>
      </w:r>
    </w:p>
    <w:p w14:paraId="2AF648D7" w14:textId="5703725A" w:rsidR="00E036FE" w:rsidRPr="00A81A5C" w:rsidRDefault="00E036FE" w:rsidP="00E036FE">
      <w:pPr>
        <w:spacing w:after="0" w:line="360" w:lineRule="auto"/>
        <w:rPr>
          <w:rFonts w:ascii="David" w:hAnsi="David" w:cs="David"/>
          <w:sz w:val="24"/>
          <w:szCs w:val="24"/>
          <w:rtl/>
        </w:rPr>
      </w:pPr>
      <w:r w:rsidRPr="00A81A5C">
        <w:rPr>
          <w:rFonts w:ascii="David" w:hAnsi="David" w:cs="David" w:hint="cs"/>
          <w:sz w:val="24"/>
          <w:szCs w:val="24"/>
          <w:rtl/>
        </w:rPr>
        <w:t>"</w:t>
      </w:r>
      <w:r w:rsidRPr="00A81A5C">
        <w:rPr>
          <w:rFonts w:ascii="David" w:hAnsi="David" w:cs="David"/>
          <w:sz w:val="24"/>
          <w:szCs w:val="24"/>
          <w:rtl/>
        </w:rPr>
        <w:t>אין זה רק ספק קדושין</w:t>
      </w:r>
      <w:r w:rsidR="00275933">
        <w:rPr>
          <w:rFonts w:ascii="David" w:hAnsi="David" w:cs="David" w:hint="cs"/>
          <w:sz w:val="24"/>
          <w:szCs w:val="24"/>
          <w:rtl/>
        </w:rPr>
        <w:t>.</w:t>
      </w:r>
      <w:r w:rsidRPr="00A81A5C">
        <w:rPr>
          <w:rFonts w:ascii="David" w:hAnsi="David" w:cs="David"/>
          <w:sz w:val="24"/>
          <w:szCs w:val="24"/>
          <w:rtl/>
        </w:rPr>
        <w:t xml:space="preserve"> ואף על גב דמעיקר הדין דברים שבלב אינם דברים</w:t>
      </w:r>
      <w:r w:rsidRPr="00A81A5C">
        <w:rPr>
          <w:rFonts w:ascii="David" w:hAnsi="David" w:cs="David" w:hint="cs"/>
          <w:sz w:val="24"/>
          <w:szCs w:val="24"/>
          <w:rtl/>
        </w:rPr>
        <w:t>,</w:t>
      </w:r>
      <w:r w:rsidR="00275933">
        <w:rPr>
          <w:rFonts w:ascii="David" w:hAnsi="David" w:cs="David" w:hint="cs"/>
          <w:sz w:val="24"/>
          <w:szCs w:val="24"/>
          <w:rtl/>
        </w:rPr>
        <w:t xml:space="preserve"> </w:t>
      </w:r>
      <w:r w:rsidRPr="00A81A5C">
        <w:rPr>
          <w:rFonts w:ascii="David" w:hAnsi="David" w:cs="David"/>
          <w:sz w:val="24"/>
          <w:szCs w:val="24"/>
          <w:rtl/>
        </w:rPr>
        <w:t xml:space="preserve">מ"מ היכא דמוכחא מילתא שכיונה לשחוק בעלמא </w:t>
      </w:r>
      <w:r w:rsidRPr="00A81A5C">
        <w:rPr>
          <w:rFonts w:ascii="David" w:hAnsi="David" w:cs="David"/>
          <w:b/>
          <w:bCs/>
          <w:sz w:val="24"/>
          <w:szCs w:val="24"/>
          <w:rtl/>
        </w:rPr>
        <w:t>הוה דברים</w:t>
      </w:r>
      <w:r w:rsidRPr="00A81A5C">
        <w:rPr>
          <w:rFonts w:ascii="David" w:hAnsi="David" w:cs="David" w:hint="cs"/>
          <w:sz w:val="24"/>
          <w:szCs w:val="24"/>
          <w:rtl/>
        </w:rPr>
        <w:t>,</w:t>
      </w:r>
      <w:r w:rsidRPr="00A81A5C">
        <w:rPr>
          <w:rFonts w:ascii="David" w:hAnsi="David" w:cs="David"/>
          <w:sz w:val="24"/>
          <w:szCs w:val="24"/>
          <w:rtl/>
        </w:rPr>
        <w:t xml:space="preserve"> דהא בכמה דברים אזלינן בתר אומדנא היכא דהאומדנא וודאית </w:t>
      </w:r>
      <w:r w:rsidRPr="00275933">
        <w:rPr>
          <w:rFonts w:ascii="David" w:hAnsi="David" w:cs="David"/>
          <w:sz w:val="18"/>
          <w:szCs w:val="18"/>
          <w:rtl/>
        </w:rPr>
        <w:t>כמ"ש בח"מ סי' רמ"ו</w:t>
      </w:r>
      <w:r w:rsidRPr="00275933">
        <w:rPr>
          <w:rFonts w:ascii="David" w:hAnsi="David" w:cs="David" w:hint="cs"/>
          <w:sz w:val="18"/>
          <w:szCs w:val="18"/>
          <w:rtl/>
        </w:rPr>
        <w:t>.</w:t>
      </w:r>
      <w:r w:rsidRPr="00A81A5C">
        <w:rPr>
          <w:rFonts w:ascii="David" w:hAnsi="David" w:cs="David" w:hint="cs"/>
          <w:sz w:val="24"/>
          <w:szCs w:val="24"/>
          <w:rtl/>
        </w:rPr>
        <w:t xml:space="preserve"> </w:t>
      </w:r>
      <w:r w:rsidRPr="00A81A5C">
        <w:rPr>
          <w:rFonts w:ascii="David" w:hAnsi="David" w:cs="David"/>
          <w:sz w:val="24"/>
          <w:szCs w:val="24"/>
          <w:rtl/>
        </w:rPr>
        <w:t xml:space="preserve"> </w:t>
      </w:r>
      <w:r w:rsidRPr="00A81A5C">
        <w:rPr>
          <w:rFonts w:ascii="David" w:hAnsi="David" w:cs="David"/>
          <w:b/>
          <w:bCs/>
          <w:sz w:val="24"/>
          <w:szCs w:val="24"/>
          <w:rtl/>
        </w:rPr>
        <w:t>ובקדושין אפילו באומדנא וודאית</w:t>
      </w:r>
      <w:r w:rsidRPr="00A81A5C">
        <w:rPr>
          <w:rFonts w:ascii="David" w:hAnsi="David" w:cs="David"/>
          <w:sz w:val="24"/>
          <w:szCs w:val="24"/>
          <w:rtl/>
        </w:rPr>
        <w:t xml:space="preserve"> ואנן סהדי שלא כיונה אלא לשחוק בעלמא מ"מ </w:t>
      </w:r>
      <w:r w:rsidRPr="00A81A5C">
        <w:rPr>
          <w:rFonts w:ascii="David" w:hAnsi="David" w:cs="David"/>
          <w:b/>
          <w:bCs/>
          <w:sz w:val="24"/>
          <w:szCs w:val="24"/>
          <w:rtl/>
        </w:rPr>
        <w:t>אין הולכין אחר האומדנא</w:t>
      </w:r>
      <w:r w:rsidRPr="00A81A5C">
        <w:rPr>
          <w:rFonts w:ascii="David" w:hAnsi="David" w:cs="David" w:hint="cs"/>
          <w:sz w:val="24"/>
          <w:szCs w:val="24"/>
          <w:rtl/>
        </w:rPr>
        <w:t xml:space="preserve">... </w:t>
      </w:r>
      <w:r w:rsidRPr="00A81A5C">
        <w:rPr>
          <w:rFonts w:ascii="David" w:hAnsi="David" w:cs="David"/>
          <w:sz w:val="24"/>
          <w:szCs w:val="24"/>
          <w:rtl/>
        </w:rPr>
        <w:t>לכן לא קאמר רבינו הרמ"א מטעם דברים שבלב אינם דברים</w:t>
      </w:r>
      <w:r w:rsidR="00275933">
        <w:rPr>
          <w:rFonts w:ascii="David" w:hAnsi="David" w:cs="David" w:hint="cs"/>
          <w:sz w:val="24"/>
          <w:szCs w:val="24"/>
          <w:rtl/>
        </w:rPr>
        <w:t>,</w:t>
      </w:r>
      <w:r w:rsidRPr="00A81A5C">
        <w:rPr>
          <w:rFonts w:ascii="David" w:hAnsi="David" w:cs="David"/>
          <w:sz w:val="24"/>
          <w:szCs w:val="24"/>
          <w:rtl/>
        </w:rPr>
        <w:t xml:space="preserve"> אלא מטעם דאין הולכין בקדושין אחר אומדנות דמשמע להדיא</w:t>
      </w:r>
      <w:r w:rsidRPr="00A81A5C">
        <w:rPr>
          <w:rFonts w:ascii="David" w:hAnsi="David" w:cs="David" w:hint="cs"/>
          <w:sz w:val="24"/>
          <w:szCs w:val="24"/>
          <w:rtl/>
        </w:rPr>
        <w:t xml:space="preserve">.. </w:t>
      </w:r>
      <w:r w:rsidRPr="00A81A5C">
        <w:rPr>
          <w:rFonts w:ascii="David" w:hAnsi="David" w:cs="David"/>
          <w:sz w:val="24"/>
          <w:szCs w:val="24"/>
          <w:rtl/>
        </w:rPr>
        <w:t>אפילו במקום שבשארי דברים הולכין אחר האומדנא</w:t>
      </w:r>
      <w:r w:rsidRPr="00A81A5C">
        <w:rPr>
          <w:rFonts w:ascii="David" w:hAnsi="David" w:cs="David" w:hint="cs"/>
          <w:sz w:val="24"/>
          <w:szCs w:val="24"/>
          <w:rtl/>
        </w:rPr>
        <w:t>,</w:t>
      </w:r>
      <w:r w:rsidRPr="00A81A5C">
        <w:rPr>
          <w:rFonts w:ascii="David" w:hAnsi="David" w:cs="David"/>
          <w:sz w:val="24"/>
          <w:szCs w:val="24"/>
          <w:rtl/>
        </w:rPr>
        <w:t xml:space="preserve"> בקדושין אין הולכין וזהו וודאי רק מפני חומר אשת איש</w:t>
      </w:r>
      <w:r w:rsidRPr="00A81A5C">
        <w:rPr>
          <w:rFonts w:ascii="David" w:hAnsi="David" w:cs="David" w:hint="cs"/>
          <w:sz w:val="24"/>
          <w:szCs w:val="24"/>
          <w:rtl/>
        </w:rPr>
        <w:t xml:space="preserve">". </w:t>
      </w:r>
      <w:r w:rsidR="00A20A91" w:rsidRPr="00A81A5C">
        <w:rPr>
          <w:rFonts w:asciiTheme="majorBidi" w:hAnsiTheme="majorBidi" w:cstheme="majorBidi" w:hint="cs"/>
          <w:sz w:val="24"/>
          <w:szCs w:val="24"/>
          <w:rtl/>
        </w:rPr>
        <w:t xml:space="preserve">הרב גוסטמן משיג על אבחנה זו, וסובר </w:t>
      </w:r>
      <w:r w:rsidRPr="00A81A5C">
        <w:rPr>
          <w:rFonts w:ascii="David" w:hAnsi="David" w:cs="David" w:hint="cs"/>
          <w:sz w:val="24"/>
          <w:szCs w:val="24"/>
          <w:rtl/>
        </w:rPr>
        <w:t>"</w:t>
      </w:r>
      <w:r w:rsidR="00A20A91" w:rsidRPr="00A81A5C">
        <w:rPr>
          <w:rFonts w:ascii="David" w:hAnsi="David" w:cs="David" w:hint="cs"/>
          <w:sz w:val="24"/>
          <w:szCs w:val="24"/>
          <w:rtl/>
        </w:rPr>
        <w:t>ש</w:t>
      </w:r>
      <w:r w:rsidRPr="00A81A5C">
        <w:rPr>
          <w:rFonts w:ascii="David" w:hAnsi="David" w:cs="David" w:hint="cs"/>
          <w:sz w:val="24"/>
          <w:szCs w:val="24"/>
          <w:rtl/>
        </w:rPr>
        <w:t xml:space="preserve">אין </w:t>
      </w:r>
      <w:r w:rsidR="00A20A91" w:rsidRPr="00A81A5C">
        <w:rPr>
          <w:rFonts w:ascii="David" w:hAnsi="David" w:cs="David" w:hint="cs"/>
          <w:sz w:val="24"/>
          <w:szCs w:val="24"/>
          <w:rtl/>
        </w:rPr>
        <w:t>זה מעיקר הדין לחלק בין קידושין לממונות, רק חומרא בעלמא משום חומר אשת איש... וכן מפורש בביאור הגר"א שם אות ד'</w:t>
      </w:r>
      <w:r w:rsidR="00A20A91" w:rsidRPr="00A81A5C">
        <w:rPr>
          <w:rStyle w:val="a5"/>
          <w:rFonts w:ascii="David" w:hAnsi="David" w:cs="David"/>
          <w:sz w:val="24"/>
          <w:szCs w:val="24"/>
          <w:rtl/>
        </w:rPr>
        <w:footnoteReference w:id="25"/>
      </w:r>
      <w:r w:rsidR="00A20A91" w:rsidRPr="00A81A5C">
        <w:rPr>
          <w:rFonts w:ascii="David" w:hAnsi="David" w:cs="David" w:hint="cs"/>
          <w:sz w:val="24"/>
          <w:szCs w:val="24"/>
          <w:rtl/>
        </w:rPr>
        <w:t xml:space="preserve">". </w:t>
      </w:r>
    </w:p>
    <w:p w14:paraId="16AF8A54" w14:textId="77777777" w:rsidR="002F7C63" w:rsidRPr="00A81A5C" w:rsidRDefault="002F7C63" w:rsidP="00BF4625">
      <w:pPr>
        <w:spacing w:after="0" w:line="360" w:lineRule="auto"/>
        <w:rPr>
          <w:rFonts w:asciiTheme="majorBidi" w:hAnsiTheme="majorBidi" w:cstheme="majorBidi"/>
          <w:sz w:val="24"/>
          <w:szCs w:val="24"/>
          <w:rtl/>
        </w:rPr>
      </w:pPr>
    </w:p>
    <w:p w14:paraId="6DE0A783" w14:textId="77777777" w:rsidR="002F7C63" w:rsidRPr="00A81A5C" w:rsidRDefault="002F7C63" w:rsidP="00BF4625">
      <w:pPr>
        <w:spacing w:after="0" w:line="360" w:lineRule="auto"/>
        <w:rPr>
          <w:rFonts w:asciiTheme="majorBidi" w:hAnsiTheme="majorBidi" w:cstheme="majorBidi"/>
          <w:sz w:val="24"/>
          <w:szCs w:val="24"/>
          <w:rtl/>
        </w:rPr>
      </w:pPr>
    </w:p>
    <w:p w14:paraId="2907BDBF" w14:textId="77777777" w:rsidR="00196F9F" w:rsidRPr="00A81A5C" w:rsidRDefault="00196F9F" w:rsidP="00BF4625">
      <w:pPr>
        <w:spacing w:after="0" w:line="360" w:lineRule="auto"/>
        <w:rPr>
          <w:rFonts w:ascii="David" w:hAnsi="David" w:cs="David"/>
          <w:sz w:val="24"/>
          <w:szCs w:val="24"/>
          <w:rtl/>
        </w:rPr>
      </w:pPr>
    </w:p>
    <w:p w14:paraId="416B1E0B" w14:textId="77777777" w:rsidR="00196F9F" w:rsidRPr="00A81A5C" w:rsidRDefault="00196F9F" w:rsidP="00BF4625">
      <w:pPr>
        <w:spacing w:after="0" w:line="360" w:lineRule="auto"/>
        <w:rPr>
          <w:rFonts w:ascii="David" w:hAnsi="David" w:cs="David"/>
          <w:b/>
          <w:bCs/>
          <w:sz w:val="24"/>
          <w:szCs w:val="24"/>
          <w:rtl/>
        </w:rPr>
      </w:pPr>
    </w:p>
    <w:p w14:paraId="4BD15E06" w14:textId="37CD6D8D" w:rsidR="00C946C1" w:rsidRPr="00A81A5C" w:rsidRDefault="00A81A5C" w:rsidP="00BF4625">
      <w:pPr>
        <w:spacing w:after="0" w:line="360" w:lineRule="auto"/>
        <w:rPr>
          <w:rFonts w:ascii="David" w:hAnsi="David" w:cs="David"/>
          <w:sz w:val="24"/>
          <w:szCs w:val="24"/>
        </w:rPr>
      </w:pPr>
      <w:r w:rsidRPr="00A81A5C">
        <w:rPr>
          <w:rFonts w:asciiTheme="majorBidi" w:hAnsiTheme="majorBidi" w:cs="Times New Roman" w:hint="cs"/>
          <w:sz w:val="24"/>
          <w:szCs w:val="24"/>
          <w:rtl/>
        </w:rPr>
        <w:t xml:space="preserve"> </w:t>
      </w:r>
    </w:p>
    <w:sectPr w:rsidR="00C946C1" w:rsidRPr="00A81A5C"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78E3" w14:textId="77777777" w:rsidR="009B355C" w:rsidRDefault="009B355C" w:rsidP="002D65D9">
      <w:pPr>
        <w:spacing w:after="0" w:line="240" w:lineRule="auto"/>
      </w:pPr>
      <w:r>
        <w:separator/>
      </w:r>
    </w:p>
  </w:endnote>
  <w:endnote w:type="continuationSeparator" w:id="0">
    <w:p w14:paraId="4E56134B" w14:textId="77777777" w:rsidR="009B355C" w:rsidRDefault="009B355C" w:rsidP="002D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6BFE" w14:textId="77777777" w:rsidR="009B355C" w:rsidRDefault="009B355C" w:rsidP="002D65D9">
      <w:pPr>
        <w:spacing w:after="0" w:line="240" w:lineRule="auto"/>
      </w:pPr>
      <w:r>
        <w:separator/>
      </w:r>
    </w:p>
  </w:footnote>
  <w:footnote w:type="continuationSeparator" w:id="0">
    <w:p w14:paraId="22DC8014" w14:textId="77777777" w:rsidR="009B355C" w:rsidRDefault="009B355C" w:rsidP="002D65D9">
      <w:pPr>
        <w:spacing w:after="0" w:line="240" w:lineRule="auto"/>
      </w:pPr>
      <w:r>
        <w:continuationSeparator/>
      </w:r>
    </w:p>
  </w:footnote>
  <w:footnote w:id="1">
    <w:p w14:paraId="59155D5F" w14:textId="5CA30B90" w:rsidR="00196F9F" w:rsidRPr="00A81A5C" w:rsidRDefault="00196F9F" w:rsidP="00A81A5C">
      <w:pPr>
        <w:pStyle w:val="a3"/>
        <w:spacing w:line="360" w:lineRule="auto"/>
        <w:rPr>
          <w:rFonts w:asciiTheme="majorBidi" w:hAnsiTheme="majorBidi" w:cstheme="majorBidi"/>
          <w:rtl/>
        </w:rPr>
      </w:pPr>
      <w:r w:rsidRPr="00A81A5C">
        <w:rPr>
          <w:rStyle w:val="a5"/>
          <w:rFonts w:asciiTheme="majorBidi" w:hAnsiTheme="majorBidi" w:cstheme="majorBidi"/>
        </w:rPr>
        <w:footnoteRef/>
      </w:r>
      <w:r w:rsidRPr="00A81A5C">
        <w:rPr>
          <w:rFonts w:asciiTheme="majorBidi" w:hAnsiTheme="majorBidi" w:cstheme="majorBidi"/>
          <w:rtl/>
        </w:rPr>
        <w:t xml:space="preserve"> דף נ עמוד א ד"ה ואסיקנא.</w:t>
      </w:r>
    </w:p>
  </w:footnote>
  <w:footnote w:id="2">
    <w:p w14:paraId="3C30BAD0" w14:textId="2E90C8E5" w:rsidR="00787653" w:rsidRPr="00A81A5C" w:rsidRDefault="00787653" w:rsidP="00A81A5C">
      <w:pPr>
        <w:pStyle w:val="a3"/>
        <w:spacing w:line="360" w:lineRule="auto"/>
        <w:rPr>
          <w:rFonts w:asciiTheme="majorBidi" w:hAnsiTheme="majorBidi" w:cstheme="majorBidi"/>
        </w:rPr>
      </w:pPr>
      <w:r w:rsidRPr="00A81A5C">
        <w:rPr>
          <w:rStyle w:val="a5"/>
          <w:rFonts w:asciiTheme="majorBidi" w:hAnsiTheme="majorBidi" w:cstheme="majorBidi"/>
        </w:rPr>
        <w:footnoteRef/>
      </w:r>
      <w:r w:rsidRPr="00A81A5C">
        <w:rPr>
          <w:rFonts w:asciiTheme="majorBidi" w:hAnsiTheme="majorBidi" w:cstheme="majorBidi"/>
          <w:rtl/>
        </w:rPr>
        <w:t xml:space="preserve"> הרשב"א מתקשה בדעת הרמב"ן שדן דין זה כידות נדרים.</w:t>
      </w:r>
    </w:p>
  </w:footnote>
  <w:footnote w:id="3">
    <w:p w14:paraId="6B9E0685" w14:textId="1D72DD44" w:rsidR="002D65D9" w:rsidRPr="00A81A5C" w:rsidRDefault="002D65D9" w:rsidP="00A81A5C">
      <w:pPr>
        <w:pStyle w:val="a3"/>
        <w:spacing w:line="360" w:lineRule="auto"/>
        <w:rPr>
          <w:rFonts w:asciiTheme="majorBidi" w:hAnsiTheme="majorBidi" w:cstheme="majorBidi"/>
          <w:rtl/>
        </w:rPr>
      </w:pPr>
      <w:r w:rsidRPr="00A81A5C">
        <w:rPr>
          <w:rStyle w:val="a5"/>
          <w:rFonts w:asciiTheme="majorBidi" w:hAnsiTheme="majorBidi" w:cstheme="majorBidi"/>
        </w:rPr>
        <w:footnoteRef/>
      </w:r>
      <w:r w:rsidRPr="00A81A5C">
        <w:rPr>
          <w:rFonts w:asciiTheme="majorBidi" w:hAnsiTheme="majorBidi" w:cstheme="majorBidi"/>
          <w:rtl/>
        </w:rPr>
        <w:t xml:space="preserve"> הרב גוסטמן, קונטרסי שיעורים, שיעור כא עמוד קכט.</w:t>
      </w:r>
    </w:p>
  </w:footnote>
  <w:footnote w:id="4">
    <w:p w14:paraId="6C0296E7" w14:textId="29C08F3D" w:rsidR="00196F9F" w:rsidRPr="00A81A5C" w:rsidRDefault="00196F9F" w:rsidP="00A81A5C">
      <w:pPr>
        <w:spacing w:after="0" w:line="360" w:lineRule="auto"/>
        <w:rPr>
          <w:rFonts w:asciiTheme="majorBidi" w:hAnsiTheme="majorBidi" w:cstheme="majorBidi"/>
          <w:sz w:val="20"/>
          <w:szCs w:val="20"/>
          <w:rtl/>
        </w:rPr>
      </w:pPr>
      <w:r w:rsidRPr="00A81A5C">
        <w:rPr>
          <w:rStyle w:val="a5"/>
          <w:rFonts w:asciiTheme="majorBidi" w:hAnsiTheme="majorBidi" w:cstheme="majorBidi"/>
          <w:sz w:val="20"/>
          <w:szCs w:val="20"/>
        </w:rPr>
        <w:footnoteRef/>
      </w:r>
      <w:r w:rsidRPr="00A81A5C">
        <w:rPr>
          <w:rFonts w:asciiTheme="majorBidi" w:hAnsiTheme="majorBidi" w:cstheme="majorBidi"/>
          <w:sz w:val="20"/>
          <w:szCs w:val="20"/>
          <w:rtl/>
        </w:rPr>
        <w:t xml:space="preserve"> הר"ן על הרי"ף  דף כ עמוד ב ד"ה ובעידנא.</w:t>
      </w:r>
    </w:p>
    <w:p w14:paraId="4B500D44" w14:textId="3A64027F" w:rsidR="00196F9F" w:rsidRDefault="00196F9F">
      <w:pPr>
        <w:pStyle w:val="a3"/>
      </w:pPr>
    </w:p>
  </w:footnote>
  <w:footnote w:id="5">
    <w:p w14:paraId="0EA43B4D" w14:textId="6C0AAEA5" w:rsidR="00A35C04" w:rsidRPr="00A81A5C" w:rsidRDefault="00A35C04" w:rsidP="00A81A5C">
      <w:pPr>
        <w:spacing w:after="0" w:line="360" w:lineRule="auto"/>
        <w:rPr>
          <w:rFonts w:asciiTheme="majorBidi" w:hAnsiTheme="majorBidi" w:cstheme="majorBidi"/>
          <w:sz w:val="20"/>
          <w:szCs w:val="20"/>
        </w:rPr>
      </w:pPr>
      <w:r w:rsidRPr="00A81A5C">
        <w:rPr>
          <w:rStyle w:val="a5"/>
          <w:sz w:val="20"/>
          <w:szCs w:val="20"/>
        </w:rPr>
        <w:footnoteRef/>
      </w:r>
      <w:r w:rsidRPr="00A81A5C">
        <w:rPr>
          <w:sz w:val="20"/>
          <w:szCs w:val="20"/>
          <w:rtl/>
        </w:rPr>
        <w:t xml:space="preserve"> </w:t>
      </w:r>
      <w:r w:rsidRPr="00A81A5C">
        <w:rPr>
          <w:rFonts w:asciiTheme="majorBidi" w:hAnsiTheme="majorBidi" w:cs="Times New Roman" w:hint="cs"/>
          <w:sz w:val="20"/>
          <w:szCs w:val="20"/>
          <w:rtl/>
        </w:rPr>
        <w:t xml:space="preserve"> </w:t>
      </w:r>
      <w:r w:rsidRPr="00A81A5C">
        <w:rPr>
          <w:rFonts w:asciiTheme="majorBidi" w:hAnsiTheme="majorBidi" w:cs="Times New Roman"/>
          <w:sz w:val="20"/>
          <w:szCs w:val="20"/>
          <w:rtl/>
        </w:rPr>
        <w:t xml:space="preserve"> דף נ עמוד א</w:t>
      </w:r>
      <w:r w:rsidRPr="00A81A5C">
        <w:rPr>
          <w:rFonts w:asciiTheme="majorBidi" w:hAnsiTheme="majorBidi" w:cstheme="majorBidi" w:hint="cs"/>
          <w:sz w:val="20"/>
          <w:szCs w:val="20"/>
          <w:rtl/>
        </w:rPr>
        <w:t>.</w:t>
      </w:r>
    </w:p>
  </w:footnote>
  <w:footnote w:id="6">
    <w:p w14:paraId="53701251" w14:textId="70DAE2CE" w:rsidR="002F7C63" w:rsidRPr="00A81A5C" w:rsidRDefault="002F7C63" w:rsidP="00A81A5C">
      <w:pPr>
        <w:spacing w:after="0" w:line="360" w:lineRule="auto"/>
        <w:rPr>
          <w:rFonts w:ascii="FrankRuehl" w:hAnsi="FrankRuehl" w:cs="FrankRuehl"/>
          <w:sz w:val="20"/>
          <w:szCs w:val="20"/>
        </w:rPr>
      </w:pPr>
      <w:r w:rsidRPr="00A81A5C">
        <w:rPr>
          <w:rStyle w:val="a5"/>
          <w:sz w:val="20"/>
          <w:szCs w:val="20"/>
        </w:rPr>
        <w:footnoteRef/>
      </w:r>
      <w:r w:rsidRPr="00A81A5C">
        <w:rPr>
          <w:sz w:val="20"/>
          <w:szCs w:val="20"/>
          <w:rtl/>
        </w:rPr>
        <w:t xml:space="preserve"> </w:t>
      </w:r>
      <w:r w:rsidRPr="00A81A5C">
        <w:rPr>
          <w:rFonts w:ascii="FrankRuehl" w:hAnsi="FrankRuehl" w:cs="FrankRuehl"/>
          <w:sz w:val="20"/>
          <w:szCs w:val="20"/>
          <w:rtl/>
        </w:rPr>
        <w:t>מסכת בבא בתרא דף קמו עמוד ב</w:t>
      </w:r>
      <w:r w:rsidRPr="00A81A5C">
        <w:rPr>
          <w:rFonts w:ascii="FrankRuehl" w:hAnsi="FrankRuehl" w:cs="FrankRuehl" w:hint="cs"/>
          <w:sz w:val="20"/>
          <w:szCs w:val="20"/>
          <w:rtl/>
        </w:rPr>
        <w:t>.</w:t>
      </w:r>
    </w:p>
  </w:footnote>
  <w:footnote w:id="7">
    <w:p w14:paraId="01503A02" w14:textId="7D5BCEB7" w:rsidR="00A246EA" w:rsidRPr="00A81A5C" w:rsidRDefault="00A246EA" w:rsidP="00A81A5C">
      <w:pPr>
        <w:pStyle w:val="a3"/>
        <w:spacing w:line="360" w:lineRule="auto"/>
        <w:rPr>
          <w:rFonts w:asciiTheme="majorBidi" w:hAnsiTheme="majorBidi" w:cstheme="majorBidi"/>
          <w:rtl/>
        </w:rPr>
      </w:pPr>
      <w:r w:rsidRPr="00A81A5C">
        <w:rPr>
          <w:rStyle w:val="a5"/>
          <w:rFonts w:asciiTheme="majorBidi" w:hAnsiTheme="majorBidi" w:cstheme="majorBidi"/>
        </w:rPr>
        <w:footnoteRef/>
      </w:r>
      <w:r w:rsidRPr="00A81A5C">
        <w:rPr>
          <w:rFonts w:asciiTheme="majorBidi" w:hAnsiTheme="majorBidi" w:cstheme="majorBidi"/>
          <w:rtl/>
        </w:rPr>
        <w:t xml:space="preserve"> מסכת בבא בתרא דף קמד עמוד א.</w:t>
      </w:r>
    </w:p>
  </w:footnote>
  <w:footnote w:id="8">
    <w:p w14:paraId="4F6345CD" w14:textId="6570B1EC" w:rsidR="00A246EA" w:rsidRPr="00A81A5C" w:rsidRDefault="00A246EA" w:rsidP="00A246EA">
      <w:pPr>
        <w:pStyle w:val="a3"/>
      </w:pPr>
      <w:r w:rsidRPr="00A81A5C">
        <w:rPr>
          <w:rStyle w:val="a5"/>
          <w:rFonts w:asciiTheme="majorBidi" w:hAnsiTheme="majorBidi" w:cstheme="majorBidi"/>
        </w:rPr>
        <w:footnoteRef/>
      </w:r>
      <w:r w:rsidRPr="00A81A5C">
        <w:rPr>
          <w:rFonts w:asciiTheme="majorBidi" w:hAnsiTheme="majorBidi" w:cstheme="majorBidi"/>
          <w:rtl/>
        </w:rPr>
        <w:t xml:space="preserve"> רשב"ם.</w:t>
      </w:r>
      <w:r w:rsidRPr="00A81A5C">
        <w:rPr>
          <w:rFonts w:hint="cs"/>
          <w:rtl/>
        </w:rPr>
        <w:t xml:space="preserve"> </w:t>
      </w:r>
      <w:r w:rsidRPr="00A81A5C">
        <w:rPr>
          <w:rFonts w:ascii="David" w:hAnsi="David" w:cs="David" w:hint="cs"/>
          <w:rtl/>
        </w:rPr>
        <w:t>"</w:t>
      </w:r>
      <w:r w:rsidRPr="00A81A5C">
        <w:rPr>
          <w:rFonts w:ascii="David" w:hAnsi="David" w:cs="David"/>
          <w:rtl/>
        </w:rPr>
        <w:t>אבל אם שייר ואפילו מטלטלין ואפי' לבניו הוי שיור ולא עשאה אפטרופא אלא במתנה נתן לה</w:t>
      </w:r>
      <w:r w:rsidRPr="00A81A5C">
        <w:rPr>
          <w:rFonts w:ascii="David" w:hAnsi="David" w:cs="David" w:hint="cs"/>
          <w:rtl/>
        </w:rPr>
        <w:t>"</w:t>
      </w:r>
      <w:r w:rsidRPr="00A81A5C">
        <w:rPr>
          <w:rFonts w:ascii="David" w:hAnsi="David" w:cs="David"/>
          <w:rtl/>
        </w:rPr>
        <w:t xml:space="preserve"> </w:t>
      </w:r>
      <w:r w:rsidRPr="00A81A5C">
        <w:rPr>
          <w:rFonts w:asciiTheme="majorBidi" w:hAnsiTheme="majorBidi" w:cstheme="majorBidi"/>
          <w:rtl/>
        </w:rPr>
        <w:t>(שו"ת בעי חיי חושן משפט חלק א סימן קפה).</w:t>
      </w:r>
    </w:p>
  </w:footnote>
  <w:footnote w:id="9">
    <w:p w14:paraId="1F162606" w14:textId="47BA7C4C" w:rsidR="00A246EA" w:rsidRPr="00C72CA0" w:rsidRDefault="00A246EA" w:rsidP="00C72CA0">
      <w:pPr>
        <w:pStyle w:val="a3"/>
        <w:spacing w:line="360" w:lineRule="auto"/>
        <w:rPr>
          <w:rFonts w:asciiTheme="majorBidi" w:hAnsiTheme="majorBidi" w:cstheme="majorBidi"/>
          <w:rtl/>
        </w:rPr>
      </w:pPr>
      <w:r w:rsidRPr="00C72CA0">
        <w:rPr>
          <w:rStyle w:val="a5"/>
          <w:rFonts w:asciiTheme="majorBidi" w:hAnsiTheme="majorBidi" w:cstheme="majorBidi"/>
        </w:rPr>
        <w:footnoteRef/>
      </w:r>
      <w:r w:rsidRPr="00C72CA0">
        <w:rPr>
          <w:rFonts w:asciiTheme="majorBidi" w:hAnsiTheme="majorBidi" w:cstheme="majorBidi"/>
          <w:rtl/>
        </w:rPr>
        <w:t xml:space="preserve"> מסכת גיטין דף עב עמוד ב.</w:t>
      </w:r>
    </w:p>
  </w:footnote>
  <w:footnote w:id="10">
    <w:p w14:paraId="0745F59E" w14:textId="46EF94B8" w:rsidR="00A246EA" w:rsidRPr="00C72CA0" w:rsidRDefault="00A246EA" w:rsidP="00C72CA0">
      <w:pPr>
        <w:pStyle w:val="a3"/>
        <w:spacing w:line="360" w:lineRule="auto"/>
        <w:rPr>
          <w:rFonts w:asciiTheme="majorBidi" w:hAnsiTheme="majorBidi" w:cstheme="majorBidi"/>
        </w:rPr>
      </w:pPr>
      <w:r w:rsidRPr="00C72CA0">
        <w:rPr>
          <w:rStyle w:val="a5"/>
          <w:rFonts w:asciiTheme="majorBidi" w:hAnsiTheme="majorBidi" w:cstheme="majorBidi"/>
        </w:rPr>
        <w:footnoteRef/>
      </w:r>
      <w:r w:rsidRPr="00C72CA0">
        <w:rPr>
          <w:rFonts w:asciiTheme="majorBidi" w:hAnsiTheme="majorBidi" w:cstheme="majorBidi"/>
          <w:rtl/>
        </w:rPr>
        <w:t xml:space="preserve"> מסכת כתובות דף עח עמוד ב.</w:t>
      </w:r>
    </w:p>
  </w:footnote>
  <w:footnote w:id="11">
    <w:p w14:paraId="5AD38996" w14:textId="6311573F" w:rsidR="00A20A91" w:rsidRPr="00A81A5C" w:rsidRDefault="00A20A91" w:rsidP="00A81A5C">
      <w:pPr>
        <w:pStyle w:val="a3"/>
        <w:spacing w:line="360" w:lineRule="auto"/>
        <w:rPr>
          <w:rFonts w:asciiTheme="majorBidi" w:hAnsiTheme="majorBidi" w:cstheme="majorBidi"/>
          <w:rtl/>
        </w:rPr>
      </w:pPr>
      <w:r w:rsidRPr="00A81A5C">
        <w:rPr>
          <w:rStyle w:val="a5"/>
          <w:rFonts w:asciiTheme="majorBidi" w:hAnsiTheme="majorBidi" w:cstheme="majorBidi"/>
        </w:rPr>
        <w:footnoteRef/>
      </w:r>
      <w:r w:rsidRPr="00A81A5C">
        <w:rPr>
          <w:rFonts w:asciiTheme="majorBidi" w:hAnsiTheme="majorBidi" w:cstheme="majorBidi"/>
          <w:rtl/>
        </w:rPr>
        <w:t xml:space="preserve"> מסכת בבא קמא דף פ עמוד א. דוגמה זו מביא המאירי.</w:t>
      </w:r>
    </w:p>
  </w:footnote>
  <w:footnote w:id="12">
    <w:p w14:paraId="0F705788" w14:textId="2B4D0319" w:rsidR="00BF4625" w:rsidRPr="00C72CA0" w:rsidRDefault="00BF4625" w:rsidP="00A81A5C">
      <w:pPr>
        <w:pStyle w:val="a3"/>
        <w:spacing w:line="360" w:lineRule="auto"/>
        <w:rPr>
          <w:rFonts w:asciiTheme="majorBidi" w:hAnsiTheme="majorBidi" w:cstheme="majorBidi"/>
        </w:rPr>
      </w:pPr>
      <w:r w:rsidRPr="00C72CA0">
        <w:rPr>
          <w:rStyle w:val="a5"/>
          <w:rFonts w:asciiTheme="majorBidi" w:hAnsiTheme="majorBidi" w:cstheme="majorBidi"/>
        </w:rPr>
        <w:footnoteRef/>
      </w:r>
      <w:r w:rsidRPr="00C72CA0">
        <w:rPr>
          <w:rFonts w:asciiTheme="majorBidi" w:hAnsiTheme="majorBidi" w:cstheme="majorBidi"/>
          <w:rtl/>
        </w:rPr>
        <w:t xml:space="preserve"> הרב גוס</w:t>
      </w:r>
      <w:r w:rsidR="00A20A91">
        <w:rPr>
          <w:rFonts w:asciiTheme="majorBidi" w:hAnsiTheme="majorBidi" w:cstheme="majorBidi" w:hint="cs"/>
          <w:rtl/>
        </w:rPr>
        <w:t>ט</w:t>
      </w:r>
      <w:r w:rsidRPr="00C72CA0">
        <w:rPr>
          <w:rFonts w:asciiTheme="majorBidi" w:hAnsiTheme="majorBidi" w:cstheme="majorBidi"/>
          <w:rtl/>
        </w:rPr>
        <w:t>מן עמוד 262 עמודה ב.</w:t>
      </w:r>
    </w:p>
  </w:footnote>
  <w:footnote w:id="13">
    <w:p w14:paraId="72CB4744" w14:textId="5DF5E4EB" w:rsidR="00BF4625" w:rsidRPr="00C72CA0" w:rsidRDefault="00BF4625" w:rsidP="00A81A5C">
      <w:pPr>
        <w:pStyle w:val="a3"/>
        <w:spacing w:line="360" w:lineRule="auto"/>
        <w:rPr>
          <w:rFonts w:asciiTheme="majorBidi" w:hAnsiTheme="majorBidi" w:cstheme="majorBidi"/>
        </w:rPr>
      </w:pPr>
      <w:r w:rsidRPr="00C72CA0">
        <w:rPr>
          <w:rStyle w:val="a5"/>
          <w:rFonts w:asciiTheme="majorBidi" w:hAnsiTheme="majorBidi" w:cstheme="majorBidi"/>
        </w:rPr>
        <w:footnoteRef/>
      </w:r>
      <w:r w:rsidRPr="00C72CA0">
        <w:rPr>
          <w:rFonts w:asciiTheme="majorBidi" w:hAnsiTheme="majorBidi" w:cstheme="majorBidi"/>
          <w:rtl/>
        </w:rPr>
        <w:t xml:space="preserve"> מסכת כתובות דף צז עמוד א.</w:t>
      </w:r>
    </w:p>
  </w:footnote>
  <w:footnote w:id="14">
    <w:p w14:paraId="241C36A5" w14:textId="7E41E85A" w:rsidR="007C2F6C" w:rsidRPr="00C72CA0" w:rsidRDefault="007C2F6C" w:rsidP="00C72CA0">
      <w:pPr>
        <w:pStyle w:val="a3"/>
        <w:spacing w:line="360" w:lineRule="auto"/>
        <w:rPr>
          <w:rFonts w:asciiTheme="majorBidi" w:hAnsiTheme="majorBidi" w:cstheme="majorBidi"/>
        </w:rPr>
      </w:pPr>
      <w:r w:rsidRPr="00C72CA0">
        <w:rPr>
          <w:rStyle w:val="a5"/>
          <w:rFonts w:asciiTheme="majorBidi" w:hAnsiTheme="majorBidi" w:cstheme="majorBidi"/>
        </w:rPr>
        <w:footnoteRef/>
      </w:r>
      <w:r w:rsidRPr="00C72CA0">
        <w:rPr>
          <w:rFonts w:asciiTheme="majorBidi" w:hAnsiTheme="majorBidi" w:cstheme="majorBidi"/>
          <w:rtl/>
        </w:rPr>
        <w:t xml:space="preserve"> הרב גוסטמן, שם.</w:t>
      </w:r>
    </w:p>
  </w:footnote>
  <w:footnote w:id="15">
    <w:p w14:paraId="3575739D" w14:textId="27DC13FE" w:rsidR="00787653" w:rsidRDefault="00787653">
      <w:pPr>
        <w:pStyle w:val="a3"/>
      </w:pPr>
      <w:r w:rsidRPr="00A81A5C">
        <w:rPr>
          <w:rStyle w:val="a5"/>
          <w:rFonts w:ascii="David" w:hAnsi="David" w:cs="David"/>
        </w:rPr>
        <w:footnoteRef/>
      </w:r>
      <w:r w:rsidRPr="00A81A5C">
        <w:rPr>
          <w:rFonts w:ascii="David" w:hAnsi="David" w:cs="David"/>
          <w:rtl/>
        </w:rPr>
        <w:t xml:space="preserve"> "חילוק בין הסוגיות הוא שמכירה בשביל לקנות מקובלת יותר, ואין צריך לפרש את מה שמובן מאליו. בעוד שמכירה בשביל לעלות לארץ ישראל, אינה דבר מקובל  ולכן אם אינו מפרש דבריו הרי הם בגדר </w:t>
      </w:r>
      <w:r w:rsidR="00A81A5C" w:rsidRPr="00A81A5C">
        <w:rPr>
          <w:rFonts w:ascii="David" w:hAnsi="David" w:cs="David"/>
          <w:rtl/>
        </w:rPr>
        <w:t>דברים שבלב</w:t>
      </w:r>
      <w:r w:rsidRPr="00A81A5C">
        <w:rPr>
          <w:rFonts w:ascii="David" w:hAnsi="David" w:cs="David"/>
          <w:rtl/>
        </w:rPr>
        <w:t>"</w:t>
      </w:r>
      <w:r>
        <w:rPr>
          <w:rFonts w:hint="cs"/>
          <w:rtl/>
        </w:rPr>
        <w:t xml:space="preserve"> </w:t>
      </w:r>
      <w:r>
        <w:rPr>
          <w:rFonts w:asciiTheme="majorBidi" w:hAnsiTheme="majorBidi" w:cstheme="majorBidi" w:hint="cs"/>
          <w:rtl/>
        </w:rPr>
        <w:t>(בירור הלכה, סוף אות א)</w:t>
      </w:r>
      <w:r>
        <w:rPr>
          <w:rFonts w:hint="cs"/>
          <w:rtl/>
        </w:rPr>
        <w:t>.</w:t>
      </w:r>
    </w:p>
  </w:footnote>
  <w:footnote w:id="16">
    <w:p w14:paraId="3A31DE92" w14:textId="16B963E3" w:rsidR="00613999" w:rsidRPr="00EF6268" w:rsidRDefault="00613999" w:rsidP="00EF6268">
      <w:pPr>
        <w:pStyle w:val="a3"/>
        <w:spacing w:line="360" w:lineRule="auto"/>
        <w:rPr>
          <w:rFonts w:asciiTheme="majorBidi" w:hAnsiTheme="majorBidi" w:cstheme="majorBidi"/>
        </w:rPr>
      </w:pPr>
      <w:r w:rsidRPr="00EF6268">
        <w:rPr>
          <w:rStyle w:val="a5"/>
          <w:rFonts w:asciiTheme="majorBidi" w:hAnsiTheme="majorBidi" w:cstheme="majorBidi"/>
        </w:rPr>
        <w:footnoteRef/>
      </w:r>
      <w:r w:rsidRPr="00EF6268">
        <w:rPr>
          <w:rFonts w:asciiTheme="majorBidi" w:hAnsiTheme="majorBidi" w:cstheme="majorBidi"/>
          <w:rtl/>
        </w:rPr>
        <w:t xml:space="preserve"> שו"ת הרא"ש כלל יג סימן י.</w:t>
      </w:r>
    </w:p>
  </w:footnote>
  <w:footnote w:id="17">
    <w:p w14:paraId="791313DB" w14:textId="16AE8DCB" w:rsidR="00835860" w:rsidRPr="00EF6268" w:rsidRDefault="00835860" w:rsidP="00EF6268">
      <w:pPr>
        <w:pStyle w:val="a3"/>
        <w:spacing w:line="360" w:lineRule="auto"/>
        <w:rPr>
          <w:rFonts w:asciiTheme="majorBidi" w:hAnsiTheme="majorBidi" w:cstheme="majorBidi"/>
        </w:rPr>
      </w:pPr>
      <w:r w:rsidRPr="00EF6268">
        <w:rPr>
          <w:rStyle w:val="a5"/>
          <w:rFonts w:asciiTheme="majorBidi" w:hAnsiTheme="majorBidi" w:cstheme="majorBidi"/>
        </w:rPr>
        <w:footnoteRef/>
      </w:r>
      <w:r w:rsidRPr="00EF6268">
        <w:rPr>
          <w:rFonts w:asciiTheme="majorBidi" w:hAnsiTheme="majorBidi" w:cstheme="majorBidi"/>
          <w:rtl/>
        </w:rPr>
        <w:t xml:space="preserve"> נדרים דף כח עמוד א.</w:t>
      </w:r>
    </w:p>
  </w:footnote>
  <w:footnote w:id="18">
    <w:p w14:paraId="6FFC5DAA" w14:textId="68A1D70D" w:rsidR="00A81A5C" w:rsidRPr="00EF6268" w:rsidRDefault="00A81A5C" w:rsidP="00EF6268">
      <w:pPr>
        <w:pStyle w:val="a3"/>
        <w:spacing w:line="360" w:lineRule="auto"/>
        <w:rPr>
          <w:rFonts w:asciiTheme="majorBidi" w:hAnsiTheme="majorBidi" w:cstheme="majorBidi"/>
        </w:rPr>
      </w:pPr>
      <w:r w:rsidRPr="00EF6268">
        <w:rPr>
          <w:rStyle w:val="a5"/>
          <w:rFonts w:asciiTheme="majorBidi" w:hAnsiTheme="majorBidi" w:cstheme="majorBidi"/>
        </w:rPr>
        <w:footnoteRef/>
      </w:r>
      <w:r w:rsidRPr="00EF6268">
        <w:rPr>
          <w:rFonts w:asciiTheme="majorBidi" w:hAnsiTheme="majorBidi" w:cstheme="majorBidi"/>
          <w:rtl/>
        </w:rPr>
        <w:t xml:space="preserve"> למשל :  </w:t>
      </w:r>
      <w:r w:rsidR="00EF6268">
        <w:rPr>
          <w:rFonts w:asciiTheme="majorBidi" w:hAnsiTheme="majorBidi" w:cstheme="majorBidi" w:hint="cs"/>
          <w:rtl/>
        </w:rPr>
        <w:t>"</w:t>
      </w:r>
      <w:r w:rsidRPr="00EF6268">
        <w:rPr>
          <w:rFonts w:ascii="David" w:hAnsi="David" w:cs="David"/>
          <w:rtl/>
        </w:rPr>
        <w:t>היה ר' עקיבא נשבע בשפתיו ומבטל לו בלבו</w:t>
      </w:r>
      <w:r w:rsidR="00EF6268">
        <w:rPr>
          <w:rFonts w:asciiTheme="majorBidi" w:hAnsiTheme="majorBidi" w:cstheme="majorBidi" w:hint="cs"/>
          <w:rtl/>
        </w:rPr>
        <w:t>"</w:t>
      </w:r>
      <w:r w:rsidRPr="00EF6268">
        <w:rPr>
          <w:rFonts w:asciiTheme="majorBidi" w:hAnsiTheme="majorBidi" w:cstheme="majorBidi"/>
          <w:rtl/>
        </w:rPr>
        <w:t xml:space="preserve"> (מסכתות קטנות מסכת כלה רבתי פרק ב).</w:t>
      </w:r>
    </w:p>
  </w:footnote>
  <w:footnote w:id="19">
    <w:p w14:paraId="26728CC8" w14:textId="6D1E2063" w:rsidR="00A81A5C" w:rsidRPr="00EF6268" w:rsidRDefault="00A81A5C" w:rsidP="00EF6268">
      <w:pPr>
        <w:pStyle w:val="a3"/>
        <w:spacing w:line="360" w:lineRule="auto"/>
        <w:rPr>
          <w:rFonts w:asciiTheme="majorBidi" w:hAnsiTheme="majorBidi" w:cstheme="majorBidi"/>
        </w:rPr>
      </w:pPr>
      <w:r w:rsidRPr="00EF6268">
        <w:rPr>
          <w:rStyle w:val="a5"/>
          <w:rFonts w:asciiTheme="majorBidi" w:hAnsiTheme="majorBidi" w:cstheme="majorBidi"/>
        </w:rPr>
        <w:footnoteRef/>
      </w:r>
      <w:r w:rsidRPr="00EF6268">
        <w:rPr>
          <w:rFonts w:asciiTheme="majorBidi" w:hAnsiTheme="majorBidi" w:cstheme="majorBidi"/>
          <w:rtl/>
        </w:rPr>
        <w:t xml:space="preserve"> ניתן לעיין בבירור הלכה דף מט עמוד ב ציון ט אות א.</w:t>
      </w:r>
    </w:p>
  </w:footnote>
  <w:footnote w:id="20">
    <w:p w14:paraId="2E87E7BB" w14:textId="2D4DDD50" w:rsidR="00C72CA0" w:rsidRPr="00EF6268" w:rsidRDefault="00C72CA0" w:rsidP="00EF6268">
      <w:pPr>
        <w:spacing w:line="360" w:lineRule="auto"/>
        <w:rPr>
          <w:rFonts w:asciiTheme="majorBidi" w:hAnsiTheme="majorBidi" w:cstheme="majorBidi"/>
          <w:sz w:val="20"/>
          <w:szCs w:val="20"/>
          <w:rtl/>
        </w:rPr>
      </w:pPr>
      <w:r w:rsidRPr="00EF6268">
        <w:rPr>
          <w:rStyle w:val="a5"/>
          <w:rFonts w:asciiTheme="majorBidi" w:hAnsiTheme="majorBidi" w:cstheme="majorBidi"/>
          <w:sz w:val="20"/>
          <w:szCs w:val="20"/>
        </w:rPr>
        <w:footnoteRef/>
      </w:r>
      <w:r w:rsidRPr="00EF6268">
        <w:rPr>
          <w:rFonts w:asciiTheme="majorBidi" w:hAnsiTheme="majorBidi" w:cstheme="majorBidi"/>
          <w:sz w:val="20"/>
          <w:szCs w:val="20"/>
          <w:rtl/>
        </w:rPr>
        <w:t xml:space="preserve"> תוספות מסכת כתובות תחילת דף מז עמוד ב</w:t>
      </w:r>
      <w:r w:rsidR="00EF6268" w:rsidRPr="00EF6268">
        <w:rPr>
          <w:rFonts w:asciiTheme="majorBidi" w:hAnsiTheme="majorBidi" w:cstheme="majorBidi"/>
          <w:sz w:val="20"/>
          <w:szCs w:val="20"/>
          <w:rtl/>
        </w:rPr>
        <w:t xml:space="preserve"> ד"ה שלא</w:t>
      </w:r>
      <w:r w:rsidRPr="00EF6268">
        <w:rPr>
          <w:rFonts w:asciiTheme="majorBidi" w:hAnsiTheme="majorBidi" w:cstheme="majorBidi"/>
          <w:sz w:val="20"/>
          <w:szCs w:val="20"/>
          <w:rtl/>
        </w:rPr>
        <w:t>.</w:t>
      </w:r>
    </w:p>
    <w:p w14:paraId="029CF77B" w14:textId="2ED1CA66" w:rsidR="00C72CA0" w:rsidRDefault="00C72CA0">
      <w:pPr>
        <w:pStyle w:val="a3"/>
        <w:rPr>
          <w:rtl/>
        </w:rPr>
      </w:pPr>
    </w:p>
  </w:footnote>
  <w:footnote w:id="21">
    <w:p w14:paraId="3F26A568" w14:textId="58DB3B30" w:rsidR="00F47D78" w:rsidRPr="00EF6268" w:rsidRDefault="00F47D78" w:rsidP="00EF6268">
      <w:pPr>
        <w:spacing w:after="0" w:line="360" w:lineRule="auto"/>
        <w:rPr>
          <w:rFonts w:asciiTheme="majorBidi" w:hAnsiTheme="majorBidi" w:cstheme="majorBidi"/>
          <w:sz w:val="20"/>
          <w:szCs w:val="20"/>
          <w:rtl/>
        </w:rPr>
      </w:pPr>
      <w:r w:rsidRPr="00EF6268">
        <w:rPr>
          <w:rStyle w:val="a5"/>
          <w:rFonts w:asciiTheme="majorBidi" w:hAnsiTheme="majorBidi" w:cstheme="majorBidi"/>
          <w:sz w:val="20"/>
          <w:szCs w:val="20"/>
        </w:rPr>
        <w:footnoteRef/>
      </w:r>
      <w:r w:rsidRPr="00EF6268">
        <w:rPr>
          <w:rFonts w:asciiTheme="majorBidi" w:hAnsiTheme="majorBidi" w:cstheme="majorBidi"/>
          <w:sz w:val="20"/>
          <w:szCs w:val="20"/>
          <w:rtl/>
        </w:rPr>
        <w:t xml:space="preserve"> רמב"ם הלכות זכיה ומתנה פרק ו הלכה א.</w:t>
      </w:r>
    </w:p>
  </w:footnote>
  <w:footnote w:id="22">
    <w:p w14:paraId="2FFC3090" w14:textId="6D7A8391" w:rsidR="00F47D78" w:rsidRPr="00EF6268" w:rsidRDefault="00F47D78" w:rsidP="00EF6268">
      <w:pPr>
        <w:spacing w:after="0" w:line="360" w:lineRule="auto"/>
        <w:rPr>
          <w:rFonts w:asciiTheme="majorBidi" w:hAnsiTheme="majorBidi" w:cstheme="majorBidi"/>
          <w:sz w:val="20"/>
          <w:szCs w:val="20"/>
        </w:rPr>
      </w:pPr>
      <w:r w:rsidRPr="00EF6268">
        <w:rPr>
          <w:rStyle w:val="a5"/>
          <w:rFonts w:asciiTheme="majorBidi" w:hAnsiTheme="majorBidi" w:cstheme="majorBidi"/>
          <w:sz w:val="20"/>
          <w:szCs w:val="20"/>
        </w:rPr>
        <w:footnoteRef/>
      </w:r>
      <w:r w:rsidRPr="00EF6268">
        <w:rPr>
          <w:rFonts w:asciiTheme="majorBidi" w:hAnsiTheme="majorBidi" w:cstheme="majorBidi"/>
          <w:sz w:val="20"/>
          <w:szCs w:val="20"/>
          <w:rtl/>
        </w:rPr>
        <w:t xml:space="preserve"> רמב"ם הלכות מכירה פרק יא הלכה ט.</w:t>
      </w:r>
    </w:p>
  </w:footnote>
  <w:footnote w:id="23">
    <w:p w14:paraId="0011F68C" w14:textId="1016376F" w:rsidR="00F47D78" w:rsidRPr="00EF6268" w:rsidRDefault="00F47D78" w:rsidP="00EF6268">
      <w:pPr>
        <w:spacing w:after="0" w:line="360" w:lineRule="auto"/>
        <w:rPr>
          <w:rFonts w:asciiTheme="majorBidi" w:hAnsiTheme="majorBidi" w:cstheme="majorBidi"/>
          <w:sz w:val="20"/>
          <w:szCs w:val="20"/>
          <w:rtl/>
        </w:rPr>
      </w:pPr>
      <w:r w:rsidRPr="00EF6268">
        <w:rPr>
          <w:rStyle w:val="a5"/>
          <w:rFonts w:asciiTheme="majorBidi" w:hAnsiTheme="majorBidi" w:cstheme="majorBidi"/>
          <w:sz w:val="20"/>
          <w:szCs w:val="20"/>
        </w:rPr>
        <w:footnoteRef/>
      </w:r>
      <w:r w:rsidRPr="00EF6268">
        <w:rPr>
          <w:rFonts w:asciiTheme="majorBidi" w:hAnsiTheme="majorBidi" w:cstheme="majorBidi"/>
          <w:sz w:val="20"/>
          <w:szCs w:val="20"/>
          <w:rtl/>
        </w:rPr>
        <w:t xml:space="preserve"> שולחן ערוך חושן משפט הלכות מקח וממכר סימן רז סעיף ד.</w:t>
      </w:r>
    </w:p>
  </w:footnote>
  <w:footnote w:id="24">
    <w:p w14:paraId="11C868C6" w14:textId="3F594436" w:rsidR="00E036FE" w:rsidRPr="00EF6268" w:rsidRDefault="00E036FE" w:rsidP="00EF6268">
      <w:pPr>
        <w:spacing w:after="0" w:line="360" w:lineRule="auto"/>
        <w:rPr>
          <w:rFonts w:asciiTheme="majorBidi" w:hAnsiTheme="majorBidi" w:cstheme="majorBidi"/>
          <w:sz w:val="20"/>
          <w:szCs w:val="20"/>
          <w:rtl/>
        </w:rPr>
      </w:pPr>
      <w:r w:rsidRPr="00EF6268">
        <w:rPr>
          <w:rStyle w:val="a5"/>
          <w:rFonts w:asciiTheme="majorBidi" w:hAnsiTheme="majorBidi" w:cstheme="majorBidi"/>
          <w:sz w:val="20"/>
          <w:szCs w:val="20"/>
        </w:rPr>
        <w:footnoteRef/>
      </w:r>
      <w:r w:rsidRPr="00EF6268">
        <w:rPr>
          <w:rFonts w:asciiTheme="majorBidi" w:hAnsiTheme="majorBidi" w:cstheme="majorBidi"/>
          <w:sz w:val="20"/>
          <w:szCs w:val="20"/>
          <w:rtl/>
        </w:rPr>
        <w:t xml:space="preserve"> שולחן ערוך אבן העזר הלכות קידושין סימן מב סעיף א.</w:t>
      </w:r>
    </w:p>
  </w:footnote>
  <w:footnote w:id="25">
    <w:p w14:paraId="5BFF3112" w14:textId="114A9C67" w:rsidR="00A20A91" w:rsidRPr="00EF6268" w:rsidRDefault="00A20A91" w:rsidP="00EF6268">
      <w:pPr>
        <w:pStyle w:val="a3"/>
        <w:spacing w:line="360" w:lineRule="auto"/>
        <w:rPr>
          <w:rFonts w:asciiTheme="majorBidi" w:hAnsiTheme="majorBidi" w:cstheme="majorBidi"/>
          <w:rtl/>
        </w:rPr>
      </w:pPr>
      <w:r w:rsidRPr="00EF6268">
        <w:rPr>
          <w:rStyle w:val="a5"/>
          <w:rFonts w:asciiTheme="majorBidi" w:hAnsiTheme="majorBidi" w:cstheme="majorBidi"/>
        </w:rPr>
        <w:footnoteRef/>
      </w:r>
      <w:r w:rsidRPr="00EF6268">
        <w:rPr>
          <w:rFonts w:asciiTheme="majorBidi" w:hAnsiTheme="majorBidi" w:cstheme="majorBidi"/>
          <w:rtl/>
        </w:rPr>
        <w:t xml:space="preserve"> עמודים 261-262, לקראת סוף אות 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5205868"/>
      <w:docPartObj>
        <w:docPartGallery w:val="Page Numbers (Top of Page)"/>
        <w:docPartUnique/>
      </w:docPartObj>
    </w:sdtPr>
    <w:sdtContent>
      <w:p w14:paraId="085D08F5" w14:textId="4AEC1A92" w:rsidR="00A81A5C" w:rsidRDefault="00A81A5C">
        <w:pPr>
          <w:pStyle w:val="a7"/>
        </w:pPr>
        <w:r>
          <w:fldChar w:fldCharType="begin"/>
        </w:r>
        <w:r>
          <w:instrText>PAGE   \* MERGEFORMAT</w:instrText>
        </w:r>
        <w:r>
          <w:fldChar w:fldCharType="separate"/>
        </w:r>
        <w:r>
          <w:rPr>
            <w:rtl/>
            <w:lang w:val="he-IL"/>
          </w:rPr>
          <w:t>2</w:t>
        </w:r>
        <w:r>
          <w:fldChar w:fldCharType="end"/>
        </w:r>
      </w:p>
    </w:sdtContent>
  </w:sdt>
  <w:p w14:paraId="0D7DEE42" w14:textId="77777777" w:rsidR="00A81A5C" w:rsidRDefault="00A81A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4460"/>
    <w:multiLevelType w:val="hybridMultilevel"/>
    <w:tmpl w:val="854E8FB2"/>
    <w:lvl w:ilvl="0" w:tplc="00F63D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245DC"/>
    <w:multiLevelType w:val="hybridMultilevel"/>
    <w:tmpl w:val="CEE6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11AFE"/>
    <w:multiLevelType w:val="hybridMultilevel"/>
    <w:tmpl w:val="C8726CBA"/>
    <w:lvl w:ilvl="0" w:tplc="7EBC98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5727">
    <w:abstractNumId w:val="1"/>
  </w:num>
  <w:num w:numId="2" w16cid:durableId="1593199920">
    <w:abstractNumId w:val="2"/>
  </w:num>
  <w:num w:numId="3" w16cid:durableId="171049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3D"/>
    <w:rsid w:val="00196F9F"/>
    <w:rsid w:val="001B2255"/>
    <w:rsid w:val="00275933"/>
    <w:rsid w:val="00290311"/>
    <w:rsid w:val="00293330"/>
    <w:rsid w:val="002D65D9"/>
    <w:rsid w:val="002F7C63"/>
    <w:rsid w:val="0058392C"/>
    <w:rsid w:val="00613999"/>
    <w:rsid w:val="0065702A"/>
    <w:rsid w:val="006F6D17"/>
    <w:rsid w:val="0078116C"/>
    <w:rsid w:val="00787653"/>
    <w:rsid w:val="007C2F6C"/>
    <w:rsid w:val="00835860"/>
    <w:rsid w:val="00846196"/>
    <w:rsid w:val="00974B3D"/>
    <w:rsid w:val="009B355C"/>
    <w:rsid w:val="00A20A91"/>
    <w:rsid w:val="00A246EA"/>
    <w:rsid w:val="00A35C04"/>
    <w:rsid w:val="00A81A5C"/>
    <w:rsid w:val="00A82CF4"/>
    <w:rsid w:val="00B07DC3"/>
    <w:rsid w:val="00BF4625"/>
    <w:rsid w:val="00C5171D"/>
    <w:rsid w:val="00C72CA0"/>
    <w:rsid w:val="00C946C1"/>
    <w:rsid w:val="00D92DB8"/>
    <w:rsid w:val="00DB49AB"/>
    <w:rsid w:val="00E036FE"/>
    <w:rsid w:val="00EF6268"/>
    <w:rsid w:val="00F4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1A70"/>
  <w15:chartTrackingRefBased/>
  <w15:docId w15:val="{10F56D08-824C-4D7C-A19A-3932B3CE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65D9"/>
    <w:pPr>
      <w:spacing w:after="0" w:line="240" w:lineRule="auto"/>
    </w:pPr>
    <w:rPr>
      <w:sz w:val="20"/>
      <w:szCs w:val="20"/>
    </w:rPr>
  </w:style>
  <w:style w:type="character" w:customStyle="1" w:styleId="a4">
    <w:name w:val="טקסט הערת שוליים תו"/>
    <w:basedOn w:val="a0"/>
    <w:link w:val="a3"/>
    <w:uiPriority w:val="99"/>
    <w:semiHidden/>
    <w:rsid w:val="002D65D9"/>
    <w:rPr>
      <w:noProof/>
      <w:sz w:val="20"/>
      <w:szCs w:val="20"/>
    </w:rPr>
  </w:style>
  <w:style w:type="character" w:styleId="a5">
    <w:name w:val="footnote reference"/>
    <w:basedOn w:val="a0"/>
    <w:uiPriority w:val="99"/>
    <w:semiHidden/>
    <w:unhideWhenUsed/>
    <w:rsid w:val="002D65D9"/>
    <w:rPr>
      <w:vertAlign w:val="superscript"/>
    </w:rPr>
  </w:style>
  <w:style w:type="paragraph" w:styleId="a6">
    <w:name w:val="List Paragraph"/>
    <w:basedOn w:val="a"/>
    <w:uiPriority w:val="34"/>
    <w:qFormat/>
    <w:rsid w:val="002F7C63"/>
    <w:pPr>
      <w:ind w:left="720"/>
      <w:contextualSpacing/>
    </w:pPr>
  </w:style>
  <w:style w:type="paragraph" w:styleId="a7">
    <w:name w:val="header"/>
    <w:basedOn w:val="a"/>
    <w:link w:val="a8"/>
    <w:uiPriority w:val="99"/>
    <w:unhideWhenUsed/>
    <w:rsid w:val="00A81A5C"/>
    <w:pPr>
      <w:tabs>
        <w:tab w:val="center" w:pos="4153"/>
        <w:tab w:val="right" w:pos="8306"/>
      </w:tabs>
      <w:spacing w:after="0" w:line="240" w:lineRule="auto"/>
    </w:pPr>
  </w:style>
  <w:style w:type="character" w:customStyle="1" w:styleId="a8">
    <w:name w:val="כותרת עליונה תו"/>
    <w:basedOn w:val="a0"/>
    <w:link w:val="a7"/>
    <w:uiPriority w:val="99"/>
    <w:rsid w:val="00A81A5C"/>
    <w:rPr>
      <w:noProof/>
    </w:rPr>
  </w:style>
  <w:style w:type="paragraph" w:styleId="a9">
    <w:name w:val="footer"/>
    <w:basedOn w:val="a"/>
    <w:link w:val="aa"/>
    <w:uiPriority w:val="99"/>
    <w:unhideWhenUsed/>
    <w:rsid w:val="00A81A5C"/>
    <w:pPr>
      <w:tabs>
        <w:tab w:val="center" w:pos="4153"/>
        <w:tab w:val="right" w:pos="8306"/>
      </w:tabs>
      <w:spacing w:after="0" w:line="240" w:lineRule="auto"/>
    </w:pPr>
  </w:style>
  <w:style w:type="character" w:customStyle="1" w:styleId="aa">
    <w:name w:val="כותרת תחתונה תו"/>
    <w:basedOn w:val="a0"/>
    <w:link w:val="a9"/>
    <w:uiPriority w:val="99"/>
    <w:rsid w:val="00A81A5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3A36-8E07-4B74-9FB6-00302AC5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TotalTime>
  <Pages>5</Pages>
  <Words>1623</Words>
  <Characters>8115</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8</cp:revision>
  <dcterms:created xsi:type="dcterms:W3CDTF">2023-07-21T13:11:00Z</dcterms:created>
  <dcterms:modified xsi:type="dcterms:W3CDTF">2023-08-23T08:32:00Z</dcterms:modified>
</cp:coreProperties>
</file>