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D391" w14:textId="347282C4" w:rsidR="00E75687" w:rsidRPr="00E75687" w:rsidRDefault="00E75687" w:rsidP="00E75687">
      <w:pPr>
        <w:spacing w:after="0" w:line="360" w:lineRule="auto"/>
        <w:rPr>
          <w:rFonts w:asciiTheme="majorBidi" w:hAnsiTheme="majorBidi" w:cstheme="majorBidi"/>
          <w:sz w:val="24"/>
          <w:szCs w:val="24"/>
          <w:rtl/>
        </w:rPr>
      </w:pPr>
      <w:r w:rsidRPr="00E75687">
        <w:rPr>
          <w:rFonts w:asciiTheme="majorBidi" w:hAnsiTheme="majorBidi" w:cstheme="majorBidi"/>
          <w:sz w:val="24"/>
          <w:szCs w:val="24"/>
          <w:rtl/>
        </w:rPr>
        <w:t>מסכת בבא מציעא דף ב עמוד א</w:t>
      </w:r>
    </w:p>
    <w:p w14:paraId="63DE6AA5" w14:textId="18A6074B" w:rsidR="00E75687" w:rsidRPr="00E75687" w:rsidRDefault="00E75687" w:rsidP="00E75687">
      <w:pPr>
        <w:spacing w:after="0" w:line="360" w:lineRule="auto"/>
        <w:rPr>
          <w:rFonts w:asciiTheme="majorBidi" w:hAnsiTheme="majorBidi" w:cstheme="majorBidi"/>
          <w:sz w:val="24"/>
          <w:szCs w:val="24"/>
          <w:rtl/>
        </w:rPr>
      </w:pPr>
      <w:r w:rsidRPr="00E75687">
        <w:rPr>
          <w:rFonts w:asciiTheme="majorBidi" w:hAnsiTheme="majorBidi" w:cstheme="majorBidi"/>
          <w:sz w:val="24"/>
          <w:szCs w:val="24"/>
          <w:rtl/>
        </w:rPr>
        <w:t xml:space="preserve">בזמן שהם מודים, או שיש להן עדים - חולקין בלא שבועה.  </w:t>
      </w:r>
    </w:p>
    <w:p w14:paraId="707A84EC" w14:textId="280F6DB9" w:rsidR="00033566" w:rsidRPr="00E75687" w:rsidRDefault="00033566" w:rsidP="00E75687">
      <w:pPr>
        <w:spacing w:after="0" w:line="360" w:lineRule="auto"/>
        <w:rPr>
          <w:rFonts w:asciiTheme="majorBidi" w:hAnsiTheme="majorBidi" w:cstheme="majorBidi"/>
          <w:sz w:val="24"/>
          <w:szCs w:val="24"/>
          <w:rtl/>
        </w:rPr>
      </w:pPr>
      <w:r w:rsidRPr="00E75687">
        <w:rPr>
          <w:rFonts w:asciiTheme="majorBidi" w:hAnsiTheme="majorBidi" w:cstheme="majorBidi"/>
          <w:sz w:val="24"/>
          <w:szCs w:val="24"/>
          <w:rtl/>
        </w:rPr>
        <w:t>דף ח עמוד א</w:t>
      </w:r>
    </w:p>
    <w:p w14:paraId="55EB2067" w14:textId="274A3EC2" w:rsidR="00A82CF4" w:rsidRDefault="00033566" w:rsidP="00E75687">
      <w:pPr>
        <w:spacing w:after="0" w:line="360" w:lineRule="auto"/>
        <w:rPr>
          <w:rFonts w:asciiTheme="majorBidi" w:hAnsiTheme="majorBidi" w:cstheme="majorBidi"/>
          <w:sz w:val="24"/>
          <w:szCs w:val="24"/>
          <w:rtl/>
        </w:rPr>
      </w:pPr>
      <w:r w:rsidRPr="00E75687">
        <w:rPr>
          <w:rFonts w:asciiTheme="majorBidi" w:hAnsiTheme="majorBidi" w:cstheme="majorBidi"/>
          <w:sz w:val="24"/>
          <w:szCs w:val="24"/>
          <w:rtl/>
        </w:rPr>
        <w:t>אלא מסיפא בזמן שהן מודין או שיש להן עדים - חולקין בלא שבועה. במאי? אי במקח וממכר - צריכא למימר? אלא לאו - במציאה, ושמע מינה: המגביה מציאה לחבירו קנה חבירו. ורבא אמר לך: מגו דזכי לנפשיה זכי נמי לחבריה.</w:t>
      </w:r>
    </w:p>
    <w:p w14:paraId="0F5C89C3" w14:textId="02821A02" w:rsidR="00E75687" w:rsidRDefault="00E75687" w:rsidP="00AE0DAB">
      <w:pPr>
        <w:spacing w:after="0" w:line="360" w:lineRule="auto"/>
        <w:jc w:val="center"/>
        <w:rPr>
          <w:rFonts w:asciiTheme="majorBidi" w:hAnsiTheme="majorBidi" w:cstheme="majorBidi"/>
          <w:b/>
          <w:bCs/>
          <w:sz w:val="28"/>
          <w:szCs w:val="28"/>
          <w:u w:val="single"/>
          <w:rtl/>
        </w:rPr>
      </w:pPr>
      <w:r w:rsidRPr="00E75687">
        <w:rPr>
          <w:rFonts w:asciiTheme="majorBidi" w:hAnsiTheme="majorBidi" w:cstheme="majorBidi" w:hint="cs"/>
          <w:b/>
          <w:bCs/>
          <w:sz w:val="28"/>
          <w:szCs w:val="28"/>
          <w:u w:val="single"/>
          <w:rtl/>
        </w:rPr>
        <w:t>עדות מסייעת לאוחזים בטלית</w:t>
      </w:r>
    </w:p>
    <w:p w14:paraId="553C8456" w14:textId="29054F86" w:rsidR="00700B3B" w:rsidRPr="00AE0DAB" w:rsidRDefault="00D72D41" w:rsidP="00AE0DAB">
      <w:pPr>
        <w:spacing w:after="0" w:line="360" w:lineRule="auto"/>
        <w:rPr>
          <w:rFonts w:asciiTheme="majorBidi" w:hAnsiTheme="majorBidi" w:cs="Times New Roman"/>
          <w:sz w:val="24"/>
          <w:szCs w:val="24"/>
          <w:rtl/>
        </w:rPr>
      </w:pPr>
      <w:r>
        <w:rPr>
          <w:rFonts w:asciiTheme="majorBidi" w:hAnsiTheme="majorBidi" w:cstheme="majorBidi" w:hint="cs"/>
          <w:b/>
          <w:bCs/>
          <w:sz w:val="24"/>
          <w:szCs w:val="24"/>
          <w:rtl/>
        </w:rPr>
        <w:t>א.</w:t>
      </w:r>
      <w:r w:rsidR="00E75687" w:rsidRPr="00D72D41">
        <w:rPr>
          <w:rFonts w:asciiTheme="majorBidi" w:hAnsiTheme="majorBidi" w:cstheme="majorBidi" w:hint="cs"/>
          <w:b/>
          <w:bCs/>
          <w:sz w:val="24"/>
          <w:szCs w:val="24"/>
          <w:rtl/>
        </w:rPr>
        <w:t xml:space="preserve">החידוש </w:t>
      </w:r>
      <w:r w:rsidR="00E75687" w:rsidRPr="00D72D41">
        <w:rPr>
          <w:rFonts w:asciiTheme="majorBidi" w:hAnsiTheme="majorBidi" w:cstheme="majorBidi" w:hint="cs"/>
          <w:sz w:val="24"/>
          <w:szCs w:val="24"/>
          <w:rtl/>
        </w:rPr>
        <w:t xml:space="preserve">המשנה מבארת, שבזמן ששני בעלי הדין מודים, או שבאו </w:t>
      </w:r>
      <w:r w:rsidR="00AE78B1">
        <w:rPr>
          <w:rFonts w:asciiTheme="majorBidi" w:hAnsiTheme="majorBidi" w:cstheme="majorBidi" w:hint="cs"/>
          <w:sz w:val="24"/>
          <w:szCs w:val="24"/>
          <w:rtl/>
        </w:rPr>
        <w:t>עדים</w:t>
      </w:r>
      <w:r w:rsidR="00E75687" w:rsidRPr="00D72D41">
        <w:rPr>
          <w:rFonts w:asciiTheme="majorBidi" w:hAnsiTheme="majorBidi" w:cstheme="majorBidi" w:hint="cs"/>
          <w:sz w:val="24"/>
          <w:szCs w:val="24"/>
          <w:rtl/>
        </w:rPr>
        <w:t>, חולקים בלי שבועה. השאלה הטבעית היא, מה החידוש בהלכה זו. הסוגיה בהמשך אכן מבארת, שאם מודים שקנו יחדיו, אכן אין בכך חידוש. רמי בר חמא מציע שמדובר ששניהם מודים שהגביהו יחדיו לקנות עבור שניהם, והחידוש הוא שהמגביה מציאה לחברו קנה חברו.</w:t>
      </w:r>
      <w:r w:rsidR="00700B3B" w:rsidRPr="00D72D41">
        <w:rPr>
          <w:rFonts w:asciiTheme="majorBidi" w:hAnsiTheme="majorBidi" w:cstheme="majorBidi" w:hint="cs"/>
          <w:sz w:val="24"/>
          <w:szCs w:val="24"/>
          <w:rtl/>
        </w:rPr>
        <w:t xml:space="preserve"> ניתן להוסיף שהשבועה היא </w:t>
      </w:r>
      <w:r w:rsidR="00700B3B" w:rsidRPr="00700B3B">
        <w:rPr>
          <w:rFonts w:ascii="David" w:hAnsi="David" w:cs="David"/>
          <w:sz w:val="24"/>
          <w:szCs w:val="24"/>
          <w:rtl/>
        </w:rPr>
        <w:t>"נגד אחר שמכחישן, ואמר שהוא הגביה אותה והם חטפוה מידו</w:t>
      </w:r>
      <w:r w:rsidR="00700B3B">
        <w:rPr>
          <w:rStyle w:val="a5"/>
          <w:rFonts w:ascii="David" w:hAnsi="David" w:cs="David"/>
          <w:sz w:val="24"/>
          <w:szCs w:val="24"/>
          <w:rtl/>
        </w:rPr>
        <w:footnoteReference w:id="1"/>
      </w:r>
      <w:r w:rsidR="00700B3B" w:rsidRPr="00700B3B">
        <w:rPr>
          <w:rFonts w:ascii="David" w:hAnsi="David" w:cs="David"/>
          <w:sz w:val="24"/>
          <w:szCs w:val="24"/>
          <w:rtl/>
        </w:rPr>
        <w:t>".</w:t>
      </w:r>
      <w:r w:rsidR="00700B3B">
        <w:rPr>
          <w:rFonts w:asciiTheme="majorBidi" w:hAnsiTheme="majorBidi" w:cs="Times New Roman" w:hint="cs"/>
          <w:sz w:val="24"/>
          <w:szCs w:val="24"/>
          <w:rtl/>
        </w:rPr>
        <w:t xml:space="preserve"> </w:t>
      </w:r>
      <w:r w:rsidR="00E75687">
        <w:rPr>
          <w:rFonts w:asciiTheme="majorBidi" w:hAnsiTheme="majorBidi" w:cstheme="majorBidi" w:hint="cs"/>
          <w:sz w:val="24"/>
          <w:szCs w:val="24"/>
          <w:rtl/>
        </w:rPr>
        <w:t xml:space="preserve"> רבא חולק</w:t>
      </w:r>
      <w:r w:rsidR="00AE0DAB">
        <w:rPr>
          <w:rFonts w:asciiTheme="majorBidi" w:hAnsiTheme="majorBidi" w:cstheme="majorBidi" w:hint="cs"/>
          <w:sz w:val="24"/>
          <w:szCs w:val="24"/>
          <w:rtl/>
        </w:rPr>
        <w:t xml:space="preserve"> על רמי בר חמא</w:t>
      </w:r>
      <w:r w:rsidR="00E75687">
        <w:rPr>
          <w:rFonts w:asciiTheme="majorBidi" w:hAnsiTheme="majorBidi" w:cstheme="majorBidi" w:hint="cs"/>
          <w:sz w:val="24"/>
          <w:szCs w:val="24"/>
          <w:rtl/>
        </w:rPr>
        <w:t>, וטוען שאין להוכיח מכאן הלכה זו, כי כאן קיים גם 'מיגו דזכי לנפשיה, זכי נמי לחבריה'. אולי הכוונה שלפי רבא יש כאן חידוש, אולם הוא מוגבל למקרה שכל אחד קונה עבור עצמו. הרמב"ם בפירוש המשניות מציע שתי אפשרויות</w:t>
      </w:r>
      <w:r w:rsidR="00700B3B">
        <w:rPr>
          <w:rFonts w:asciiTheme="majorBidi" w:hAnsiTheme="majorBidi" w:cstheme="majorBidi" w:hint="cs"/>
          <w:sz w:val="24"/>
          <w:szCs w:val="24"/>
          <w:rtl/>
        </w:rPr>
        <w:t xml:space="preserve">, </w:t>
      </w:r>
      <w:r w:rsidR="00AE0DAB">
        <w:rPr>
          <w:rFonts w:asciiTheme="majorBidi" w:hAnsiTheme="majorBidi" w:cstheme="majorBidi" w:hint="cs"/>
          <w:sz w:val="24"/>
          <w:szCs w:val="24"/>
          <w:rtl/>
        </w:rPr>
        <w:t>ה</w:t>
      </w:r>
      <w:r w:rsidR="00700B3B">
        <w:rPr>
          <w:rFonts w:asciiTheme="majorBidi" w:hAnsiTheme="majorBidi" w:cstheme="majorBidi" w:hint="cs"/>
          <w:sz w:val="24"/>
          <w:szCs w:val="24"/>
          <w:rtl/>
        </w:rPr>
        <w:t>מניחות שינוי טענות לאור הראיות הנלוות</w:t>
      </w:r>
      <w:r w:rsidR="00E75687">
        <w:rPr>
          <w:rFonts w:asciiTheme="majorBidi" w:hAnsiTheme="majorBidi" w:cstheme="majorBidi" w:hint="cs"/>
          <w:sz w:val="24"/>
          <w:szCs w:val="24"/>
          <w:rtl/>
        </w:rPr>
        <w:t xml:space="preserve">: </w:t>
      </w:r>
      <w:r w:rsidR="00700B3B">
        <w:rPr>
          <w:rFonts w:ascii="David" w:hAnsi="David" w:cs="David" w:hint="cs"/>
          <w:sz w:val="24"/>
          <w:szCs w:val="24"/>
          <w:rtl/>
        </w:rPr>
        <w:t>"</w:t>
      </w:r>
      <w:r w:rsidR="00700B3B" w:rsidRPr="00700B3B">
        <w:rPr>
          <w:rFonts w:ascii="David" w:hAnsi="David" w:cs="David"/>
          <w:sz w:val="24"/>
          <w:szCs w:val="24"/>
          <w:rtl/>
        </w:rPr>
        <w:t xml:space="preserve">שאם הודו שהיתה טלית זו של שניהם בשותפות או באו עדים על כך, </w:t>
      </w:r>
      <w:r w:rsidR="00700B3B" w:rsidRPr="00700B3B">
        <w:rPr>
          <w:rFonts w:ascii="David" w:hAnsi="David" w:cs="David"/>
          <w:b/>
          <w:bCs/>
          <w:sz w:val="24"/>
          <w:szCs w:val="24"/>
          <w:rtl/>
        </w:rPr>
        <w:t>ועכשיו טוען כל אחד מהם שכבר נעשת כולה שלו אם מפני שקנה החצי או במתנה</w:t>
      </w:r>
      <w:r w:rsidR="00700B3B" w:rsidRPr="00700B3B">
        <w:rPr>
          <w:rFonts w:ascii="David" w:hAnsi="David" w:cs="David"/>
          <w:sz w:val="24"/>
          <w:szCs w:val="24"/>
          <w:rtl/>
        </w:rPr>
        <w:t>, הרי אלו חולקין שלא בשבועה, ואחר כך יטען כל אחד מהם על חברו במה שירצה, לפי שעיקר שבועה זו כדי שלא יהא כל אחד הולך ותופס בטליתו של חברו ויטול שלא בשבועה, וכיון שהודו שהיתה של שניהם בבירור או שיש עדים על כך אין מקום לתקנה זו וחולקין בלא שבועה</w:t>
      </w:r>
      <w:r w:rsidR="00700B3B">
        <w:rPr>
          <w:rFonts w:ascii="David" w:hAnsi="David" w:cs="David" w:hint="cs"/>
          <w:sz w:val="24"/>
          <w:szCs w:val="24"/>
          <w:rtl/>
        </w:rPr>
        <w:t>"</w:t>
      </w:r>
      <w:r w:rsidR="00700B3B" w:rsidRPr="00700B3B">
        <w:rPr>
          <w:rFonts w:ascii="David" w:hAnsi="David" w:cs="David"/>
          <w:sz w:val="24"/>
          <w:szCs w:val="24"/>
          <w:rtl/>
        </w:rPr>
        <w:t>.</w:t>
      </w:r>
      <w:r w:rsidR="00700B3B">
        <w:rPr>
          <w:rFonts w:asciiTheme="majorBidi" w:hAnsiTheme="majorBidi" w:cstheme="majorBidi" w:hint="cs"/>
          <w:sz w:val="24"/>
          <w:szCs w:val="24"/>
          <w:rtl/>
        </w:rPr>
        <w:t xml:space="preserve"> בתוספות יום טוב תמה, שאם </w:t>
      </w:r>
      <w:r w:rsidR="00AE0DAB">
        <w:rPr>
          <w:rFonts w:asciiTheme="majorBidi" w:hAnsiTheme="majorBidi" w:cstheme="majorBidi" w:hint="cs"/>
          <w:sz w:val="24"/>
          <w:szCs w:val="24"/>
          <w:rtl/>
        </w:rPr>
        <w:t xml:space="preserve">בעלי הדין </w:t>
      </w:r>
      <w:r w:rsidR="00700B3B">
        <w:rPr>
          <w:rFonts w:asciiTheme="majorBidi" w:hAnsiTheme="majorBidi" w:cstheme="majorBidi" w:hint="cs"/>
          <w:sz w:val="24"/>
          <w:szCs w:val="24"/>
          <w:rtl/>
        </w:rPr>
        <w:t xml:space="preserve">מסכימים אין לנו להתערב, ודבר זה פשוט גם לאחר גזר דין. כמו כן תמוה מדוע נטה הרמב"ם מהסבר החידוש לפי הגמרא. רש"י על המשנה אכן הפנה לשם. </w:t>
      </w:r>
    </w:p>
    <w:p w14:paraId="5BF73328" w14:textId="71EDF660" w:rsidR="00700B3B" w:rsidRDefault="00D72D41" w:rsidP="00E75687">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ב.</w:t>
      </w:r>
      <w:r w:rsidR="00460A23">
        <w:rPr>
          <w:rFonts w:asciiTheme="majorBidi" w:hAnsiTheme="majorBidi" w:cstheme="majorBidi" w:hint="cs"/>
          <w:b/>
          <w:bCs/>
          <w:sz w:val="24"/>
          <w:szCs w:val="24"/>
          <w:rtl/>
        </w:rPr>
        <w:t>תוכן העדות</w:t>
      </w:r>
    </w:p>
    <w:p w14:paraId="4CF76285" w14:textId="4BC88EF0" w:rsidR="00460A23" w:rsidRDefault="00460A23" w:rsidP="00460A23">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הרב יוסף דב סולובייצ'יק סוקר שני פירושים: </w:t>
      </w:r>
      <w:r w:rsidRPr="00460A23">
        <w:rPr>
          <w:rFonts w:ascii="David" w:hAnsi="David" w:cs="David"/>
          <w:sz w:val="24"/>
          <w:szCs w:val="24"/>
          <w:rtl/>
        </w:rPr>
        <w:t>"הך שיש להם עדים יש לפרשו בשני אופנים</w:t>
      </w:r>
      <w:r w:rsidR="005463D0">
        <w:rPr>
          <w:rFonts w:ascii="David" w:hAnsi="David" w:cs="David" w:hint="cs"/>
          <w:sz w:val="24"/>
          <w:szCs w:val="24"/>
          <w:rtl/>
        </w:rPr>
        <w:t>:</w:t>
      </w:r>
      <w:r w:rsidRPr="00460A23">
        <w:rPr>
          <w:rFonts w:ascii="David" w:hAnsi="David" w:cs="David"/>
          <w:sz w:val="24"/>
          <w:szCs w:val="24"/>
          <w:rtl/>
        </w:rPr>
        <w:t xml:space="preserve"> או דיש לזה שני עדים כדבריו דכולה שלו וכן לחבירו</w:t>
      </w:r>
      <w:r w:rsidR="005463D0">
        <w:rPr>
          <w:rFonts w:ascii="David" w:hAnsi="David" w:cs="David" w:hint="cs"/>
          <w:sz w:val="24"/>
          <w:szCs w:val="24"/>
          <w:rtl/>
        </w:rPr>
        <w:t>,</w:t>
      </w:r>
      <w:r w:rsidRPr="00460A23">
        <w:rPr>
          <w:rFonts w:ascii="David" w:hAnsi="David" w:cs="David"/>
          <w:sz w:val="24"/>
          <w:szCs w:val="24"/>
          <w:rtl/>
        </w:rPr>
        <w:t xml:space="preserve"> ובכה"ג חולקין</w:t>
      </w:r>
      <w:r w:rsidR="005463D0">
        <w:rPr>
          <w:rFonts w:ascii="David" w:hAnsi="David" w:cs="David" w:hint="cs"/>
          <w:sz w:val="24"/>
          <w:szCs w:val="24"/>
          <w:rtl/>
        </w:rPr>
        <w:t>,</w:t>
      </w:r>
      <w:r w:rsidRPr="00460A23">
        <w:rPr>
          <w:rFonts w:ascii="David" w:hAnsi="David" w:cs="David"/>
          <w:sz w:val="24"/>
          <w:szCs w:val="24"/>
          <w:rtl/>
        </w:rPr>
        <w:t xml:space="preserve"> או דיש שני עדים דשניהם הגביהו ביחד חולקים בלא שבועה</w:t>
      </w:r>
      <w:r w:rsidR="005463D0">
        <w:rPr>
          <w:rFonts w:ascii="David" w:hAnsi="David" w:cs="David" w:hint="cs"/>
          <w:sz w:val="24"/>
          <w:szCs w:val="24"/>
          <w:rtl/>
        </w:rPr>
        <w:t>.</w:t>
      </w:r>
      <w:r w:rsidRPr="00460A23">
        <w:rPr>
          <w:rFonts w:ascii="David" w:hAnsi="David" w:cs="David"/>
          <w:sz w:val="24"/>
          <w:szCs w:val="24"/>
          <w:rtl/>
        </w:rPr>
        <w:t xml:space="preserve"> והנה היכא דשני העדים אומרים דביחד הגביהו לכאורה הרי כל א' אומר שמעידים בשקר שהוא אומר כולה שלי ולדבריו המה פסולים ואמאי מהני עידותן לפוטרו משבועה</w:t>
      </w:r>
      <w:r w:rsidRPr="00460A23">
        <w:rPr>
          <w:rFonts w:asciiTheme="majorBidi" w:hAnsiTheme="majorBidi" w:cstheme="majorBidi"/>
          <w:sz w:val="24"/>
          <w:szCs w:val="24"/>
          <w:rtl/>
        </w:rPr>
        <w:t xml:space="preserve">? </w:t>
      </w:r>
      <w:r>
        <w:rPr>
          <w:rFonts w:asciiTheme="majorBidi" w:hAnsiTheme="majorBidi" w:cstheme="majorBidi" w:hint="cs"/>
          <w:sz w:val="24"/>
          <w:szCs w:val="24"/>
          <w:rtl/>
        </w:rPr>
        <w:t xml:space="preserve">ומתרץ: </w:t>
      </w:r>
      <w:r w:rsidRPr="00460A23">
        <w:rPr>
          <w:rFonts w:ascii="David" w:hAnsi="David" w:cs="David"/>
          <w:sz w:val="24"/>
          <w:szCs w:val="24"/>
          <w:rtl/>
        </w:rPr>
        <w:t>אף על גב דהוא פוסל אותם לגבי דידי'</w:t>
      </w:r>
      <w:r>
        <w:rPr>
          <w:rFonts w:ascii="David" w:hAnsi="David" w:cs="David" w:hint="cs"/>
          <w:sz w:val="24"/>
          <w:szCs w:val="24"/>
          <w:rtl/>
        </w:rPr>
        <w:t>,</w:t>
      </w:r>
      <w:r w:rsidRPr="00460A23">
        <w:rPr>
          <w:rFonts w:ascii="David" w:hAnsi="David" w:cs="David"/>
          <w:sz w:val="24"/>
          <w:szCs w:val="24"/>
          <w:rtl/>
        </w:rPr>
        <w:t xml:space="preserve"> מ"מ העדים כשרים לגמרי ואינם נפסלים בהכחשת הבע"ד וא"כ </w:t>
      </w:r>
      <w:r w:rsidRPr="00460A23">
        <w:rPr>
          <w:rFonts w:ascii="David" w:hAnsi="David" w:cs="David"/>
          <w:b/>
          <w:bCs/>
          <w:sz w:val="24"/>
          <w:szCs w:val="24"/>
          <w:rtl/>
        </w:rPr>
        <w:t>לב"ד הדבר ברור</w:t>
      </w:r>
      <w:r w:rsidRPr="00460A23">
        <w:rPr>
          <w:rFonts w:ascii="David" w:hAnsi="David" w:cs="David"/>
          <w:sz w:val="24"/>
          <w:szCs w:val="24"/>
          <w:rtl/>
        </w:rPr>
        <w:t xml:space="preserve"> שיש לו מחצה וכיון דכל עיקר שבועה זו היא תקנת חכמים שלא יהי' תוקף בטליתו של חבירו וכיון דלב"ד מבורר הדבר</w:t>
      </w:r>
      <w:r w:rsidR="00AE0DAB">
        <w:rPr>
          <w:rFonts w:ascii="David" w:hAnsi="David" w:cs="David" w:hint="cs"/>
          <w:sz w:val="24"/>
          <w:szCs w:val="24"/>
          <w:rtl/>
        </w:rPr>
        <w:t>,</w:t>
      </w:r>
      <w:r w:rsidRPr="00460A23">
        <w:rPr>
          <w:rFonts w:ascii="David" w:hAnsi="David" w:cs="David"/>
          <w:sz w:val="24"/>
          <w:szCs w:val="24"/>
          <w:rtl/>
        </w:rPr>
        <w:t xml:space="preserve"> הא לא שייך כאן תקנה כלל שיתקנו שבועה בכה"ג. ועוד דהכא </w:t>
      </w:r>
      <w:r w:rsidRPr="00460A23">
        <w:rPr>
          <w:rFonts w:ascii="David" w:hAnsi="David" w:cs="David"/>
          <w:b/>
          <w:bCs/>
          <w:sz w:val="24"/>
          <w:szCs w:val="24"/>
          <w:rtl/>
        </w:rPr>
        <w:t>לא חשיבא הכחשה גמורה</w:t>
      </w:r>
      <w:r w:rsidRPr="00460A23">
        <w:rPr>
          <w:rFonts w:ascii="David" w:hAnsi="David" w:cs="David"/>
          <w:sz w:val="24"/>
          <w:szCs w:val="24"/>
          <w:rtl/>
        </w:rPr>
        <w:t xml:space="preserve"> דתלינן דהוא טועה וסובר </w:t>
      </w:r>
      <w:r w:rsidRPr="00460A23">
        <w:rPr>
          <w:rFonts w:ascii="David" w:hAnsi="David" w:cs="David"/>
          <w:sz w:val="24"/>
          <w:szCs w:val="24"/>
          <w:rtl/>
        </w:rPr>
        <w:lastRenderedPageBreak/>
        <w:t>דבעצמו הגביהה</w:t>
      </w:r>
      <w:r w:rsidRPr="00460A23">
        <w:rPr>
          <w:rStyle w:val="a5"/>
          <w:rFonts w:ascii="David" w:hAnsi="David" w:cs="David"/>
          <w:sz w:val="24"/>
          <w:szCs w:val="24"/>
          <w:rtl/>
        </w:rPr>
        <w:footnoteReference w:id="2"/>
      </w:r>
      <w:r w:rsidR="005463D0">
        <w:rPr>
          <w:rFonts w:ascii="David" w:hAnsi="David" w:cs="David" w:hint="cs"/>
          <w:sz w:val="24"/>
          <w:szCs w:val="24"/>
          <w:rtl/>
        </w:rPr>
        <w:t>"</w:t>
      </w:r>
      <w:r>
        <w:rPr>
          <w:rFonts w:ascii="David" w:hAnsi="David" w:cs="David" w:hint="cs"/>
          <w:sz w:val="24"/>
          <w:szCs w:val="24"/>
          <w:rtl/>
        </w:rPr>
        <w:t>.</w:t>
      </w:r>
      <w:r w:rsidR="005463D0">
        <w:rPr>
          <w:rFonts w:asciiTheme="majorBidi" w:hAnsiTheme="majorBidi" w:cstheme="majorBidi" w:hint="cs"/>
          <w:sz w:val="24"/>
          <w:szCs w:val="24"/>
          <w:rtl/>
        </w:rPr>
        <w:t xml:space="preserve"> בשער משפט הציע, שמאחר שהוא טוען שכולה שלו, ולפי ה</w:t>
      </w:r>
      <w:r w:rsidR="00AE78B1">
        <w:rPr>
          <w:rFonts w:asciiTheme="majorBidi" w:hAnsiTheme="majorBidi" w:cstheme="majorBidi" w:hint="cs"/>
          <w:sz w:val="24"/>
          <w:szCs w:val="24"/>
          <w:rtl/>
        </w:rPr>
        <w:t>עדים</w:t>
      </w:r>
      <w:r w:rsidR="005463D0">
        <w:rPr>
          <w:rFonts w:asciiTheme="majorBidi" w:hAnsiTheme="majorBidi" w:cstheme="majorBidi" w:hint="cs"/>
          <w:sz w:val="24"/>
          <w:szCs w:val="24"/>
          <w:rtl/>
        </w:rPr>
        <w:t xml:space="preserve"> חציה שלו, הרי שבכלל מאתיים מנה ואין עדות כזו נקראת סותרת</w:t>
      </w:r>
      <w:r w:rsidR="005463D0">
        <w:rPr>
          <w:rStyle w:val="a5"/>
          <w:rFonts w:asciiTheme="majorBidi" w:hAnsiTheme="majorBidi" w:cstheme="majorBidi"/>
          <w:sz w:val="24"/>
          <w:szCs w:val="24"/>
          <w:rtl/>
        </w:rPr>
        <w:footnoteReference w:id="3"/>
      </w:r>
      <w:r w:rsidR="005463D0">
        <w:rPr>
          <w:rFonts w:asciiTheme="majorBidi" w:hAnsiTheme="majorBidi" w:cstheme="majorBidi" w:hint="cs"/>
          <w:sz w:val="24"/>
          <w:szCs w:val="24"/>
          <w:rtl/>
        </w:rPr>
        <w:t>. הרש"ש אימץ את הפירוש הראשון:</w:t>
      </w:r>
    </w:p>
    <w:p w14:paraId="015FB936" w14:textId="6185F1C3" w:rsidR="00B557AA" w:rsidRDefault="005463D0" w:rsidP="00B557AA">
      <w:pPr>
        <w:spacing w:after="0" w:line="360" w:lineRule="auto"/>
        <w:rPr>
          <w:rFonts w:ascii="David" w:hAnsi="David" w:cs="David"/>
          <w:sz w:val="24"/>
          <w:szCs w:val="24"/>
          <w:rtl/>
        </w:rPr>
      </w:pPr>
      <w:r>
        <w:rPr>
          <w:rFonts w:ascii="David" w:hAnsi="David" w:cs="David" w:hint="cs"/>
          <w:sz w:val="24"/>
          <w:szCs w:val="24"/>
          <w:rtl/>
        </w:rPr>
        <w:t>,</w:t>
      </w:r>
      <w:r w:rsidRPr="00E75687">
        <w:rPr>
          <w:rFonts w:ascii="David" w:hAnsi="David" w:cs="David"/>
          <w:sz w:val="24"/>
          <w:szCs w:val="24"/>
          <w:rtl/>
        </w:rPr>
        <w:t xml:space="preserve">הכונה שכ"א הביא עדים שהיא כולה שלו. ואף שהעלה הש"ך </w:t>
      </w:r>
      <w:r w:rsidRPr="005463D0">
        <w:rPr>
          <w:rFonts w:ascii="David" w:hAnsi="David" w:cs="David"/>
          <w:sz w:val="18"/>
          <w:szCs w:val="18"/>
          <w:rtl/>
        </w:rPr>
        <w:t>בס' פ"ז סקט"ו</w:t>
      </w:r>
      <w:r w:rsidRPr="00E75687">
        <w:rPr>
          <w:rFonts w:ascii="David" w:hAnsi="David" w:cs="David"/>
          <w:sz w:val="24"/>
          <w:szCs w:val="24"/>
          <w:rtl/>
        </w:rPr>
        <w:t xml:space="preserve"> דבכה"ג סלקינן עדותייהו ואי הוה חייב שבועה (אפי' היסת) בלא הם </w:t>
      </w:r>
      <w:r>
        <w:rPr>
          <w:rFonts w:ascii="David" w:hAnsi="David" w:cs="David" w:hint="cs"/>
          <w:sz w:val="24"/>
          <w:szCs w:val="24"/>
          <w:rtl/>
        </w:rPr>
        <w:t>-</w:t>
      </w:r>
      <w:r w:rsidRPr="00E75687">
        <w:rPr>
          <w:rFonts w:ascii="David" w:hAnsi="David" w:cs="David"/>
          <w:sz w:val="24"/>
          <w:szCs w:val="24"/>
          <w:rtl/>
        </w:rPr>
        <w:t xml:space="preserve">השתא נמי מישתבע. מ"מ הכא </w:t>
      </w:r>
      <w:r w:rsidRPr="005463D0">
        <w:rPr>
          <w:rFonts w:ascii="David" w:hAnsi="David" w:cs="David"/>
          <w:b/>
          <w:bCs/>
          <w:sz w:val="24"/>
          <w:szCs w:val="24"/>
          <w:rtl/>
        </w:rPr>
        <w:t>דכל שבועה זו תק"ח היא</w:t>
      </w:r>
      <w:r w:rsidRPr="00E75687">
        <w:rPr>
          <w:rFonts w:ascii="David" w:hAnsi="David" w:cs="David"/>
          <w:sz w:val="24"/>
          <w:szCs w:val="24"/>
          <w:rtl/>
        </w:rPr>
        <w:t xml:space="preserve"> שלא יהא כאו"א הולך ותוקף כו' </w:t>
      </w:r>
      <w:r w:rsidRPr="005463D0">
        <w:rPr>
          <w:rFonts w:ascii="David" w:hAnsi="David" w:cs="David"/>
          <w:b/>
          <w:bCs/>
          <w:sz w:val="24"/>
          <w:szCs w:val="24"/>
          <w:rtl/>
        </w:rPr>
        <w:t>במידי דלא שכיח</w:t>
      </w:r>
      <w:r w:rsidRPr="00E75687">
        <w:rPr>
          <w:rFonts w:ascii="David" w:hAnsi="David" w:cs="David"/>
          <w:sz w:val="24"/>
          <w:szCs w:val="24"/>
          <w:rtl/>
        </w:rPr>
        <w:t xml:space="preserve"> כהאי שיביא עוד עדי שקרים </w:t>
      </w:r>
      <w:r>
        <w:rPr>
          <w:rFonts w:ascii="David" w:hAnsi="David" w:cs="David" w:hint="cs"/>
          <w:sz w:val="24"/>
          <w:szCs w:val="24"/>
          <w:rtl/>
        </w:rPr>
        <w:t xml:space="preserve">- </w:t>
      </w:r>
      <w:r w:rsidRPr="00E75687">
        <w:rPr>
          <w:rFonts w:ascii="David" w:hAnsi="David" w:cs="David"/>
          <w:sz w:val="24"/>
          <w:szCs w:val="24"/>
          <w:rtl/>
        </w:rPr>
        <w:t>ע"ז לא תקנו חכמים</w:t>
      </w:r>
      <w:r w:rsidR="002B218C">
        <w:rPr>
          <w:rStyle w:val="a5"/>
          <w:rFonts w:ascii="David" w:hAnsi="David" w:cs="David"/>
          <w:sz w:val="24"/>
          <w:szCs w:val="24"/>
          <w:rtl/>
        </w:rPr>
        <w:footnoteReference w:id="4"/>
      </w:r>
      <w:r>
        <w:rPr>
          <w:rFonts w:ascii="David" w:hAnsi="David" w:cs="David" w:hint="cs"/>
          <w:sz w:val="24"/>
          <w:szCs w:val="24"/>
          <w:rtl/>
        </w:rPr>
        <w:t>"</w:t>
      </w:r>
      <w:r w:rsidRPr="00E75687">
        <w:rPr>
          <w:rFonts w:ascii="David" w:hAnsi="David" w:cs="David"/>
          <w:sz w:val="24"/>
          <w:szCs w:val="24"/>
          <w:rtl/>
        </w:rPr>
        <w:t>.</w:t>
      </w:r>
      <w:r w:rsidR="00B557AA">
        <w:rPr>
          <w:rFonts w:ascii="David" w:hAnsi="David" w:cs="David" w:hint="cs"/>
          <w:sz w:val="24"/>
          <w:szCs w:val="24"/>
          <w:rtl/>
        </w:rPr>
        <w:t xml:space="preserve"> </w:t>
      </w:r>
      <w:r w:rsidR="00B557AA">
        <w:rPr>
          <w:rFonts w:asciiTheme="majorBidi" w:hAnsiTheme="majorBidi" w:cstheme="majorBidi" w:hint="cs"/>
          <w:sz w:val="24"/>
          <w:szCs w:val="24"/>
          <w:rtl/>
        </w:rPr>
        <w:t xml:space="preserve">עדיין ניתן לתמוה: </w:t>
      </w:r>
      <w:r w:rsidR="00B557AA">
        <w:rPr>
          <w:rFonts w:ascii="David" w:hAnsi="David" w:cs="David" w:hint="cs"/>
          <w:sz w:val="24"/>
          <w:szCs w:val="24"/>
          <w:rtl/>
        </w:rPr>
        <w:t>"</w:t>
      </w:r>
      <w:r w:rsidR="00B557AA" w:rsidRPr="00E75687">
        <w:rPr>
          <w:rFonts w:ascii="David" w:hAnsi="David" w:cs="David"/>
          <w:sz w:val="24"/>
          <w:szCs w:val="24"/>
          <w:rtl/>
        </w:rPr>
        <w:t xml:space="preserve">לכאורה נהי דשבועת המשנה לא תיקנו בכה"ג, </w:t>
      </w:r>
    </w:p>
    <w:p w14:paraId="5050FCCC" w14:textId="68205D0F" w:rsidR="00B557AA" w:rsidRPr="00E75687" w:rsidRDefault="00B557AA" w:rsidP="00B557AA">
      <w:pPr>
        <w:spacing w:after="0" w:line="360" w:lineRule="auto"/>
        <w:rPr>
          <w:rFonts w:ascii="David" w:hAnsi="David" w:cs="David"/>
          <w:sz w:val="24"/>
          <w:szCs w:val="24"/>
          <w:rtl/>
        </w:rPr>
      </w:pPr>
      <w:r w:rsidRPr="00E75687">
        <w:rPr>
          <w:rFonts w:ascii="David" w:hAnsi="David" w:cs="David"/>
          <w:sz w:val="24"/>
          <w:szCs w:val="24"/>
          <w:rtl/>
        </w:rPr>
        <w:t>מ"מ מ"ט לא יתחייב שבועת היסת</w:t>
      </w:r>
      <w:r w:rsidR="00AE0DAB">
        <w:rPr>
          <w:rFonts w:ascii="David" w:hAnsi="David" w:cs="David" w:hint="cs"/>
          <w:sz w:val="24"/>
          <w:szCs w:val="24"/>
          <w:rtl/>
        </w:rPr>
        <w:t>,</w:t>
      </w:r>
      <w:r w:rsidRPr="00E75687">
        <w:rPr>
          <w:rFonts w:ascii="David" w:hAnsi="David" w:cs="David"/>
          <w:sz w:val="24"/>
          <w:szCs w:val="24"/>
          <w:rtl/>
        </w:rPr>
        <w:t xml:space="preserve"> דהא כתב בפנ"י </w:t>
      </w:r>
      <w:r w:rsidRPr="00B557AA">
        <w:rPr>
          <w:rFonts w:ascii="David" w:hAnsi="David" w:cs="David"/>
          <w:sz w:val="18"/>
          <w:szCs w:val="18"/>
          <w:rtl/>
        </w:rPr>
        <w:t>(ד"ה בא"ד ואינו נאמן)</w:t>
      </w:r>
      <w:r w:rsidRPr="00E75687">
        <w:rPr>
          <w:rFonts w:ascii="David" w:hAnsi="David" w:cs="David"/>
          <w:sz w:val="24"/>
          <w:szCs w:val="24"/>
          <w:rtl/>
        </w:rPr>
        <w:t xml:space="preserve"> דבזמן המשנה כבר נתקנה שבועת היסת, וא"כ מ"ט כשיש תו"ת חולקין בלא שבועה כלל.</w:t>
      </w:r>
    </w:p>
    <w:p w14:paraId="25D5A940" w14:textId="1B204D2B" w:rsidR="005463D0" w:rsidRDefault="00B557AA" w:rsidP="00B557AA">
      <w:pPr>
        <w:spacing w:after="0" w:line="360" w:lineRule="auto"/>
        <w:rPr>
          <w:rFonts w:ascii="David" w:hAnsi="David" w:cs="David"/>
          <w:sz w:val="24"/>
          <w:szCs w:val="24"/>
          <w:rtl/>
        </w:rPr>
      </w:pPr>
      <w:r w:rsidRPr="00E75687">
        <w:rPr>
          <w:rFonts w:ascii="David" w:hAnsi="David" w:cs="David"/>
          <w:sz w:val="24"/>
          <w:szCs w:val="24"/>
          <w:rtl/>
        </w:rPr>
        <w:t xml:space="preserve">ואפשר </w:t>
      </w:r>
      <w:r w:rsidRPr="00B557AA">
        <w:rPr>
          <w:rFonts w:ascii="David" w:hAnsi="David" w:cs="David"/>
          <w:b/>
          <w:bCs/>
          <w:sz w:val="24"/>
          <w:szCs w:val="24"/>
          <w:rtl/>
        </w:rPr>
        <w:t>דשבועת היסת שייך רק על מה שתפוס בידו ממש</w:t>
      </w:r>
      <w:r w:rsidRPr="00E75687">
        <w:rPr>
          <w:rFonts w:ascii="David" w:hAnsi="David" w:cs="David"/>
          <w:sz w:val="24"/>
          <w:szCs w:val="24"/>
          <w:rtl/>
        </w:rPr>
        <w:t xml:space="preserve"> דכיון דנוטל מחמת תפיסתו הוי בזה דין נשבע ונפטר, ושייך ע"ז היסת, אבל השאר שאינו בידו </w:t>
      </w:r>
      <w:r w:rsidRPr="00B557AA">
        <w:rPr>
          <w:rFonts w:ascii="David" w:hAnsi="David" w:cs="David"/>
          <w:b/>
          <w:bCs/>
          <w:sz w:val="24"/>
          <w:szCs w:val="24"/>
          <w:rtl/>
        </w:rPr>
        <w:t>דנוטל רק מחמת דין יחלוקו</w:t>
      </w:r>
      <w:r w:rsidR="00AE0DAB">
        <w:rPr>
          <w:rFonts w:ascii="David" w:hAnsi="David" w:cs="David" w:hint="cs"/>
          <w:b/>
          <w:bCs/>
          <w:sz w:val="24"/>
          <w:szCs w:val="24"/>
          <w:rtl/>
        </w:rPr>
        <w:t>-</w:t>
      </w:r>
      <w:r w:rsidRPr="00B557AA">
        <w:rPr>
          <w:rFonts w:ascii="David" w:hAnsi="David" w:cs="David"/>
          <w:b/>
          <w:bCs/>
          <w:sz w:val="24"/>
          <w:szCs w:val="24"/>
          <w:rtl/>
        </w:rPr>
        <w:t xml:space="preserve"> לא הוי ע"ז דין נפטר, ולא שייך בזה היסת, אלא רק שבועת המשנה, וכיון דבת</w:t>
      </w:r>
      <w:r w:rsidR="00AE0DAB">
        <w:rPr>
          <w:rFonts w:ascii="David" w:hAnsi="David" w:cs="David" w:hint="cs"/>
          <w:b/>
          <w:bCs/>
          <w:sz w:val="24"/>
          <w:szCs w:val="24"/>
          <w:rtl/>
        </w:rPr>
        <w:t>רי ותרי</w:t>
      </w:r>
      <w:r w:rsidRPr="00B557AA">
        <w:rPr>
          <w:rFonts w:ascii="David" w:hAnsi="David" w:cs="David"/>
          <w:b/>
          <w:bCs/>
          <w:sz w:val="24"/>
          <w:szCs w:val="24"/>
          <w:rtl/>
        </w:rPr>
        <w:t xml:space="preserve"> לא שכיח, לא תיקנו וחולקין בלא שבועה.</w:t>
      </w:r>
      <w:r>
        <w:rPr>
          <w:rFonts w:ascii="David" w:hAnsi="David" w:cs="David" w:hint="cs"/>
          <w:sz w:val="24"/>
          <w:szCs w:val="24"/>
          <w:rtl/>
        </w:rPr>
        <w:t xml:space="preserve">    </w:t>
      </w:r>
      <w:r w:rsidRPr="00E75687">
        <w:rPr>
          <w:rFonts w:ascii="David" w:hAnsi="David" w:cs="David"/>
          <w:sz w:val="24"/>
          <w:szCs w:val="24"/>
          <w:rtl/>
        </w:rPr>
        <w:t>אכן זה דוחק דא"כ נמצא דהא דתנן דבזמן שיש להם עדים חולקין בלא שבועה היינו רק על השאר, אבל על מה שבידו עד היכן שידו מגעת, יהא באמת חיוב שבועת היסת אף ביש להם עדים, ומלשון המשנה לא משמע כן, דמשמע דליכא שבועה כלל וצ"ע</w:t>
      </w:r>
      <w:r>
        <w:rPr>
          <w:rStyle w:val="a5"/>
          <w:rFonts w:ascii="David" w:hAnsi="David" w:cs="David"/>
          <w:sz w:val="24"/>
          <w:szCs w:val="24"/>
          <w:rtl/>
        </w:rPr>
        <w:footnoteReference w:id="5"/>
      </w:r>
      <w:r>
        <w:rPr>
          <w:rFonts w:ascii="David" w:hAnsi="David" w:cs="David" w:hint="cs"/>
          <w:sz w:val="24"/>
          <w:szCs w:val="24"/>
          <w:rtl/>
        </w:rPr>
        <w:t>"</w:t>
      </w:r>
      <w:r w:rsidRPr="00E75687">
        <w:rPr>
          <w:rFonts w:ascii="David" w:hAnsi="David" w:cs="David"/>
          <w:sz w:val="24"/>
          <w:szCs w:val="24"/>
          <w:rtl/>
        </w:rPr>
        <w:t>.</w:t>
      </w:r>
    </w:p>
    <w:p w14:paraId="749F2B4F" w14:textId="2D2F5BCC" w:rsidR="002B218C" w:rsidRPr="002B218C" w:rsidRDefault="00D72D41" w:rsidP="005463D0">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ג.</w:t>
      </w:r>
      <w:r w:rsidR="002B218C">
        <w:rPr>
          <w:rFonts w:asciiTheme="majorBidi" w:hAnsiTheme="majorBidi" w:cstheme="majorBidi" w:hint="cs"/>
          <w:b/>
          <w:bCs/>
          <w:sz w:val="24"/>
          <w:szCs w:val="24"/>
          <w:rtl/>
        </w:rPr>
        <w:t>עד אחד</w:t>
      </w:r>
    </w:p>
    <w:p w14:paraId="6E826250" w14:textId="7CC3F1C2" w:rsidR="00B557AA" w:rsidRPr="00D72D41" w:rsidRDefault="002B218C" w:rsidP="00D72D41">
      <w:pPr>
        <w:spacing w:after="0" w:line="360" w:lineRule="auto"/>
        <w:rPr>
          <w:rFonts w:asciiTheme="majorBidi" w:hAnsiTheme="majorBidi" w:cstheme="majorBidi"/>
          <w:sz w:val="24"/>
          <w:szCs w:val="24"/>
          <w:rtl/>
        </w:rPr>
      </w:pPr>
      <w:r w:rsidRPr="002B218C">
        <w:rPr>
          <w:rFonts w:asciiTheme="majorBidi" w:hAnsiTheme="majorBidi" w:cstheme="majorBidi"/>
          <w:sz w:val="24"/>
          <w:szCs w:val="24"/>
          <w:rtl/>
        </w:rPr>
        <w:t xml:space="preserve">כתב </w:t>
      </w:r>
      <w:r w:rsidR="00076C5A" w:rsidRPr="002B218C">
        <w:rPr>
          <w:rFonts w:asciiTheme="majorBidi" w:hAnsiTheme="majorBidi" w:cstheme="majorBidi"/>
          <w:sz w:val="24"/>
          <w:szCs w:val="24"/>
          <w:rtl/>
        </w:rPr>
        <w:t>רבי עקיבא איגר</w:t>
      </w:r>
      <w:r w:rsidRPr="002B218C">
        <w:rPr>
          <w:rFonts w:asciiTheme="majorBidi" w:hAnsiTheme="majorBidi" w:cstheme="majorBidi"/>
          <w:sz w:val="24"/>
          <w:szCs w:val="24"/>
          <w:rtl/>
        </w:rPr>
        <w:t>:</w:t>
      </w:r>
      <w:r>
        <w:rPr>
          <w:rFonts w:asciiTheme="majorBidi" w:hAnsiTheme="majorBidi" w:cstheme="majorBidi" w:hint="cs"/>
          <w:sz w:val="24"/>
          <w:szCs w:val="24"/>
          <w:rtl/>
        </w:rPr>
        <w:t xml:space="preserve"> "</w:t>
      </w:r>
      <w:r w:rsidR="00076C5A" w:rsidRPr="00E75687">
        <w:rPr>
          <w:rFonts w:ascii="David" w:hAnsi="David" w:cs="David"/>
          <w:sz w:val="24"/>
          <w:szCs w:val="24"/>
          <w:rtl/>
        </w:rPr>
        <w:t xml:space="preserve">להפוסקים הסוברים דעד מסייע פוטר משבועה. צ"ל </w:t>
      </w:r>
      <w:r w:rsidR="00076C5A" w:rsidRPr="002B218C">
        <w:rPr>
          <w:rFonts w:ascii="David" w:hAnsi="David" w:cs="David"/>
          <w:b/>
          <w:bCs/>
          <w:sz w:val="24"/>
          <w:szCs w:val="24"/>
          <w:rtl/>
        </w:rPr>
        <w:t>דעדים לאו דוקא</w:t>
      </w:r>
      <w:r w:rsidR="00AE0DAB">
        <w:rPr>
          <w:rFonts w:ascii="David" w:hAnsi="David" w:cs="David" w:hint="cs"/>
          <w:b/>
          <w:bCs/>
          <w:sz w:val="24"/>
          <w:szCs w:val="24"/>
          <w:rtl/>
        </w:rPr>
        <w:t>,</w:t>
      </w:r>
      <w:r w:rsidR="00076C5A" w:rsidRPr="002B218C">
        <w:rPr>
          <w:rFonts w:ascii="David" w:hAnsi="David" w:cs="David"/>
          <w:b/>
          <w:bCs/>
          <w:sz w:val="24"/>
          <w:szCs w:val="24"/>
          <w:rtl/>
        </w:rPr>
        <w:t xml:space="preserve"> דהא בע"א ג"כ חולקים בלא שבועה</w:t>
      </w:r>
      <w:r w:rsidR="00076C5A" w:rsidRPr="00E75687">
        <w:rPr>
          <w:rFonts w:ascii="David" w:hAnsi="David" w:cs="David"/>
          <w:sz w:val="24"/>
          <w:szCs w:val="24"/>
          <w:rtl/>
        </w:rPr>
        <w:t>, אלא עדים היינו עדות המועלת</w:t>
      </w:r>
      <w:r>
        <w:rPr>
          <w:rFonts w:ascii="David" w:hAnsi="David" w:cs="David" w:hint="cs"/>
          <w:sz w:val="24"/>
          <w:szCs w:val="24"/>
          <w:rtl/>
        </w:rPr>
        <w:t>".</w:t>
      </w:r>
      <w:r>
        <w:rPr>
          <w:rFonts w:asciiTheme="majorBidi" w:hAnsiTheme="majorBidi" w:cstheme="majorBidi" w:hint="cs"/>
          <w:sz w:val="24"/>
          <w:szCs w:val="24"/>
          <w:rtl/>
        </w:rPr>
        <w:t xml:space="preserve"> </w:t>
      </w:r>
      <w:r w:rsidR="00B557AA">
        <w:rPr>
          <w:rFonts w:asciiTheme="majorBidi" w:hAnsiTheme="majorBidi" w:cstheme="majorBidi" w:hint="cs"/>
          <w:sz w:val="24"/>
          <w:szCs w:val="24"/>
          <w:rtl/>
        </w:rPr>
        <w:t>בשער המשפט</w:t>
      </w:r>
      <w:r w:rsidR="00B557AA">
        <w:rPr>
          <w:rStyle w:val="a5"/>
          <w:rFonts w:asciiTheme="majorBidi" w:hAnsiTheme="majorBidi" w:cstheme="majorBidi"/>
          <w:sz w:val="24"/>
          <w:szCs w:val="24"/>
          <w:rtl/>
        </w:rPr>
        <w:footnoteReference w:id="6"/>
      </w:r>
      <w:r w:rsidR="00B557AA">
        <w:rPr>
          <w:rFonts w:asciiTheme="majorBidi" w:hAnsiTheme="majorBidi" w:cstheme="majorBidi" w:hint="cs"/>
          <w:sz w:val="24"/>
          <w:szCs w:val="24"/>
          <w:rtl/>
        </w:rPr>
        <w:t xml:space="preserve"> סבר שכאן עד אחד אינו פוטר, מאחר שדבריו סותרים את טענת בעל הדין שכולה שלו. </w:t>
      </w:r>
      <w:r w:rsidR="00D72D41">
        <w:rPr>
          <w:rFonts w:asciiTheme="majorBidi" w:hAnsiTheme="majorBidi" w:cstheme="majorBidi" w:hint="cs"/>
          <w:sz w:val="24"/>
          <w:szCs w:val="24"/>
          <w:rtl/>
        </w:rPr>
        <w:t xml:space="preserve">אמנם, אם נפרש שהעדים העידו שלכל אחד מהם יש חצי, אין כל סתירה בין העד לבין בעל הדין, ויתקיים דינו של רע"א שעד אחד יפטור משבועה. </w:t>
      </w:r>
      <w:r>
        <w:rPr>
          <w:rFonts w:asciiTheme="majorBidi" w:hAnsiTheme="majorBidi" w:cstheme="majorBidi" w:hint="cs"/>
          <w:sz w:val="24"/>
          <w:szCs w:val="24"/>
          <w:rtl/>
        </w:rPr>
        <w:t>הרש"ש הסתפק אם לקבל את הדברים:  "</w:t>
      </w:r>
      <w:r w:rsidR="00076C5A" w:rsidRPr="00E75687">
        <w:rPr>
          <w:rFonts w:ascii="David" w:hAnsi="David" w:cs="David"/>
          <w:sz w:val="24"/>
          <w:szCs w:val="24"/>
          <w:rtl/>
        </w:rPr>
        <w:t>ובדאיכא ע"א לכאו"א אנכי מסתפק. דאף להפוס</w:t>
      </w:r>
      <w:r w:rsidR="00AE0DAB">
        <w:rPr>
          <w:rFonts w:ascii="David" w:hAnsi="David" w:cs="David" w:hint="cs"/>
          <w:sz w:val="24"/>
          <w:szCs w:val="24"/>
          <w:rtl/>
        </w:rPr>
        <w:t>קים</w:t>
      </w:r>
      <w:r w:rsidR="00076C5A" w:rsidRPr="00E75687">
        <w:rPr>
          <w:rFonts w:ascii="David" w:hAnsi="David" w:cs="David"/>
          <w:sz w:val="24"/>
          <w:szCs w:val="24"/>
          <w:rtl/>
        </w:rPr>
        <w:t xml:space="preserve"> דעד המסייע פוטר משבועה </w:t>
      </w:r>
      <w:r w:rsidR="00076C5A" w:rsidRPr="002B218C">
        <w:rPr>
          <w:rFonts w:ascii="David" w:hAnsi="David" w:cs="David"/>
          <w:sz w:val="18"/>
          <w:szCs w:val="18"/>
          <w:rtl/>
        </w:rPr>
        <w:t>(עי' לקמן בתד"ה וליחזי)</w:t>
      </w:r>
      <w:r w:rsidR="00076C5A" w:rsidRPr="00E75687">
        <w:rPr>
          <w:rFonts w:ascii="David" w:hAnsi="David" w:cs="David"/>
          <w:sz w:val="24"/>
          <w:szCs w:val="24"/>
          <w:rtl/>
        </w:rPr>
        <w:t xml:space="preserve"> מ"מ כיון דיש אחר כנגד המכחישו הוה כמאן דליתי'</w:t>
      </w:r>
      <w:r>
        <w:rPr>
          <w:rFonts w:ascii="David" w:hAnsi="David" w:cs="David" w:hint="cs"/>
          <w:sz w:val="24"/>
          <w:szCs w:val="24"/>
          <w:rtl/>
        </w:rPr>
        <w:t>,</w:t>
      </w:r>
      <w:r w:rsidR="00076C5A" w:rsidRPr="00E75687">
        <w:rPr>
          <w:rFonts w:ascii="David" w:hAnsi="David" w:cs="David"/>
          <w:sz w:val="24"/>
          <w:szCs w:val="24"/>
          <w:rtl/>
        </w:rPr>
        <w:t xml:space="preserve"> וכדעת הש"ך שם. ואשר ע"כ אנכי תמה על הא דנתקשה בתור"ע על דעה זו מדוע תני עדים ל</w:t>
      </w:r>
      <w:r w:rsidR="00AE0DAB">
        <w:rPr>
          <w:rFonts w:ascii="David" w:hAnsi="David" w:cs="David" w:hint="cs"/>
          <w:sz w:val="24"/>
          <w:szCs w:val="24"/>
          <w:rtl/>
        </w:rPr>
        <w:t>שון רבים</w:t>
      </w:r>
      <w:r w:rsidR="00076C5A" w:rsidRPr="00E75687">
        <w:rPr>
          <w:rFonts w:ascii="David" w:hAnsi="David" w:cs="David"/>
          <w:sz w:val="24"/>
          <w:szCs w:val="24"/>
          <w:rtl/>
        </w:rPr>
        <w:t xml:space="preserve"> ע"ש. וגם י"ל </w:t>
      </w:r>
      <w:r w:rsidR="00076C5A" w:rsidRPr="002B218C">
        <w:rPr>
          <w:rFonts w:ascii="David" w:hAnsi="David" w:cs="David"/>
          <w:b/>
          <w:bCs/>
          <w:sz w:val="24"/>
          <w:szCs w:val="24"/>
          <w:rtl/>
        </w:rPr>
        <w:t>דנקיט עדים משום דלכאו"א יש עד</w:t>
      </w:r>
      <w:r w:rsidR="00076C5A" w:rsidRPr="00E75687">
        <w:rPr>
          <w:rFonts w:ascii="David" w:hAnsi="David" w:cs="David"/>
          <w:sz w:val="24"/>
          <w:szCs w:val="24"/>
          <w:rtl/>
        </w:rPr>
        <w:t xml:space="preserve"> וה"ל ביחד שני</w:t>
      </w:r>
      <w:r>
        <w:rPr>
          <w:rFonts w:ascii="David" w:hAnsi="David" w:cs="David" w:hint="cs"/>
          <w:sz w:val="24"/>
          <w:szCs w:val="24"/>
          <w:rtl/>
        </w:rPr>
        <w:t xml:space="preserve">ם". </w:t>
      </w:r>
      <w:r>
        <w:rPr>
          <w:rFonts w:asciiTheme="majorBidi" w:hAnsiTheme="majorBidi" w:cstheme="majorBidi" w:hint="cs"/>
          <w:sz w:val="24"/>
          <w:szCs w:val="24"/>
          <w:rtl/>
        </w:rPr>
        <w:t xml:space="preserve"> ניתן להציע הסבר </w:t>
      </w:r>
      <w:r w:rsidR="00D72D41">
        <w:rPr>
          <w:rFonts w:asciiTheme="majorBidi" w:hAnsiTheme="majorBidi" w:cstheme="majorBidi" w:hint="cs"/>
          <w:sz w:val="24"/>
          <w:szCs w:val="24"/>
          <w:rtl/>
        </w:rPr>
        <w:t>נוסף ל</w:t>
      </w:r>
      <w:r>
        <w:rPr>
          <w:rFonts w:asciiTheme="majorBidi" w:hAnsiTheme="majorBidi" w:cstheme="majorBidi" w:hint="cs"/>
          <w:sz w:val="24"/>
          <w:szCs w:val="24"/>
          <w:rtl/>
        </w:rPr>
        <w:t>דברי רע"א:</w:t>
      </w:r>
      <w:r>
        <w:rPr>
          <w:rFonts w:ascii="David" w:hAnsi="David" w:cs="David" w:hint="cs"/>
          <w:sz w:val="24"/>
          <w:szCs w:val="24"/>
          <w:rtl/>
        </w:rPr>
        <w:t>"</w:t>
      </w:r>
      <w:r w:rsidRPr="00E75687">
        <w:rPr>
          <w:rFonts w:ascii="David" w:hAnsi="David" w:cs="David"/>
          <w:sz w:val="24"/>
          <w:szCs w:val="24"/>
          <w:rtl/>
        </w:rPr>
        <w:t xml:space="preserve">אפשר דהגרעק"א לא מיירי כלל באופן שיש ע"א לכל אחד, אלא </w:t>
      </w:r>
      <w:r w:rsidRPr="002B218C">
        <w:rPr>
          <w:rFonts w:ascii="David" w:hAnsi="David" w:cs="David"/>
          <w:b/>
          <w:bCs/>
          <w:sz w:val="24"/>
          <w:szCs w:val="24"/>
          <w:rtl/>
        </w:rPr>
        <w:t>דיש רק עד אחד</w:t>
      </w:r>
      <w:r w:rsidRPr="00E75687">
        <w:rPr>
          <w:rFonts w:ascii="David" w:hAnsi="David" w:cs="David"/>
          <w:sz w:val="24"/>
          <w:szCs w:val="24"/>
          <w:rtl/>
        </w:rPr>
        <w:t xml:space="preserve"> שמעיד שהגביהו יחד דכיון דליכא עד אחר המכחישו, שפיר כתב הגרעק"א דיהיו פטורין משבועה מדין עד המסייע, ואולי כיון דהבע"ד מכחישין אותו, שטוענין כולה שלי, חשיב נמי ע"א בהכחשה דלא מהני לפטור, וצ"ע</w:t>
      </w:r>
      <w:r>
        <w:rPr>
          <w:rStyle w:val="a5"/>
          <w:rFonts w:asciiTheme="majorBidi" w:hAnsiTheme="majorBidi" w:cstheme="majorBidi"/>
          <w:sz w:val="24"/>
          <w:szCs w:val="24"/>
          <w:rtl/>
        </w:rPr>
        <w:footnoteReference w:id="7"/>
      </w:r>
      <w:r w:rsidR="00AE0DAB">
        <w:rPr>
          <w:rFonts w:asciiTheme="majorBidi" w:hAnsiTheme="majorBidi" w:cstheme="majorBidi" w:hint="cs"/>
          <w:sz w:val="24"/>
          <w:szCs w:val="24"/>
          <w:rtl/>
        </w:rPr>
        <w:t>"</w:t>
      </w:r>
      <w:r w:rsidR="00B557AA">
        <w:rPr>
          <w:rFonts w:asciiTheme="majorBidi" w:hAnsiTheme="majorBidi" w:cstheme="majorBidi" w:hint="cs"/>
          <w:sz w:val="24"/>
          <w:szCs w:val="24"/>
          <w:rtl/>
        </w:rPr>
        <w:t xml:space="preserve">. עוד מציע הרב דוד פוברסקי, שאע"פ שדינו של רע"א אמת, לא אליו התכוונה המשנה לפי שאין בו חידוש: </w:t>
      </w:r>
      <w:r w:rsidR="00B557AA">
        <w:rPr>
          <w:rFonts w:ascii="David" w:hAnsi="David" w:cs="David" w:hint="cs"/>
          <w:sz w:val="24"/>
          <w:szCs w:val="24"/>
          <w:rtl/>
        </w:rPr>
        <w:t>"</w:t>
      </w:r>
      <w:r w:rsidR="00B557AA" w:rsidRPr="00E75687">
        <w:rPr>
          <w:rFonts w:ascii="David" w:hAnsi="David" w:cs="David"/>
          <w:sz w:val="24"/>
          <w:szCs w:val="24"/>
          <w:rtl/>
        </w:rPr>
        <w:t xml:space="preserve">אמנם נראה ליישב באופן אחר הא דנקט מתני' "עדים", ולא ע"א המעיד דהוי של שניהם, [אף אי בזה נמי הדין דחולקין בלא שבועה], ומשום דבתרי כיתי עדים המכחישות זו את זו, איכא חידוש כמש"ל דמוכח מזה דדין חולקין בשבועה הוי </w:t>
      </w:r>
      <w:r w:rsidR="00B557AA" w:rsidRPr="00E75687">
        <w:rPr>
          <w:rFonts w:ascii="David" w:hAnsi="David" w:cs="David"/>
          <w:sz w:val="24"/>
          <w:szCs w:val="24"/>
          <w:rtl/>
        </w:rPr>
        <w:lastRenderedPageBreak/>
        <w:t xml:space="preserve">ב' דינים נפרדים, ולא דין אחד שחולקין ע"י השבועה, אלא </w:t>
      </w:r>
      <w:r w:rsidR="00B557AA" w:rsidRPr="00B557AA">
        <w:rPr>
          <w:rFonts w:ascii="David" w:hAnsi="David" w:cs="David"/>
          <w:b/>
          <w:bCs/>
          <w:sz w:val="24"/>
          <w:szCs w:val="24"/>
          <w:rtl/>
        </w:rPr>
        <w:t>דדין החלוקה הוי אף בלא דין השבועה</w:t>
      </w:r>
      <w:r w:rsidR="00B557AA" w:rsidRPr="00E75687">
        <w:rPr>
          <w:rFonts w:ascii="David" w:hAnsi="David" w:cs="David"/>
          <w:sz w:val="24"/>
          <w:szCs w:val="24"/>
          <w:rtl/>
        </w:rPr>
        <w:t xml:space="preserve"> דמשו"ה אף כשיש ת</w:t>
      </w:r>
      <w:r w:rsidR="00D72D41">
        <w:rPr>
          <w:rFonts w:ascii="David" w:hAnsi="David" w:cs="David" w:hint="cs"/>
          <w:sz w:val="24"/>
          <w:szCs w:val="24"/>
          <w:rtl/>
        </w:rPr>
        <w:t xml:space="preserve">רי ותרי </w:t>
      </w:r>
      <w:r w:rsidR="00B557AA" w:rsidRPr="00E75687">
        <w:rPr>
          <w:rFonts w:ascii="David" w:hAnsi="David" w:cs="David"/>
          <w:sz w:val="24"/>
          <w:szCs w:val="24"/>
          <w:rtl/>
        </w:rPr>
        <w:t>דלא שכיח, וליכא דין שבועה, אפ"ה עדיין נשאר דין החלוקה.</w:t>
      </w:r>
    </w:p>
    <w:p w14:paraId="1B028F53" w14:textId="67814C60" w:rsidR="00B557AA" w:rsidRDefault="00B557AA" w:rsidP="00B557AA">
      <w:pPr>
        <w:spacing w:after="0" w:line="360" w:lineRule="auto"/>
        <w:rPr>
          <w:rFonts w:ascii="David" w:hAnsi="David" w:cs="David"/>
          <w:sz w:val="24"/>
          <w:szCs w:val="24"/>
          <w:rtl/>
        </w:rPr>
      </w:pPr>
      <w:r w:rsidRPr="00E75687">
        <w:rPr>
          <w:rFonts w:ascii="David" w:hAnsi="David" w:cs="David"/>
          <w:sz w:val="24"/>
          <w:szCs w:val="24"/>
          <w:rtl/>
        </w:rPr>
        <w:t>אבל אי הוי קתני ע"א המעיד דהוי של שניהם דחולקין בלא שבועה אין בזה שום חידוש דהא זהו סתם דין בעלמא, דעד המסייע פוטר משבועה, ומשו"ה נקט עדים לאשמועינן כנ"ל</w:t>
      </w:r>
      <w:r>
        <w:rPr>
          <w:rStyle w:val="a5"/>
          <w:rFonts w:ascii="David" w:hAnsi="David" w:cs="David"/>
          <w:sz w:val="24"/>
          <w:szCs w:val="24"/>
          <w:rtl/>
        </w:rPr>
        <w:footnoteReference w:id="8"/>
      </w:r>
      <w:r>
        <w:rPr>
          <w:rFonts w:ascii="David" w:hAnsi="David" w:cs="David" w:hint="cs"/>
          <w:sz w:val="24"/>
          <w:szCs w:val="24"/>
          <w:rtl/>
        </w:rPr>
        <w:t>"</w:t>
      </w:r>
      <w:r w:rsidRPr="00E75687">
        <w:rPr>
          <w:rFonts w:ascii="David" w:hAnsi="David" w:cs="David"/>
          <w:sz w:val="24"/>
          <w:szCs w:val="24"/>
          <w:rtl/>
        </w:rPr>
        <w:t>.</w:t>
      </w:r>
    </w:p>
    <w:p w14:paraId="343FD06B" w14:textId="178BED3E" w:rsidR="00AE78B1" w:rsidRDefault="00AE78B1" w:rsidP="00B557AA">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בהלכה</w:t>
      </w:r>
    </w:p>
    <w:p w14:paraId="6695BF4D" w14:textId="275BE125" w:rsidR="00AE78B1" w:rsidRDefault="00AE78B1" w:rsidP="00AE78B1">
      <w:pPr>
        <w:spacing w:after="0" w:line="360" w:lineRule="auto"/>
        <w:rPr>
          <w:rFonts w:asciiTheme="majorBidi" w:hAnsiTheme="majorBidi" w:cstheme="majorBidi"/>
          <w:sz w:val="24"/>
          <w:szCs w:val="24"/>
          <w:rtl/>
        </w:rPr>
      </w:pPr>
      <w:r>
        <w:rPr>
          <w:rFonts w:asciiTheme="majorBidi" w:hAnsiTheme="majorBidi" w:cstheme="majorBidi" w:hint="cs"/>
          <w:sz w:val="24"/>
          <w:szCs w:val="24"/>
          <w:rtl/>
        </w:rPr>
        <w:t>דין מודים או עדים איננו מופיע ברמב"ם. השו"ע מחדש הלכה:</w:t>
      </w:r>
    </w:p>
    <w:p w14:paraId="5435256E" w14:textId="2C921445" w:rsidR="00AE78B1" w:rsidRPr="00AE78B1" w:rsidRDefault="00AE78B1" w:rsidP="00AE78B1">
      <w:pPr>
        <w:spacing w:after="0" w:line="360" w:lineRule="auto"/>
        <w:rPr>
          <w:rFonts w:ascii="David" w:hAnsi="David" w:cs="David"/>
          <w:sz w:val="24"/>
          <w:szCs w:val="24"/>
          <w:rtl/>
        </w:rPr>
      </w:pPr>
      <w:r w:rsidRPr="00AE78B1">
        <w:rPr>
          <w:rFonts w:ascii="David" w:hAnsi="David" w:cs="David"/>
          <w:sz w:val="24"/>
          <w:szCs w:val="24"/>
          <w:rtl/>
        </w:rPr>
        <w:t>"אם אמר אחד לחבירו: השבע וטול כולו, שומעין לו. ואם גם השני אינו רוצה לישבע, חולקין בלא שבועה</w:t>
      </w:r>
      <w:r w:rsidRPr="00AE78B1">
        <w:rPr>
          <w:rStyle w:val="a5"/>
          <w:rFonts w:ascii="David" w:hAnsi="David" w:cs="David"/>
          <w:sz w:val="24"/>
          <w:szCs w:val="24"/>
          <w:rtl/>
        </w:rPr>
        <w:footnoteReference w:id="9"/>
      </w:r>
      <w:r w:rsidRPr="00AE78B1">
        <w:rPr>
          <w:rFonts w:ascii="David" w:hAnsi="David" w:cs="David"/>
          <w:sz w:val="24"/>
          <w:szCs w:val="24"/>
          <w:rtl/>
        </w:rPr>
        <w:t>".</w:t>
      </w:r>
    </w:p>
    <w:p w14:paraId="7915424E" w14:textId="77777777" w:rsidR="00DA3A9A" w:rsidRPr="00E75687" w:rsidRDefault="00DA3A9A" w:rsidP="00E75687">
      <w:pPr>
        <w:spacing w:after="0" w:line="360" w:lineRule="auto"/>
        <w:rPr>
          <w:rFonts w:ascii="David" w:hAnsi="David" w:cs="David"/>
          <w:sz w:val="24"/>
          <w:szCs w:val="24"/>
          <w:rtl/>
        </w:rPr>
      </w:pPr>
    </w:p>
    <w:sectPr w:rsidR="00DA3A9A" w:rsidRPr="00E75687" w:rsidSect="008A17B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AF2F" w14:textId="77777777" w:rsidR="008A17B9" w:rsidRDefault="008A17B9" w:rsidP="00700B3B">
      <w:pPr>
        <w:spacing w:after="0" w:line="240" w:lineRule="auto"/>
      </w:pPr>
      <w:r>
        <w:separator/>
      </w:r>
    </w:p>
  </w:endnote>
  <w:endnote w:type="continuationSeparator" w:id="0">
    <w:p w14:paraId="322776C5" w14:textId="77777777" w:rsidR="008A17B9" w:rsidRDefault="008A17B9" w:rsidP="0070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2C57" w14:textId="77777777" w:rsidR="008A17B9" w:rsidRDefault="008A17B9" w:rsidP="00700B3B">
      <w:pPr>
        <w:spacing w:after="0" w:line="240" w:lineRule="auto"/>
      </w:pPr>
      <w:r>
        <w:separator/>
      </w:r>
    </w:p>
  </w:footnote>
  <w:footnote w:type="continuationSeparator" w:id="0">
    <w:p w14:paraId="5FFF7E53" w14:textId="77777777" w:rsidR="008A17B9" w:rsidRDefault="008A17B9" w:rsidP="00700B3B">
      <w:pPr>
        <w:spacing w:after="0" w:line="240" w:lineRule="auto"/>
      </w:pPr>
      <w:r>
        <w:continuationSeparator/>
      </w:r>
    </w:p>
  </w:footnote>
  <w:footnote w:id="1">
    <w:p w14:paraId="3E396A2F" w14:textId="45D77302" w:rsidR="00700B3B" w:rsidRPr="00700B3B" w:rsidRDefault="00700B3B" w:rsidP="00700B3B">
      <w:pPr>
        <w:spacing w:after="0" w:line="360" w:lineRule="auto"/>
        <w:rPr>
          <w:rFonts w:asciiTheme="majorBidi" w:hAnsiTheme="majorBidi" w:cstheme="majorBidi"/>
          <w:sz w:val="20"/>
          <w:szCs w:val="20"/>
          <w:rtl/>
        </w:rPr>
      </w:pPr>
      <w:r w:rsidRPr="00700B3B">
        <w:rPr>
          <w:rStyle w:val="a5"/>
          <w:sz w:val="20"/>
          <w:szCs w:val="20"/>
        </w:rPr>
        <w:footnoteRef/>
      </w:r>
      <w:r w:rsidRPr="00700B3B">
        <w:rPr>
          <w:sz w:val="20"/>
          <w:szCs w:val="20"/>
          <w:rtl/>
        </w:rPr>
        <w:t xml:space="preserve"> </w:t>
      </w:r>
      <w:r w:rsidRPr="00700B3B">
        <w:rPr>
          <w:rFonts w:asciiTheme="majorBidi" w:hAnsiTheme="majorBidi" w:cs="Times New Roman"/>
          <w:sz w:val="20"/>
          <w:szCs w:val="20"/>
          <w:rtl/>
        </w:rPr>
        <w:t>תפארת ישראל - יכין פרק א משנה ב</w:t>
      </w:r>
      <w:r>
        <w:rPr>
          <w:rFonts w:asciiTheme="majorBidi" w:hAnsiTheme="majorBidi" w:cstheme="majorBidi" w:hint="cs"/>
          <w:sz w:val="20"/>
          <w:szCs w:val="20"/>
          <w:rtl/>
        </w:rPr>
        <w:t>.</w:t>
      </w:r>
    </w:p>
    <w:p w14:paraId="2FA54796" w14:textId="3BAB7154" w:rsidR="00700B3B" w:rsidRDefault="00700B3B">
      <w:pPr>
        <w:pStyle w:val="a3"/>
        <w:rPr>
          <w:rtl/>
        </w:rPr>
      </w:pPr>
    </w:p>
  </w:footnote>
  <w:footnote w:id="2">
    <w:p w14:paraId="38A85749" w14:textId="0CEC560E" w:rsidR="00460A23" w:rsidRPr="00D72D41" w:rsidRDefault="00460A23" w:rsidP="00D72D41">
      <w:pPr>
        <w:spacing w:after="0" w:line="360" w:lineRule="auto"/>
        <w:rPr>
          <w:rFonts w:asciiTheme="majorBidi" w:hAnsiTheme="majorBidi" w:cstheme="majorBidi"/>
          <w:sz w:val="20"/>
          <w:szCs w:val="20"/>
        </w:rPr>
      </w:pPr>
      <w:r w:rsidRPr="00D72D41">
        <w:rPr>
          <w:rStyle w:val="a5"/>
          <w:rFonts w:asciiTheme="majorBidi" w:hAnsiTheme="majorBidi" w:cstheme="majorBidi"/>
          <w:sz w:val="20"/>
          <w:szCs w:val="20"/>
        </w:rPr>
        <w:footnoteRef/>
      </w:r>
      <w:r w:rsidRPr="00D72D41">
        <w:rPr>
          <w:rFonts w:asciiTheme="majorBidi" w:hAnsiTheme="majorBidi" w:cstheme="majorBidi"/>
          <w:sz w:val="20"/>
          <w:szCs w:val="20"/>
          <w:rtl/>
        </w:rPr>
        <w:t xml:space="preserve"> שו"ת בית הלוי חלק ג סימן לה.</w:t>
      </w:r>
    </w:p>
  </w:footnote>
  <w:footnote w:id="3">
    <w:p w14:paraId="3BA98F27" w14:textId="1E82664B" w:rsidR="005463D0" w:rsidRPr="00D72D41" w:rsidRDefault="005463D0" w:rsidP="00D72D41">
      <w:pPr>
        <w:pStyle w:val="a3"/>
        <w:spacing w:line="360" w:lineRule="auto"/>
        <w:rPr>
          <w:rFonts w:asciiTheme="majorBidi" w:hAnsiTheme="majorBidi" w:cstheme="majorBidi"/>
        </w:rPr>
      </w:pPr>
      <w:r w:rsidRPr="00D72D41">
        <w:rPr>
          <w:rStyle w:val="a5"/>
          <w:rFonts w:asciiTheme="majorBidi" w:hAnsiTheme="majorBidi" w:cstheme="majorBidi"/>
        </w:rPr>
        <w:footnoteRef/>
      </w:r>
      <w:r w:rsidRPr="00D72D41">
        <w:rPr>
          <w:rFonts w:asciiTheme="majorBidi" w:hAnsiTheme="majorBidi" w:cstheme="majorBidi"/>
          <w:rtl/>
        </w:rPr>
        <w:t xml:space="preserve"> סימן קלח ס"ק ד.</w:t>
      </w:r>
    </w:p>
  </w:footnote>
  <w:footnote w:id="4">
    <w:p w14:paraId="79B86965" w14:textId="66073C04" w:rsidR="002B218C" w:rsidRPr="00D72D41" w:rsidRDefault="002B218C" w:rsidP="00D72D41">
      <w:pPr>
        <w:pStyle w:val="a3"/>
        <w:spacing w:line="360" w:lineRule="auto"/>
        <w:rPr>
          <w:rFonts w:asciiTheme="majorBidi" w:hAnsiTheme="majorBidi" w:cstheme="majorBidi"/>
          <w:rtl/>
        </w:rPr>
      </w:pPr>
      <w:r w:rsidRPr="00D72D41">
        <w:rPr>
          <w:rStyle w:val="a5"/>
          <w:rFonts w:asciiTheme="majorBidi" w:hAnsiTheme="majorBidi" w:cstheme="majorBidi"/>
        </w:rPr>
        <w:footnoteRef/>
      </w:r>
      <w:r w:rsidRPr="00D72D41">
        <w:rPr>
          <w:rFonts w:asciiTheme="majorBidi" w:hAnsiTheme="majorBidi" w:cstheme="majorBidi"/>
          <w:rtl/>
        </w:rPr>
        <w:t xml:space="preserve"> וכן ביארו הרבנים קוק – אגרות הראי"ה חלק א  מה.</w:t>
      </w:r>
    </w:p>
  </w:footnote>
  <w:footnote w:id="5">
    <w:p w14:paraId="3208DB72" w14:textId="27285999" w:rsidR="00B557AA" w:rsidRPr="00D72D41" w:rsidRDefault="00B557AA" w:rsidP="00D72D41">
      <w:pPr>
        <w:pStyle w:val="a3"/>
        <w:spacing w:line="360" w:lineRule="auto"/>
        <w:rPr>
          <w:rFonts w:asciiTheme="majorBidi" w:hAnsiTheme="majorBidi" w:cstheme="majorBidi"/>
          <w:rtl/>
        </w:rPr>
      </w:pPr>
      <w:r w:rsidRPr="00D72D41">
        <w:rPr>
          <w:rStyle w:val="a5"/>
          <w:rFonts w:asciiTheme="majorBidi" w:hAnsiTheme="majorBidi" w:cstheme="majorBidi"/>
        </w:rPr>
        <w:footnoteRef/>
      </w:r>
      <w:r w:rsidRPr="00D72D41">
        <w:rPr>
          <w:rFonts w:asciiTheme="majorBidi" w:hAnsiTheme="majorBidi" w:cstheme="majorBidi"/>
          <w:rtl/>
        </w:rPr>
        <w:t xml:space="preserve"> שיעורי ר' דוד אות קנד.</w:t>
      </w:r>
    </w:p>
  </w:footnote>
  <w:footnote w:id="6">
    <w:p w14:paraId="0D866561" w14:textId="0F92D725" w:rsidR="00B557AA" w:rsidRPr="00D72D41" w:rsidRDefault="00B557AA" w:rsidP="00D72D41">
      <w:pPr>
        <w:pStyle w:val="a3"/>
        <w:spacing w:line="360" w:lineRule="auto"/>
        <w:rPr>
          <w:rFonts w:asciiTheme="majorBidi" w:hAnsiTheme="majorBidi" w:cstheme="majorBidi"/>
        </w:rPr>
      </w:pPr>
      <w:r w:rsidRPr="00D72D41">
        <w:rPr>
          <w:rStyle w:val="a5"/>
          <w:rFonts w:asciiTheme="majorBidi" w:hAnsiTheme="majorBidi" w:cstheme="majorBidi"/>
        </w:rPr>
        <w:footnoteRef/>
      </w:r>
      <w:r w:rsidRPr="00D72D41">
        <w:rPr>
          <w:rFonts w:asciiTheme="majorBidi" w:hAnsiTheme="majorBidi" w:cstheme="majorBidi"/>
          <w:rtl/>
        </w:rPr>
        <w:t xml:space="preserve"> סימן קלח ס"ק ד.</w:t>
      </w:r>
    </w:p>
  </w:footnote>
  <w:footnote w:id="7">
    <w:p w14:paraId="2C1B21F2" w14:textId="557421A0" w:rsidR="002B218C" w:rsidRPr="00D72D41" w:rsidRDefault="002B218C" w:rsidP="00D72D41">
      <w:pPr>
        <w:pStyle w:val="a3"/>
        <w:spacing w:line="360" w:lineRule="auto"/>
        <w:rPr>
          <w:rFonts w:asciiTheme="majorBidi" w:hAnsiTheme="majorBidi" w:cstheme="majorBidi"/>
          <w:rtl/>
        </w:rPr>
      </w:pPr>
      <w:r w:rsidRPr="00D72D41">
        <w:rPr>
          <w:rStyle w:val="a5"/>
          <w:rFonts w:asciiTheme="majorBidi" w:hAnsiTheme="majorBidi" w:cstheme="majorBidi"/>
        </w:rPr>
        <w:footnoteRef/>
      </w:r>
      <w:r w:rsidRPr="00D72D41">
        <w:rPr>
          <w:rFonts w:asciiTheme="majorBidi" w:hAnsiTheme="majorBidi" w:cstheme="majorBidi"/>
          <w:rtl/>
        </w:rPr>
        <w:t xml:space="preserve"> שיעורי ר' דוד אות קנד.</w:t>
      </w:r>
    </w:p>
  </w:footnote>
  <w:footnote w:id="8">
    <w:p w14:paraId="665BF21D" w14:textId="4C76B133" w:rsidR="00B557AA" w:rsidRPr="00D72D41" w:rsidRDefault="00B557AA" w:rsidP="00AE78B1">
      <w:pPr>
        <w:pStyle w:val="a3"/>
        <w:spacing w:line="360" w:lineRule="auto"/>
        <w:rPr>
          <w:rFonts w:asciiTheme="majorBidi" w:hAnsiTheme="majorBidi" w:cstheme="majorBidi"/>
          <w:rtl/>
        </w:rPr>
      </w:pPr>
      <w:r w:rsidRPr="00D72D41">
        <w:rPr>
          <w:rStyle w:val="a5"/>
          <w:rFonts w:asciiTheme="majorBidi" w:hAnsiTheme="majorBidi" w:cstheme="majorBidi"/>
        </w:rPr>
        <w:footnoteRef/>
      </w:r>
      <w:r w:rsidRPr="00D72D41">
        <w:rPr>
          <w:rFonts w:asciiTheme="majorBidi" w:hAnsiTheme="majorBidi" w:cstheme="majorBidi"/>
          <w:rtl/>
        </w:rPr>
        <w:t xml:space="preserve"> שם אות קנז.</w:t>
      </w:r>
    </w:p>
  </w:footnote>
  <w:footnote w:id="9">
    <w:p w14:paraId="1360092F" w14:textId="77777777" w:rsidR="00AE78B1" w:rsidRPr="00AE78B1" w:rsidRDefault="00AE78B1" w:rsidP="00AE78B1">
      <w:pPr>
        <w:spacing w:after="0" w:line="360" w:lineRule="auto"/>
        <w:rPr>
          <w:rFonts w:asciiTheme="majorBidi" w:hAnsiTheme="majorBidi" w:cstheme="majorBidi"/>
          <w:sz w:val="20"/>
          <w:szCs w:val="20"/>
          <w:rtl/>
        </w:rPr>
      </w:pPr>
      <w:r w:rsidRPr="00AE78B1">
        <w:rPr>
          <w:rStyle w:val="a5"/>
          <w:sz w:val="20"/>
          <w:szCs w:val="20"/>
        </w:rPr>
        <w:footnoteRef/>
      </w:r>
      <w:r w:rsidRPr="00AE78B1">
        <w:rPr>
          <w:sz w:val="20"/>
          <w:szCs w:val="20"/>
          <w:rtl/>
        </w:rPr>
        <w:t xml:space="preserve"> </w:t>
      </w:r>
      <w:r w:rsidRPr="00AE78B1">
        <w:rPr>
          <w:rFonts w:asciiTheme="majorBidi" w:hAnsiTheme="majorBidi" w:cs="Times New Roman"/>
          <w:sz w:val="20"/>
          <w:szCs w:val="20"/>
          <w:rtl/>
        </w:rPr>
        <w:t>שולחן ערוך חושן משפט סימן קלח</w:t>
      </w:r>
      <w:r w:rsidRPr="00AE78B1">
        <w:rPr>
          <w:rFonts w:asciiTheme="majorBidi" w:hAnsiTheme="majorBidi" w:cstheme="majorBidi" w:hint="cs"/>
          <w:sz w:val="20"/>
          <w:szCs w:val="20"/>
          <w:rtl/>
        </w:rPr>
        <w:t xml:space="preserve"> סעיף א</w:t>
      </w:r>
    </w:p>
    <w:p w14:paraId="7B205941" w14:textId="664D12D5" w:rsidR="00AE78B1" w:rsidRDefault="00AE78B1">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63528966"/>
      <w:docPartObj>
        <w:docPartGallery w:val="Page Numbers (Top of Page)"/>
        <w:docPartUnique/>
      </w:docPartObj>
    </w:sdtPr>
    <w:sdtContent>
      <w:p w14:paraId="72083B8D" w14:textId="26C50A7D" w:rsidR="00557974" w:rsidRDefault="00557974">
        <w:pPr>
          <w:pStyle w:val="a6"/>
        </w:pPr>
        <w:r>
          <w:fldChar w:fldCharType="begin"/>
        </w:r>
        <w:r>
          <w:instrText>PAGE   \* MERGEFORMAT</w:instrText>
        </w:r>
        <w:r>
          <w:fldChar w:fldCharType="separate"/>
        </w:r>
        <w:r>
          <w:rPr>
            <w:rtl/>
            <w:lang w:val="he-IL"/>
          </w:rPr>
          <w:t>2</w:t>
        </w:r>
        <w:r>
          <w:fldChar w:fldCharType="end"/>
        </w:r>
      </w:p>
    </w:sdtContent>
  </w:sdt>
  <w:p w14:paraId="0FB07F2B" w14:textId="77777777" w:rsidR="00557974" w:rsidRDefault="005579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051"/>
    <w:multiLevelType w:val="hybridMultilevel"/>
    <w:tmpl w:val="465C917E"/>
    <w:lvl w:ilvl="0" w:tplc="5F1E9CD0">
      <w:start w:val="1"/>
      <w:numFmt w:val="hebrew1"/>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3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66"/>
    <w:rsid w:val="00033566"/>
    <w:rsid w:val="00076C5A"/>
    <w:rsid w:val="00293330"/>
    <w:rsid w:val="002B218C"/>
    <w:rsid w:val="00412165"/>
    <w:rsid w:val="00460A23"/>
    <w:rsid w:val="005463D0"/>
    <w:rsid w:val="00557974"/>
    <w:rsid w:val="005E5C15"/>
    <w:rsid w:val="00700B3B"/>
    <w:rsid w:val="008A17B9"/>
    <w:rsid w:val="00A82CF4"/>
    <w:rsid w:val="00AE0DAB"/>
    <w:rsid w:val="00AE78B1"/>
    <w:rsid w:val="00B557AA"/>
    <w:rsid w:val="00D72D41"/>
    <w:rsid w:val="00DA3A9A"/>
    <w:rsid w:val="00DB49AB"/>
    <w:rsid w:val="00E75687"/>
    <w:rsid w:val="00F74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BD1C"/>
  <w15:chartTrackingRefBased/>
  <w15:docId w15:val="{96EEC462-F004-4183-9FF5-551C85FC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0B3B"/>
    <w:pPr>
      <w:spacing w:after="0" w:line="240" w:lineRule="auto"/>
    </w:pPr>
    <w:rPr>
      <w:sz w:val="20"/>
      <w:szCs w:val="20"/>
    </w:rPr>
  </w:style>
  <w:style w:type="character" w:customStyle="1" w:styleId="a4">
    <w:name w:val="טקסט הערת שוליים תו"/>
    <w:basedOn w:val="a0"/>
    <w:link w:val="a3"/>
    <w:uiPriority w:val="99"/>
    <w:semiHidden/>
    <w:rsid w:val="00700B3B"/>
    <w:rPr>
      <w:noProof/>
      <w:sz w:val="20"/>
      <w:szCs w:val="20"/>
    </w:rPr>
  </w:style>
  <w:style w:type="character" w:styleId="a5">
    <w:name w:val="footnote reference"/>
    <w:basedOn w:val="a0"/>
    <w:uiPriority w:val="99"/>
    <w:semiHidden/>
    <w:unhideWhenUsed/>
    <w:rsid w:val="00700B3B"/>
    <w:rPr>
      <w:vertAlign w:val="superscript"/>
    </w:rPr>
  </w:style>
  <w:style w:type="paragraph" w:styleId="a6">
    <w:name w:val="header"/>
    <w:basedOn w:val="a"/>
    <w:link w:val="a7"/>
    <w:uiPriority w:val="99"/>
    <w:unhideWhenUsed/>
    <w:rsid w:val="00557974"/>
    <w:pPr>
      <w:tabs>
        <w:tab w:val="center" w:pos="4153"/>
        <w:tab w:val="right" w:pos="8306"/>
      </w:tabs>
      <w:spacing w:after="0" w:line="240" w:lineRule="auto"/>
    </w:pPr>
  </w:style>
  <w:style w:type="character" w:customStyle="1" w:styleId="a7">
    <w:name w:val="כותרת עליונה תו"/>
    <w:basedOn w:val="a0"/>
    <w:link w:val="a6"/>
    <w:uiPriority w:val="99"/>
    <w:rsid w:val="00557974"/>
    <w:rPr>
      <w:noProof/>
    </w:rPr>
  </w:style>
  <w:style w:type="paragraph" w:styleId="a8">
    <w:name w:val="footer"/>
    <w:basedOn w:val="a"/>
    <w:link w:val="a9"/>
    <w:uiPriority w:val="99"/>
    <w:unhideWhenUsed/>
    <w:rsid w:val="00557974"/>
    <w:pPr>
      <w:tabs>
        <w:tab w:val="center" w:pos="4153"/>
        <w:tab w:val="right" w:pos="8306"/>
      </w:tabs>
      <w:spacing w:after="0" w:line="240" w:lineRule="auto"/>
    </w:pPr>
  </w:style>
  <w:style w:type="character" w:customStyle="1" w:styleId="a9">
    <w:name w:val="כותרת תחתונה תו"/>
    <w:basedOn w:val="a0"/>
    <w:link w:val="a8"/>
    <w:uiPriority w:val="99"/>
    <w:rsid w:val="00557974"/>
    <w:rPr>
      <w:noProof/>
    </w:rPr>
  </w:style>
  <w:style w:type="paragraph" w:styleId="aa">
    <w:name w:val="List Paragraph"/>
    <w:basedOn w:val="a"/>
    <w:uiPriority w:val="34"/>
    <w:qFormat/>
    <w:rsid w:val="00D72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42E2-3D46-48CF-B7DD-54E77AD5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842</Words>
  <Characters>4213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8</cp:revision>
  <dcterms:created xsi:type="dcterms:W3CDTF">2023-11-29T06:00:00Z</dcterms:created>
  <dcterms:modified xsi:type="dcterms:W3CDTF">2024-02-04T12:41:00Z</dcterms:modified>
</cp:coreProperties>
</file>