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48536" w14:textId="6F0581BD" w:rsidR="00D87CD1" w:rsidRPr="00D87CD1" w:rsidRDefault="00D87CD1" w:rsidP="00D87CD1">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 </w:t>
      </w:r>
      <w:r w:rsidRPr="00D87CD1">
        <w:rPr>
          <w:rFonts w:asciiTheme="majorBidi" w:hAnsiTheme="majorBidi" w:cstheme="majorBidi"/>
          <w:sz w:val="24"/>
          <w:szCs w:val="24"/>
          <w:rtl/>
        </w:rPr>
        <w:t xml:space="preserve"> מסכת בבא מציעא דף כב עמוד ב</w:t>
      </w:r>
    </w:p>
    <w:p w14:paraId="0189E847" w14:textId="24A02392" w:rsidR="00A82CF4" w:rsidRDefault="00D87CD1" w:rsidP="00D87CD1">
      <w:pPr>
        <w:spacing w:after="0" w:line="360" w:lineRule="auto"/>
        <w:rPr>
          <w:rFonts w:asciiTheme="majorBidi" w:hAnsiTheme="majorBidi" w:cstheme="majorBidi"/>
          <w:sz w:val="24"/>
          <w:szCs w:val="24"/>
          <w:rtl/>
        </w:rPr>
      </w:pPr>
      <w:r w:rsidRPr="00D87CD1">
        <w:rPr>
          <w:rFonts w:asciiTheme="majorBidi" w:hAnsiTheme="majorBidi" w:cstheme="majorBidi"/>
          <w:sz w:val="24"/>
          <w:szCs w:val="24"/>
          <w:rtl/>
        </w:rPr>
        <w:t xml:space="preserve">תא שמע, דאמר רבי יוחנן משום רבי ישמעאל בן יהוצדק: מנין לאבידה ששטפה נהר שהיא מותרת </w:t>
      </w:r>
      <w:r w:rsidR="00824CCA">
        <w:rPr>
          <w:rFonts w:asciiTheme="majorBidi" w:hAnsiTheme="majorBidi" w:cstheme="majorBidi"/>
          <w:sz w:val="24"/>
          <w:szCs w:val="24"/>
          <w:rtl/>
        </w:rPr>
        <w:t>–</w:t>
      </w:r>
      <w:r w:rsidRPr="00D87CD1">
        <w:rPr>
          <w:rFonts w:asciiTheme="majorBidi" w:hAnsiTheme="majorBidi" w:cstheme="majorBidi"/>
          <w:sz w:val="24"/>
          <w:szCs w:val="24"/>
          <w:rtl/>
        </w:rPr>
        <w:t xml:space="preserve"> דכתיב</w:t>
      </w:r>
      <w:r w:rsidR="00824CCA">
        <w:rPr>
          <w:rFonts w:asciiTheme="majorBidi" w:hAnsiTheme="majorBidi" w:cstheme="majorBidi" w:hint="cs"/>
          <w:sz w:val="24"/>
          <w:szCs w:val="24"/>
          <w:rtl/>
        </w:rPr>
        <w:t>:</w:t>
      </w:r>
      <w:r w:rsidRPr="00D87CD1">
        <w:rPr>
          <w:rFonts w:asciiTheme="majorBidi" w:hAnsiTheme="majorBidi" w:cstheme="majorBidi"/>
          <w:sz w:val="24"/>
          <w:szCs w:val="24"/>
          <w:rtl/>
        </w:rPr>
        <w:t xml:space="preserve"> </w:t>
      </w:r>
      <w:r w:rsidR="00824CCA">
        <w:rPr>
          <w:rFonts w:asciiTheme="majorBidi" w:hAnsiTheme="majorBidi" w:cstheme="majorBidi" w:hint="cs"/>
          <w:sz w:val="24"/>
          <w:szCs w:val="24"/>
          <w:rtl/>
        </w:rPr>
        <w:t>'</w:t>
      </w:r>
      <w:r w:rsidRPr="00D87CD1">
        <w:rPr>
          <w:rFonts w:asciiTheme="majorBidi" w:hAnsiTheme="majorBidi" w:cstheme="majorBidi"/>
          <w:sz w:val="24"/>
          <w:szCs w:val="24"/>
          <w:rtl/>
        </w:rPr>
        <w:t>וכן תעשה לחמורו וכן תעשה לשמלתו וכן תעשה לכל אבידת אחיך אשר תאבד ממנו ומצאתה</w:t>
      </w:r>
      <w:r w:rsidR="00824CCA">
        <w:rPr>
          <w:rFonts w:asciiTheme="majorBidi" w:hAnsiTheme="majorBidi" w:cstheme="majorBidi" w:hint="cs"/>
          <w:sz w:val="24"/>
          <w:szCs w:val="24"/>
          <w:rtl/>
        </w:rPr>
        <w:t>'-</w:t>
      </w:r>
      <w:r w:rsidRPr="00D87CD1">
        <w:rPr>
          <w:rFonts w:asciiTheme="majorBidi" w:hAnsiTheme="majorBidi" w:cstheme="majorBidi"/>
          <w:sz w:val="24"/>
          <w:szCs w:val="24"/>
          <w:rtl/>
        </w:rPr>
        <w:t xml:space="preserve"> מי שאבודה הימנו ומצויה אצל כל אדם, יצאתה זו שאבודה ממנו, ואינה מצויה אצל כל אדם. ואיסורא דומיא דהיתירא, מה היתירא - בין דאית בה סימן ובין דלית בה סימן שרא, אף איסורא - בין דאית בה סימן ובין דלית בה סימן אסורה. תיובתא דרבא, תיובתא. והלכתא כוותיה דאביי ביע"ל קג"ם.</w:t>
      </w:r>
    </w:p>
    <w:p w14:paraId="14C9B02C" w14:textId="77777777" w:rsidR="00D87CD1" w:rsidRDefault="00D87CD1" w:rsidP="00D87CD1">
      <w:pPr>
        <w:spacing w:after="0" w:line="360" w:lineRule="auto"/>
        <w:rPr>
          <w:rFonts w:asciiTheme="majorBidi" w:hAnsiTheme="majorBidi" w:cstheme="majorBidi"/>
          <w:sz w:val="24"/>
          <w:szCs w:val="24"/>
          <w:rtl/>
        </w:rPr>
      </w:pPr>
    </w:p>
    <w:p w14:paraId="22623CBC" w14:textId="77777777" w:rsidR="009930F9" w:rsidRDefault="00D87CD1" w:rsidP="009930F9">
      <w:pPr>
        <w:spacing w:after="0" w:line="360" w:lineRule="auto"/>
        <w:jc w:val="center"/>
        <w:rPr>
          <w:rFonts w:asciiTheme="majorBidi" w:hAnsiTheme="majorBidi" w:cstheme="majorBidi"/>
          <w:b/>
          <w:bCs/>
          <w:sz w:val="28"/>
          <w:szCs w:val="28"/>
          <w:u w:val="single"/>
          <w:rtl/>
        </w:rPr>
      </w:pPr>
      <w:r w:rsidRPr="00D87CD1">
        <w:rPr>
          <w:rFonts w:asciiTheme="majorBidi" w:hAnsiTheme="majorBidi" w:cstheme="majorBidi" w:hint="cs"/>
          <w:b/>
          <w:bCs/>
          <w:sz w:val="28"/>
          <w:szCs w:val="28"/>
          <w:u w:val="single"/>
          <w:rtl/>
        </w:rPr>
        <w:t>היתר אבידה ששטפה נהר</w:t>
      </w:r>
    </w:p>
    <w:p w14:paraId="6E940AF6" w14:textId="45D7DEF9" w:rsidR="00BB3781" w:rsidRPr="00122D44" w:rsidRDefault="000F65EA" w:rsidP="00122D44">
      <w:pPr>
        <w:spacing w:after="0" w:line="360" w:lineRule="auto"/>
        <w:rPr>
          <w:rFonts w:ascii="David" w:hAnsi="David" w:cs="David"/>
          <w:sz w:val="24"/>
          <w:szCs w:val="24"/>
          <w:rtl/>
        </w:rPr>
      </w:pPr>
      <w:r>
        <w:rPr>
          <w:rFonts w:asciiTheme="majorBidi" w:hAnsiTheme="majorBidi" w:cstheme="majorBidi" w:hint="cs"/>
          <w:b/>
          <w:bCs/>
          <w:sz w:val="24"/>
          <w:szCs w:val="24"/>
          <w:rtl/>
        </w:rPr>
        <w:t xml:space="preserve">א. </w:t>
      </w:r>
      <w:r w:rsidR="00BB3781" w:rsidRPr="00BB3781">
        <w:rPr>
          <w:rFonts w:asciiTheme="majorBidi" w:hAnsiTheme="majorBidi" w:cstheme="majorBidi" w:hint="cs"/>
          <w:b/>
          <w:bCs/>
          <w:sz w:val="24"/>
          <w:szCs w:val="24"/>
          <w:rtl/>
        </w:rPr>
        <w:t xml:space="preserve">סוגייתנו וההלכה של </w:t>
      </w:r>
      <w:r>
        <w:rPr>
          <w:rFonts w:asciiTheme="majorBidi" w:hAnsiTheme="majorBidi" w:cstheme="majorBidi" w:hint="cs"/>
          <w:b/>
          <w:bCs/>
          <w:sz w:val="24"/>
          <w:szCs w:val="24"/>
          <w:rtl/>
        </w:rPr>
        <w:t>יאוש</w:t>
      </w:r>
      <w:r w:rsidR="00BB3781">
        <w:rPr>
          <w:rFonts w:asciiTheme="majorBidi" w:hAnsiTheme="majorBidi" w:cstheme="majorBidi" w:hint="cs"/>
          <w:sz w:val="24"/>
          <w:szCs w:val="24"/>
          <w:rtl/>
        </w:rPr>
        <w:t xml:space="preserve"> </w:t>
      </w:r>
      <w:r w:rsidR="009930F9" w:rsidRPr="009930F9">
        <w:rPr>
          <w:rFonts w:asciiTheme="majorBidi" w:hAnsiTheme="majorBidi" w:cstheme="majorBidi" w:hint="cs"/>
          <w:sz w:val="24"/>
          <w:szCs w:val="24"/>
          <w:rtl/>
        </w:rPr>
        <w:t xml:space="preserve">רבי יוחנן מלמדנו דין אבידה </w:t>
      </w:r>
      <w:r w:rsidR="009930F9">
        <w:rPr>
          <w:rFonts w:asciiTheme="majorBidi" w:hAnsiTheme="majorBidi" w:cstheme="majorBidi" w:hint="cs"/>
          <w:sz w:val="24"/>
          <w:szCs w:val="24"/>
          <w:rtl/>
        </w:rPr>
        <w:t xml:space="preserve">ששטפה נהר. חיוב השבת </w:t>
      </w:r>
      <w:r>
        <w:rPr>
          <w:rFonts w:asciiTheme="majorBidi" w:hAnsiTheme="majorBidi" w:cstheme="majorBidi" w:hint="cs"/>
          <w:sz w:val="24"/>
          <w:szCs w:val="24"/>
          <w:rtl/>
        </w:rPr>
        <w:t>אבידה</w:t>
      </w:r>
      <w:r w:rsidR="009930F9">
        <w:rPr>
          <w:rFonts w:asciiTheme="majorBidi" w:hAnsiTheme="majorBidi" w:cstheme="majorBidi" w:hint="cs"/>
          <w:sz w:val="24"/>
          <w:szCs w:val="24"/>
          <w:rtl/>
        </w:rPr>
        <w:t xml:space="preserve"> הוא רק ב</w:t>
      </w:r>
      <w:r>
        <w:rPr>
          <w:rFonts w:asciiTheme="majorBidi" w:hAnsiTheme="majorBidi" w:cstheme="majorBidi" w:hint="cs"/>
          <w:sz w:val="24"/>
          <w:szCs w:val="24"/>
          <w:rtl/>
        </w:rPr>
        <w:t>אבידה</w:t>
      </w:r>
      <w:r w:rsidR="009930F9">
        <w:rPr>
          <w:rFonts w:asciiTheme="majorBidi" w:hAnsiTheme="majorBidi" w:cstheme="majorBidi" w:hint="cs"/>
          <w:sz w:val="24"/>
          <w:szCs w:val="24"/>
          <w:rtl/>
        </w:rPr>
        <w:t xml:space="preserve"> אישית, </w:t>
      </w:r>
      <w:r w:rsidR="00122D44">
        <w:rPr>
          <w:rFonts w:asciiTheme="majorBidi" w:hAnsiTheme="majorBidi" w:cstheme="majorBidi" w:hint="cs"/>
          <w:sz w:val="24"/>
          <w:szCs w:val="24"/>
          <w:rtl/>
        </w:rPr>
        <w:t>ש</w:t>
      </w:r>
      <w:r w:rsidR="009930F9">
        <w:rPr>
          <w:rFonts w:asciiTheme="majorBidi" w:hAnsiTheme="majorBidi" w:cstheme="majorBidi" w:hint="cs"/>
          <w:sz w:val="24"/>
          <w:szCs w:val="24"/>
          <w:rtl/>
        </w:rPr>
        <w:t>ל</w:t>
      </w:r>
      <w:r w:rsidR="00122D44">
        <w:rPr>
          <w:rFonts w:asciiTheme="majorBidi" w:hAnsiTheme="majorBidi" w:cstheme="majorBidi" w:hint="cs"/>
          <w:sz w:val="24"/>
          <w:szCs w:val="24"/>
          <w:rtl/>
        </w:rPr>
        <w:t xml:space="preserve"> </w:t>
      </w:r>
      <w:r w:rsidR="009930F9">
        <w:rPr>
          <w:rFonts w:asciiTheme="majorBidi" w:hAnsiTheme="majorBidi" w:cstheme="majorBidi" w:hint="cs"/>
          <w:sz w:val="24"/>
          <w:szCs w:val="24"/>
          <w:rtl/>
        </w:rPr>
        <w:t>'אחיך', אולם לא ב</w:t>
      </w:r>
      <w:r>
        <w:rPr>
          <w:rFonts w:asciiTheme="majorBidi" w:hAnsiTheme="majorBidi" w:cstheme="majorBidi" w:hint="cs"/>
          <w:sz w:val="24"/>
          <w:szCs w:val="24"/>
          <w:rtl/>
        </w:rPr>
        <w:t>אבידה</w:t>
      </w:r>
      <w:r w:rsidR="009930F9">
        <w:rPr>
          <w:rFonts w:asciiTheme="majorBidi" w:hAnsiTheme="majorBidi" w:cstheme="majorBidi" w:hint="cs"/>
          <w:sz w:val="24"/>
          <w:szCs w:val="24"/>
          <w:rtl/>
        </w:rPr>
        <w:t xml:space="preserve"> לכל אדם.</w:t>
      </w:r>
      <w:r w:rsidR="0080775D">
        <w:rPr>
          <w:rFonts w:asciiTheme="majorBidi" w:hAnsiTheme="majorBidi" w:cstheme="majorBidi" w:hint="cs"/>
          <w:sz w:val="24"/>
          <w:szCs w:val="24"/>
          <w:rtl/>
        </w:rPr>
        <w:t xml:space="preserve"> ההסבר הפשוט ביותר הוא שיש כאן  גזירת הכתוב:  </w:t>
      </w:r>
      <w:r w:rsidR="0080775D" w:rsidRPr="0080775D">
        <w:rPr>
          <w:rFonts w:ascii="David" w:hAnsi="David" w:cs="David"/>
          <w:sz w:val="24"/>
          <w:szCs w:val="24"/>
          <w:rtl/>
        </w:rPr>
        <w:t>"</w:t>
      </w:r>
      <w:r w:rsidR="0080775D" w:rsidRPr="0080775D">
        <w:rPr>
          <w:rFonts w:ascii="David" w:hAnsi="David" w:cs="David"/>
          <w:sz w:val="24"/>
          <w:szCs w:val="24"/>
          <w:rtl/>
        </w:rPr>
        <w:t xml:space="preserve">כל שבשעת אבדה ממש כלומר בין </w:t>
      </w:r>
      <w:r w:rsidR="00122D44">
        <w:rPr>
          <w:rFonts w:ascii="David" w:hAnsi="David" w:cs="David" w:hint="cs"/>
          <w:sz w:val="24"/>
          <w:szCs w:val="24"/>
          <w:rtl/>
        </w:rPr>
        <w:t>י</w:t>
      </w:r>
      <w:r w:rsidR="0080775D" w:rsidRPr="0080775D">
        <w:rPr>
          <w:rFonts w:ascii="David" w:hAnsi="David" w:cs="David"/>
          <w:sz w:val="24"/>
          <w:szCs w:val="24"/>
          <w:rtl/>
        </w:rPr>
        <w:t>דע בין לא ידע אינה אבודה אלא ממנו בלבד ומצויה לך אסורה, יצאתה אבודה ממנו ומכל אדם שהיא מותרת משעת אבדה כלומר בין ידע בין לא ידע</w:t>
      </w:r>
      <w:r w:rsidR="0080775D" w:rsidRPr="0080775D">
        <w:rPr>
          <w:rStyle w:val="a9"/>
          <w:rFonts w:ascii="David" w:hAnsi="David" w:cs="David"/>
          <w:sz w:val="24"/>
          <w:szCs w:val="24"/>
          <w:rtl/>
        </w:rPr>
        <w:footnoteReference w:id="1"/>
      </w:r>
      <w:r w:rsidR="0080775D" w:rsidRPr="0080775D">
        <w:rPr>
          <w:rFonts w:ascii="David" w:hAnsi="David" w:cs="David"/>
          <w:sz w:val="24"/>
          <w:szCs w:val="24"/>
          <w:rtl/>
        </w:rPr>
        <w:t>".</w:t>
      </w:r>
      <w:r w:rsidR="0080775D" w:rsidRPr="0080775D">
        <w:rPr>
          <w:rFonts w:asciiTheme="majorBidi" w:hAnsiTheme="majorBidi" w:cs="Times New Roman"/>
          <w:sz w:val="24"/>
          <w:szCs w:val="24"/>
          <w:rtl/>
        </w:rPr>
        <w:t xml:space="preserve"> </w:t>
      </w:r>
      <w:r w:rsidR="0080775D" w:rsidRPr="0080775D">
        <w:rPr>
          <w:rFonts w:ascii="David" w:hAnsi="David" w:cs="David"/>
          <w:sz w:val="24"/>
          <w:szCs w:val="24"/>
          <w:rtl/>
        </w:rPr>
        <w:t>"</w:t>
      </w:r>
      <w:r w:rsidR="0080775D" w:rsidRPr="0080775D">
        <w:rPr>
          <w:rFonts w:ascii="David" w:hAnsi="David" w:cs="David"/>
          <w:sz w:val="24"/>
          <w:szCs w:val="24"/>
          <w:rtl/>
        </w:rPr>
        <w:t>דרחמ' שרייה</w:t>
      </w:r>
      <w:r w:rsidR="0080775D" w:rsidRPr="0080775D">
        <w:rPr>
          <w:rStyle w:val="a9"/>
          <w:rFonts w:ascii="David" w:hAnsi="David" w:cs="David"/>
          <w:sz w:val="24"/>
          <w:szCs w:val="24"/>
          <w:rtl/>
        </w:rPr>
        <w:footnoteReference w:id="2"/>
      </w:r>
      <w:r w:rsidR="0080775D" w:rsidRPr="0080775D">
        <w:rPr>
          <w:rFonts w:ascii="David" w:hAnsi="David" w:cs="David"/>
          <w:sz w:val="24"/>
          <w:szCs w:val="24"/>
          <w:rtl/>
        </w:rPr>
        <w:t>"</w:t>
      </w:r>
      <w:r w:rsidR="00122D44">
        <w:rPr>
          <w:rFonts w:ascii="David" w:hAnsi="David" w:cs="David" w:hint="cs"/>
          <w:sz w:val="24"/>
          <w:szCs w:val="24"/>
          <w:rtl/>
        </w:rPr>
        <w:t>, "</w:t>
      </w:r>
      <w:r w:rsidR="00122D44" w:rsidRPr="00122D44">
        <w:rPr>
          <w:rFonts w:ascii="David" w:hAnsi="David" w:cs="David"/>
          <w:sz w:val="24"/>
          <w:szCs w:val="24"/>
          <w:rtl/>
        </w:rPr>
        <w:t>והוי הפקר</w:t>
      </w:r>
      <w:r w:rsidR="00122D44">
        <w:rPr>
          <w:rStyle w:val="a9"/>
          <w:rFonts w:ascii="David" w:hAnsi="David" w:cs="David"/>
          <w:sz w:val="24"/>
          <w:szCs w:val="24"/>
          <w:rtl/>
        </w:rPr>
        <w:footnoteReference w:id="3"/>
      </w:r>
      <w:r w:rsidR="00122D44">
        <w:rPr>
          <w:rFonts w:ascii="David" w:hAnsi="David" w:cs="David" w:hint="cs"/>
          <w:sz w:val="24"/>
          <w:szCs w:val="24"/>
          <w:rtl/>
        </w:rPr>
        <w:t>"</w:t>
      </w:r>
      <w:r w:rsidR="0080775D" w:rsidRPr="0080775D">
        <w:rPr>
          <w:rFonts w:ascii="David" w:hAnsi="David" w:cs="David"/>
          <w:sz w:val="24"/>
          <w:szCs w:val="24"/>
          <w:rtl/>
        </w:rPr>
        <w:t>.</w:t>
      </w:r>
      <w:r w:rsidR="0080775D">
        <w:rPr>
          <w:rFonts w:asciiTheme="majorBidi" w:hAnsiTheme="majorBidi" w:cs="Times New Roman" w:hint="cs"/>
          <w:sz w:val="24"/>
          <w:szCs w:val="24"/>
          <w:rtl/>
        </w:rPr>
        <w:t xml:space="preserve"> </w:t>
      </w:r>
      <w:r w:rsidR="0080775D">
        <w:rPr>
          <w:rFonts w:asciiTheme="majorBidi" w:hAnsiTheme="majorBidi" w:cstheme="majorBidi" w:hint="cs"/>
          <w:sz w:val="24"/>
          <w:szCs w:val="24"/>
          <w:rtl/>
        </w:rPr>
        <w:t xml:space="preserve">בכיוון </w:t>
      </w:r>
      <w:r w:rsidR="00122D44">
        <w:rPr>
          <w:rFonts w:asciiTheme="majorBidi" w:hAnsiTheme="majorBidi" w:cstheme="majorBidi" w:hint="cs"/>
          <w:sz w:val="24"/>
          <w:szCs w:val="24"/>
          <w:rtl/>
        </w:rPr>
        <w:t xml:space="preserve">אחר </w:t>
      </w:r>
      <w:r w:rsidR="0080775D">
        <w:rPr>
          <w:rFonts w:asciiTheme="majorBidi" w:hAnsiTheme="majorBidi" w:cstheme="majorBidi" w:hint="cs"/>
          <w:sz w:val="24"/>
          <w:szCs w:val="24"/>
          <w:rtl/>
        </w:rPr>
        <w:t>ביארו התוספות:</w:t>
      </w:r>
      <w:r w:rsidR="009930F9">
        <w:rPr>
          <w:rFonts w:asciiTheme="majorBidi" w:hAnsiTheme="majorBidi" w:cstheme="majorBidi" w:hint="cs"/>
          <w:sz w:val="24"/>
          <w:szCs w:val="24"/>
          <w:rtl/>
        </w:rPr>
        <w:t xml:space="preserve"> היתר </w:t>
      </w:r>
      <w:r>
        <w:rPr>
          <w:rFonts w:asciiTheme="majorBidi" w:hAnsiTheme="majorBidi" w:cstheme="majorBidi" w:hint="cs"/>
          <w:sz w:val="24"/>
          <w:szCs w:val="24"/>
          <w:rtl/>
        </w:rPr>
        <w:t>אבידה</w:t>
      </w:r>
      <w:r w:rsidR="009930F9">
        <w:rPr>
          <w:rFonts w:asciiTheme="majorBidi" w:hAnsiTheme="majorBidi" w:cstheme="majorBidi" w:hint="cs"/>
          <w:sz w:val="24"/>
          <w:szCs w:val="24"/>
          <w:rtl/>
        </w:rPr>
        <w:t xml:space="preserve"> ששטפה נהר, אינו קשור לסימנים, שהואיל והיא אבודה מכל אדם, מה יועילו לו סימנים. </w:t>
      </w:r>
      <w:r w:rsidR="0080775D">
        <w:rPr>
          <w:rFonts w:asciiTheme="majorBidi" w:hAnsiTheme="majorBidi" w:cstheme="majorBidi" w:hint="cs"/>
          <w:sz w:val="24"/>
          <w:szCs w:val="24"/>
          <w:rtl/>
        </w:rPr>
        <w:t xml:space="preserve">לפי חלק מן הגרסאות, </w:t>
      </w:r>
      <w:r w:rsidR="009930F9">
        <w:rPr>
          <w:rFonts w:asciiTheme="majorBidi" w:hAnsiTheme="majorBidi" w:cstheme="majorBidi" w:hint="cs"/>
          <w:sz w:val="24"/>
          <w:szCs w:val="24"/>
          <w:rtl/>
        </w:rPr>
        <w:t>בהיקש נלמד, שגם חיוב ההחזרה כולל מצב שאין בו סימנים. אם ידע הבעלים על ה</w:t>
      </w:r>
      <w:r>
        <w:rPr>
          <w:rFonts w:asciiTheme="majorBidi" w:hAnsiTheme="majorBidi" w:cstheme="majorBidi" w:hint="cs"/>
          <w:sz w:val="24"/>
          <w:szCs w:val="24"/>
          <w:rtl/>
        </w:rPr>
        <w:t>אבידה</w:t>
      </w:r>
      <w:r w:rsidR="009930F9">
        <w:rPr>
          <w:rFonts w:asciiTheme="majorBidi" w:hAnsiTheme="majorBidi" w:cstheme="majorBidi" w:hint="cs"/>
          <w:sz w:val="24"/>
          <w:szCs w:val="24"/>
          <w:rtl/>
        </w:rPr>
        <w:t xml:space="preserve"> והתייאש, אין סיבה לחייב</w:t>
      </w:r>
      <w:r w:rsidR="002C0400">
        <w:rPr>
          <w:rFonts w:asciiTheme="majorBidi" w:hAnsiTheme="majorBidi" w:cstheme="majorBidi" w:hint="cs"/>
          <w:sz w:val="24"/>
          <w:szCs w:val="24"/>
          <w:rtl/>
        </w:rPr>
        <w:t xml:space="preserve"> בהשבה</w:t>
      </w:r>
      <w:r w:rsidR="009930F9">
        <w:rPr>
          <w:rFonts w:asciiTheme="majorBidi" w:hAnsiTheme="majorBidi" w:cstheme="majorBidi" w:hint="cs"/>
          <w:sz w:val="24"/>
          <w:szCs w:val="24"/>
          <w:rtl/>
        </w:rPr>
        <w:t xml:space="preserve">. על כרחנו  </w:t>
      </w:r>
      <w:r w:rsidR="009930F9">
        <w:rPr>
          <w:rFonts w:ascii="David" w:hAnsi="David" w:cs="David" w:hint="cs"/>
          <w:sz w:val="24"/>
          <w:szCs w:val="24"/>
          <w:rtl/>
        </w:rPr>
        <w:t>"</w:t>
      </w:r>
      <w:r w:rsidR="009930F9" w:rsidRPr="00033726">
        <w:rPr>
          <w:rFonts w:ascii="David" w:hAnsi="David" w:cs="David"/>
          <w:sz w:val="24"/>
          <w:szCs w:val="24"/>
          <w:rtl/>
        </w:rPr>
        <w:t>לא אצטריך אלא כי לא ידע</w:t>
      </w:r>
      <w:r w:rsidR="00122D44">
        <w:rPr>
          <w:rFonts w:ascii="David" w:hAnsi="David" w:cs="David" w:hint="cs"/>
          <w:sz w:val="24"/>
          <w:szCs w:val="24"/>
          <w:rtl/>
        </w:rPr>
        <w:t>,</w:t>
      </w:r>
      <w:r w:rsidR="009930F9" w:rsidRPr="00033726">
        <w:rPr>
          <w:rFonts w:ascii="David" w:hAnsi="David" w:cs="David"/>
          <w:sz w:val="24"/>
          <w:szCs w:val="24"/>
          <w:rtl/>
        </w:rPr>
        <w:t xml:space="preserve"> ואף על גב דלכי ידע לא מתיאש אפי' אם יש בו סימן</w:t>
      </w:r>
      <w:r w:rsidR="002C0400">
        <w:rPr>
          <w:rFonts w:ascii="David" w:hAnsi="David" w:cs="David" w:hint="cs"/>
          <w:sz w:val="24"/>
          <w:szCs w:val="24"/>
          <w:rtl/>
        </w:rPr>
        <w:t>,</w:t>
      </w:r>
      <w:r w:rsidR="009930F9" w:rsidRPr="00033726">
        <w:rPr>
          <w:rFonts w:ascii="David" w:hAnsi="David" w:cs="David"/>
          <w:sz w:val="24"/>
          <w:szCs w:val="24"/>
          <w:rtl/>
        </w:rPr>
        <w:t xml:space="preserve"> כיון שהיא אבודה מכל אדם</w:t>
      </w:r>
      <w:r w:rsidR="009930F9">
        <w:rPr>
          <w:rStyle w:val="a9"/>
          <w:rFonts w:ascii="David" w:hAnsi="David" w:cs="David"/>
          <w:sz w:val="24"/>
          <w:szCs w:val="24"/>
          <w:rtl/>
        </w:rPr>
        <w:footnoteReference w:id="4"/>
      </w:r>
      <w:r w:rsidR="009930F9">
        <w:rPr>
          <w:rFonts w:asciiTheme="majorBidi" w:hAnsiTheme="majorBidi" w:cstheme="majorBidi" w:hint="cs"/>
          <w:sz w:val="24"/>
          <w:szCs w:val="24"/>
          <w:rtl/>
        </w:rPr>
        <w:t>".</w:t>
      </w:r>
      <w:r w:rsidR="009930F9">
        <w:rPr>
          <w:rFonts w:asciiTheme="majorBidi" w:hAnsiTheme="majorBidi" w:cstheme="majorBidi" w:hint="cs"/>
          <w:sz w:val="24"/>
          <w:szCs w:val="24"/>
          <w:rtl/>
        </w:rPr>
        <w:t xml:space="preserve"> ומכאן הוכחה לשיטת אביי שקיים חיוב השבה ביאוש שלא מדעת.  מרחיב ב</w:t>
      </w:r>
      <w:r w:rsidR="009F2FBE" w:rsidRPr="009F2FBE">
        <w:rPr>
          <w:rFonts w:asciiTheme="majorBidi" w:hAnsiTheme="majorBidi" w:cstheme="majorBidi"/>
          <w:sz w:val="24"/>
          <w:szCs w:val="24"/>
          <w:rtl/>
        </w:rPr>
        <w:t>פני יהושע</w:t>
      </w:r>
      <w:r w:rsidR="009930F9">
        <w:rPr>
          <w:rFonts w:asciiTheme="majorBidi" w:hAnsiTheme="majorBidi" w:cstheme="majorBidi" w:hint="cs"/>
          <w:sz w:val="24"/>
          <w:szCs w:val="24"/>
          <w:rtl/>
        </w:rPr>
        <w:t xml:space="preserve">: </w:t>
      </w:r>
      <w:r w:rsidR="009930F9">
        <w:rPr>
          <w:rFonts w:ascii="David" w:hAnsi="David" w:cs="David" w:hint="cs"/>
          <w:sz w:val="24"/>
          <w:szCs w:val="24"/>
          <w:rtl/>
        </w:rPr>
        <w:t>"</w:t>
      </w:r>
      <w:r w:rsidR="009F2FBE" w:rsidRPr="009F2FBE">
        <w:rPr>
          <w:rFonts w:ascii="David" w:hAnsi="David" w:cs="David"/>
          <w:sz w:val="24"/>
          <w:szCs w:val="24"/>
          <w:rtl/>
        </w:rPr>
        <w:t>כוונתם מבואר</w:t>
      </w:r>
      <w:r w:rsidR="00BB3781">
        <w:rPr>
          <w:rFonts w:ascii="David" w:hAnsi="David" w:cs="David" w:hint="cs"/>
          <w:sz w:val="24"/>
          <w:szCs w:val="24"/>
          <w:rtl/>
        </w:rPr>
        <w:t>,</w:t>
      </w:r>
      <w:r w:rsidR="009F2FBE" w:rsidRPr="009F2FBE">
        <w:rPr>
          <w:rFonts w:ascii="David" w:hAnsi="David" w:cs="David"/>
          <w:sz w:val="24"/>
          <w:szCs w:val="24"/>
          <w:rtl/>
        </w:rPr>
        <w:t xml:space="preserve"> לפרש דלאו מהיקישא דאיסורא להיתרא דייק לה הש"ס </w:t>
      </w:r>
      <w:r w:rsidR="009F2FBE" w:rsidRPr="00BB3781">
        <w:rPr>
          <w:rFonts w:ascii="David" w:hAnsi="David" w:cs="David"/>
          <w:b/>
          <w:bCs/>
          <w:sz w:val="24"/>
          <w:szCs w:val="24"/>
          <w:rtl/>
        </w:rPr>
        <w:t>כדפרש"י</w:t>
      </w:r>
      <w:r w:rsidR="009930F9">
        <w:rPr>
          <w:rFonts w:ascii="David" w:hAnsi="David" w:cs="David" w:hint="cs"/>
          <w:sz w:val="24"/>
          <w:szCs w:val="24"/>
          <w:rtl/>
        </w:rPr>
        <w:t xml:space="preserve">, </w:t>
      </w:r>
      <w:r w:rsidR="009F2FBE" w:rsidRPr="009F2FBE">
        <w:rPr>
          <w:rFonts w:ascii="David" w:hAnsi="David" w:cs="David"/>
          <w:sz w:val="24"/>
          <w:szCs w:val="24"/>
          <w:rtl/>
        </w:rPr>
        <w:t>אלא דמגופא דקרא מוכח לה</w:t>
      </w:r>
      <w:r w:rsidR="002C0400">
        <w:rPr>
          <w:rFonts w:ascii="David" w:hAnsi="David" w:cs="David" w:hint="cs"/>
          <w:sz w:val="24"/>
          <w:szCs w:val="24"/>
          <w:rtl/>
        </w:rPr>
        <w:t>,</w:t>
      </w:r>
      <w:r w:rsidR="009F2FBE" w:rsidRPr="009F2FBE">
        <w:rPr>
          <w:rFonts w:ascii="David" w:hAnsi="David" w:cs="David"/>
          <w:sz w:val="24"/>
          <w:szCs w:val="24"/>
          <w:rtl/>
        </w:rPr>
        <w:t xml:space="preserve"> דע"כ לא איצטריך קרא אלא לאשמעינן דאע"ג דאכתי לא ידע מריה מיניה</w:t>
      </w:r>
      <w:r w:rsidR="00A7540B">
        <w:rPr>
          <w:rFonts w:ascii="David" w:hAnsi="David" w:cs="David" w:hint="cs"/>
          <w:sz w:val="24"/>
          <w:szCs w:val="24"/>
          <w:rtl/>
        </w:rPr>
        <w:t>,</w:t>
      </w:r>
      <w:r w:rsidR="009F2FBE" w:rsidRPr="009F2FBE">
        <w:rPr>
          <w:rFonts w:ascii="David" w:hAnsi="David" w:cs="David"/>
          <w:sz w:val="24"/>
          <w:szCs w:val="24"/>
          <w:rtl/>
        </w:rPr>
        <w:t xml:space="preserve"> דבכה"ג בעלמא מקרי באיסורא אתא לידיה ולא מהני יאוש וקמ"ל קרא דהכא שרי</w:t>
      </w:r>
      <w:r w:rsidR="009930F9">
        <w:rPr>
          <w:rFonts w:ascii="David" w:hAnsi="David" w:cs="David" w:hint="cs"/>
          <w:sz w:val="24"/>
          <w:szCs w:val="24"/>
          <w:rtl/>
        </w:rPr>
        <w:t>,</w:t>
      </w:r>
      <w:r w:rsidR="009F2FBE" w:rsidRPr="009F2FBE">
        <w:rPr>
          <w:rFonts w:ascii="David" w:hAnsi="David" w:cs="David"/>
          <w:sz w:val="24"/>
          <w:szCs w:val="24"/>
          <w:rtl/>
        </w:rPr>
        <w:t xml:space="preserve"> משום דאין מצויין כו', דאי לא תימא הכי</w:t>
      </w:r>
      <w:r w:rsidR="00BB3781">
        <w:rPr>
          <w:rFonts w:ascii="David" w:hAnsi="David" w:cs="David" w:hint="cs"/>
          <w:sz w:val="24"/>
          <w:szCs w:val="24"/>
          <w:rtl/>
        </w:rPr>
        <w:t>,</w:t>
      </w:r>
      <w:r w:rsidR="009F2FBE" w:rsidRPr="009F2FBE">
        <w:rPr>
          <w:rFonts w:ascii="David" w:hAnsi="David" w:cs="David"/>
          <w:sz w:val="24"/>
          <w:szCs w:val="24"/>
          <w:rtl/>
        </w:rPr>
        <w:t xml:space="preserve"> למאי איצטריך קרא דהא פשיטא דכל הני ודאי יאוש הן</w:t>
      </w:r>
      <w:r w:rsidR="00BB3781">
        <w:rPr>
          <w:rFonts w:ascii="David" w:hAnsi="David" w:cs="David" w:hint="cs"/>
          <w:sz w:val="24"/>
          <w:szCs w:val="24"/>
          <w:rtl/>
        </w:rPr>
        <w:t>,</w:t>
      </w:r>
      <w:r w:rsidR="009F2FBE" w:rsidRPr="009F2FBE">
        <w:rPr>
          <w:rFonts w:ascii="David" w:hAnsi="David" w:cs="David"/>
          <w:sz w:val="24"/>
          <w:szCs w:val="24"/>
          <w:rtl/>
        </w:rPr>
        <w:t xml:space="preserve"> </w:t>
      </w:r>
      <w:r w:rsidR="009F2FBE" w:rsidRPr="009930F9">
        <w:rPr>
          <w:rFonts w:ascii="David" w:hAnsi="David" w:cs="David"/>
          <w:b/>
          <w:bCs/>
          <w:sz w:val="24"/>
          <w:szCs w:val="24"/>
          <w:rtl/>
        </w:rPr>
        <w:t>ופשיטא לן דהיכא דבהיתירא אתי לידיה מהני יאוש מן התורה</w:t>
      </w:r>
      <w:r w:rsidR="009F2FBE" w:rsidRPr="009F2FBE">
        <w:rPr>
          <w:rFonts w:ascii="David" w:hAnsi="David" w:cs="David"/>
          <w:sz w:val="24"/>
          <w:szCs w:val="24"/>
          <w:rtl/>
        </w:rPr>
        <w:t xml:space="preserve"> </w:t>
      </w:r>
      <w:r w:rsidR="009F2FBE" w:rsidRPr="009930F9">
        <w:rPr>
          <w:rFonts w:ascii="David" w:hAnsi="David" w:cs="David"/>
          <w:sz w:val="18"/>
          <w:szCs w:val="18"/>
          <w:rtl/>
        </w:rPr>
        <w:t>כדאיתא פ' מרובה (דף ס"ו ע"א) ע"ש בתוס'</w:t>
      </w:r>
      <w:r w:rsidR="009F2FBE" w:rsidRPr="009F2FBE">
        <w:rPr>
          <w:rFonts w:ascii="David" w:hAnsi="David" w:cs="David"/>
          <w:sz w:val="24"/>
          <w:szCs w:val="24"/>
          <w:rtl/>
        </w:rPr>
        <w:t>, אלא על כרחך דקרא איצטריך לאשמעינן לענין יאוש שלא מדעת דבעלמא לא קני והכא קני</w:t>
      </w:r>
      <w:r w:rsidR="009F4C88">
        <w:rPr>
          <w:rStyle w:val="a9"/>
          <w:rFonts w:ascii="David" w:hAnsi="David" w:cs="David"/>
          <w:sz w:val="24"/>
          <w:szCs w:val="24"/>
          <w:rtl/>
        </w:rPr>
        <w:footnoteReference w:id="5"/>
      </w:r>
      <w:r w:rsidR="009930F9">
        <w:rPr>
          <w:rFonts w:ascii="David" w:hAnsi="David" w:cs="David" w:hint="cs"/>
          <w:sz w:val="24"/>
          <w:szCs w:val="24"/>
          <w:rtl/>
        </w:rPr>
        <w:t>"</w:t>
      </w:r>
      <w:r w:rsidR="009F2FBE" w:rsidRPr="009F2FBE">
        <w:rPr>
          <w:rFonts w:ascii="David" w:hAnsi="David" w:cs="David"/>
          <w:sz w:val="24"/>
          <w:szCs w:val="24"/>
          <w:rtl/>
        </w:rPr>
        <w:t>.</w:t>
      </w:r>
      <w:r w:rsidR="00F842EA">
        <w:rPr>
          <w:rFonts w:asciiTheme="majorBidi" w:hAnsiTheme="majorBidi" w:cstheme="majorBidi" w:hint="cs"/>
          <w:sz w:val="24"/>
          <w:szCs w:val="24"/>
          <w:rtl/>
        </w:rPr>
        <w:t xml:space="preserve"> הסוגיה שם עוסקת בהשפעת </w:t>
      </w:r>
      <w:r>
        <w:rPr>
          <w:rFonts w:asciiTheme="majorBidi" w:hAnsiTheme="majorBidi" w:cstheme="majorBidi" w:hint="cs"/>
          <w:sz w:val="24"/>
          <w:szCs w:val="24"/>
          <w:rtl/>
        </w:rPr>
        <w:t>יאוש</w:t>
      </w:r>
      <w:r w:rsidR="00F842EA">
        <w:rPr>
          <w:rFonts w:asciiTheme="majorBidi" w:hAnsiTheme="majorBidi" w:cstheme="majorBidi" w:hint="cs"/>
          <w:sz w:val="24"/>
          <w:szCs w:val="24"/>
          <w:rtl/>
        </w:rPr>
        <w:t xml:space="preserve"> על קניין גזלן, ומשווה הלכה זו לדין </w:t>
      </w:r>
      <w:r>
        <w:rPr>
          <w:rFonts w:asciiTheme="majorBidi" w:hAnsiTheme="majorBidi" w:cstheme="majorBidi" w:hint="cs"/>
          <w:sz w:val="24"/>
          <w:szCs w:val="24"/>
          <w:rtl/>
        </w:rPr>
        <w:t>אבידה</w:t>
      </w:r>
      <w:r w:rsidR="00F842EA">
        <w:rPr>
          <w:rFonts w:asciiTheme="majorBidi" w:hAnsiTheme="majorBidi" w:cstheme="majorBidi" w:hint="cs"/>
          <w:sz w:val="24"/>
          <w:szCs w:val="24"/>
          <w:rtl/>
        </w:rPr>
        <w:t xml:space="preserve">: </w:t>
      </w:r>
      <w:r w:rsidR="00BB3781">
        <w:rPr>
          <w:rFonts w:asciiTheme="majorBidi" w:hAnsiTheme="majorBidi" w:cstheme="majorBidi" w:hint="cs"/>
          <w:sz w:val="24"/>
          <w:szCs w:val="24"/>
          <w:rtl/>
        </w:rPr>
        <w:t xml:space="preserve"> </w:t>
      </w:r>
      <w:r w:rsidR="00BB3781" w:rsidRPr="00BB3781">
        <w:rPr>
          <w:rFonts w:ascii="David" w:hAnsi="David" w:cs="David"/>
          <w:sz w:val="24"/>
          <w:szCs w:val="24"/>
          <w:rtl/>
        </w:rPr>
        <w:lastRenderedPageBreak/>
        <w:t>"</w:t>
      </w:r>
      <w:r w:rsidR="00BB3781" w:rsidRPr="00BB3781">
        <w:rPr>
          <w:rFonts w:ascii="David" w:hAnsi="David" w:cs="David"/>
          <w:sz w:val="24"/>
          <w:szCs w:val="24"/>
          <w:rtl/>
        </w:rPr>
        <w:t>מוצא אבידה לאו כיון דמייאש מרה מינה מקמי דתיתי לידיה קני ליה, האי נמי כיון דמייאש מרה קני ליה, אלמא קני</w:t>
      </w:r>
      <w:r w:rsidR="00BB3781" w:rsidRPr="00BB3781">
        <w:rPr>
          <w:rStyle w:val="a9"/>
          <w:rFonts w:ascii="David" w:hAnsi="David" w:cs="David"/>
          <w:sz w:val="24"/>
          <w:szCs w:val="24"/>
          <w:rtl/>
        </w:rPr>
        <w:footnoteReference w:id="6"/>
      </w:r>
      <w:r w:rsidR="00BB3781" w:rsidRPr="00BB3781">
        <w:rPr>
          <w:rFonts w:ascii="David" w:hAnsi="David" w:cs="David"/>
          <w:sz w:val="24"/>
          <w:szCs w:val="24"/>
          <w:rtl/>
        </w:rPr>
        <w:t>".</w:t>
      </w:r>
      <w:r w:rsidR="00BB3781">
        <w:rPr>
          <w:rFonts w:ascii="David" w:hAnsi="David" w:cs="David" w:hint="cs"/>
          <w:sz w:val="24"/>
          <w:szCs w:val="24"/>
          <w:rtl/>
        </w:rPr>
        <w:t xml:space="preserve"> </w:t>
      </w:r>
      <w:r w:rsidR="00BB3781">
        <w:rPr>
          <w:rFonts w:asciiTheme="majorBidi" w:hAnsiTheme="majorBidi" w:cstheme="majorBidi" w:hint="cs"/>
          <w:sz w:val="24"/>
          <w:szCs w:val="24"/>
          <w:rtl/>
        </w:rPr>
        <w:t xml:space="preserve">מבארים בעלי התוספות: </w:t>
      </w:r>
      <w:r w:rsidR="00BB3781" w:rsidRPr="00BB3781">
        <w:rPr>
          <w:rFonts w:ascii="David" w:hAnsi="David" w:cs="David"/>
          <w:sz w:val="24"/>
          <w:szCs w:val="24"/>
          <w:rtl/>
        </w:rPr>
        <w:t>"</w:t>
      </w:r>
      <w:r w:rsidR="00BB3781" w:rsidRPr="00BB3781">
        <w:rPr>
          <w:rFonts w:ascii="David" w:hAnsi="David" w:cs="David"/>
          <w:sz w:val="24"/>
          <w:szCs w:val="24"/>
          <w:rtl/>
        </w:rPr>
        <w:t>אור"י דנפקא לן דיאוש קונה באבידה</w:t>
      </w:r>
      <w:r w:rsidR="00BB3781">
        <w:rPr>
          <w:rFonts w:ascii="David" w:hAnsi="David" w:cs="David" w:hint="cs"/>
          <w:sz w:val="24"/>
          <w:szCs w:val="24"/>
          <w:rtl/>
        </w:rPr>
        <w:t>,</w:t>
      </w:r>
      <w:r w:rsidR="00BB3781" w:rsidRPr="00BB3781">
        <w:rPr>
          <w:rFonts w:ascii="David" w:hAnsi="David" w:cs="David"/>
          <w:sz w:val="24"/>
          <w:szCs w:val="24"/>
          <w:rtl/>
        </w:rPr>
        <w:t xml:space="preserve"> מהא דאמר באלו מציאות </w:t>
      </w:r>
      <w:r w:rsidR="00BB3781" w:rsidRPr="00BB3781">
        <w:rPr>
          <w:rFonts w:ascii="David" w:hAnsi="David" w:cs="David"/>
          <w:sz w:val="18"/>
          <w:szCs w:val="18"/>
          <w:rtl/>
        </w:rPr>
        <w:t>(ב"מ דף כז. ושם)</w:t>
      </w:r>
      <w:r w:rsidR="00BB3781" w:rsidRPr="00BB3781">
        <w:rPr>
          <w:rFonts w:ascii="David" w:hAnsi="David" w:cs="David"/>
          <w:sz w:val="24"/>
          <w:szCs w:val="24"/>
          <w:rtl/>
        </w:rPr>
        <w:t xml:space="preserve"> מה שמלה מיוחדת שיש לה סימנין ויש לה תובעים</w:t>
      </w:r>
      <w:r w:rsidR="00A7540B">
        <w:rPr>
          <w:rFonts w:ascii="David" w:hAnsi="David" w:cs="David" w:hint="cs"/>
          <w:sz w:val="24"/>
          <w:szCs w:val="24"/>
          <w:rtl/>
        </w:rPr>
        <w:t>,</w:t>
      </w:r>
      <w:r w:rsidR="00BB3781" w:rsidRPr="00BB3781">
        <w:rPr>
          <w:rFonts w:ascii="David" w:hAnsi="David" w:cs="David"/>
          <w:sz w:val="24"/>
          <w:szCs w:val="24"/>
          <w:rtl/>
        </w:rPr>
        <w:t xml:space="preserve"> פי' </w:t>
      </w:r>
      <w:r w:rsidR="00BB3781" w:rsidRPr="00A7540B">
        <w:rPr>
          <w:rFonts w:ascii="David" w:hAnsi="David" w:cs="David"/>
          <w:b/>
          <w:bCs/>
          <w:sz w:val="24"/>
          <w:szCs w:val="24"/>
          <w:rtl/>
        </w:rPr>
        <w:t>ע"י שיש לה סימנין יש לה תובעים שאין הבעלים מתייאשין כיון שיש בהם סימן</w:t>
      </w:r>
      <w:r w:rsidR="00BB3781">
        <w:rPr>
          <w:rFonts w:ascii="David" w:hAnsi="David" w:cs="David" w:hint="cs"/>
          <w:sz w:val="24"/>
          <w:szCs w:val="24"/>
          <w:rtl/>
        </w:rPr>
        <w:t>.</w:t>
      </w:r>
      <w:r w:rsidR="00BB3781" w:rsidRPr="00BB3781">
        <w:rPr>
          <w:rFonts w:ascii="David" w:hAnsi="David" w:cs="David"/>
          <w:sz w:val="24"/>
          <w:szCs w:val="24"/>
          <w:rtl/>
        </w:rPr>
        <w:t xml:space="preserve"> ולא כמו שפ"ה שם</w:t>
      </w:r>
      <w:r w:rsidR="00BB3781">
        <w:rPr>
          <w:rFonts w:ascii="David" w:hAnsi="David" w:cs="David" w:hint="cs"/>
          <w:sz w:val="24"/>
          <w:szCs w:val="24"/>
          <w:rtl/>
        </w:rPr>
        <w:t>,</w:t>
      </w:r>
      <w:r w:rsidR="00BB3781" w:rsidRPr="00BB3781">
        <w:rPr>
          <w:rFonts w:ascii="David" w:hAnsi="David" w:cs="David"/>
          <w:sz w:val="24"/>
          <w:szCs w:val="24"/>
          <w:rtl/>
        </w:rPr>
        <w:t xml:space="preserve"> שיש לה תובעין שאינה של הפקר דשמלה דבר הנעשה בידי אדם הוא דהא ל"ל קרא להכי פשיטא דשל הפקר פטור</w:t>
      </w:r>
      <w:r w:rsidR="00BB3781">
        <w:rPr>
          <w:rFonts w:ascii="David" w:hAnsi="David" w:cs="David" w:hint="cs"/>
          <w:sz w:val="24"/>
          <w:szCs w:val="24"/>
          <w:rtl/>
        </w:rPr>
        <w:t>,</w:t>
      </w:r>
      <w:r w:rsidR="00BB3781" w:rsidRPr="00BB3781">
        <w:rPr>
          <w:rFonts w:ascii="David" w:hAnsi="David" w:cs="David"/>
          <w:sz w:val="24"/>
          <w:szCs w:val="24"/>
          <w:rtl/>
        </w:rPr>
        <w:t xml:space="preserve"> דלמי ישיב</w:t>
      </w:r>
      <w:r w:rsidR="00BB3781" w:rsidRPr="00BB3781">
        <w:rPr>
          <w:rStyle w:val="a9"/>
          <w:rFonts w:ascii="David" w:hAnsi="David" w:cs="David"/>
          <w:sz w:val="24"/>
          <w:szCs w:val="24"/>
          <w:rtl/>
        </w:rPr>
        <w:footnoteReference w:id="7"/>
      </w:r>
      <w:r w:rsidR="00BB3781" w:rsidRPr="00BB3781">
        <w:rPr>
          <w:rFonts w:ascii="David" w:hAnsi="David" w:cs="David"/>
          <w:sz w:val="24"/>
          <w:szCs w:val="24"/>
          <w:rtl/>
        </w:rPr>
        <w:t>"</w:t>
      </w:r>
      <w:r w:rsidR="00BB3781">
        <w:rPr>
          <w:rFonts w:ascii="David" w:hAnsi="David" w:cs="David" w:hint="cs"/>
          <w:sz w:val="24"/>
          <w:szCs w:val="24"/>
          <w:rtl/>
        </w:rPr>
        <w:t>?</w:t>
      </w:r>
    </w:p>
    <w:p w14:paraId="4ADED685" w14:textId="03E0EE6F" w:rsidR="00BB3781" w:rsidRDefault="000F65EA" w:rsidP="00BB3781">
      <w:pPr>
        <w:spacing w:after="0" w:line="360" w:lineRule="auto"/>
        <w:rPr>
          <w:rFonts w:asciiTheme="majorBidi" w:hAnsiTheme="majorBidi" w:cstheme="majorBidi"/>
          <w:b/>
          <w:bCs/>
          <w:sz w:val="24"/>
          <w:szCs w:val="24"/>
          <w:rtl/>
        </w:rPr>
      </w:pPr>
      <w:r>
        <w:rPr>
          <w:rFonts w:asciiTheme="majorBidi" w:hAnsiTheme="majorBidi" w:cstheme="majorBidi" w:hint="cs"/>
          <w:b/>
          <w:bCs/>
          <w:sz w:val="24"/>
          <w:szCs w:val="24"/>
          <w:rtl/>
        </w:rPr>
        <w:t xml:space="preserve">ב. </w:t>
      </w:r>
      <w:r w:rsidR="00BB3781">
        <w:rPr>
          <w:rFonts w:asciiTheme="majorBidi" w:hAnsiTheme="majorBidi" w:cstheme="majorBidi" w:hint="cs"/>
          <w:b/>
          <w:bCs/>
          <w:sz w:val="24"/>
          <w:szCs w:val="24"/>
          <w:rtl/>
        </w:rPr>
        <w:t xml:space="preserve">מקור דין </w:t>
      </w:r>
      <w:r>
        <w:rPr>
          <w:rFonts w:asciiTheme="majorBidi" w:hAnsiTheme="majorBidi" w:cstheme="majorBidi" w:hint="cs"/>
          <w:b/>
          <w:bCs/>
          <w:sz w:val="24"/>
          <w:szCs w:val="24"/>
          <w:rtl/>
        </w:rPr>
        <w:t>יאוש</w:t>
      </w:r>
      <w:r w:rsidR="00F64CC2">
        <w:rPr>
          <w:rFonts w:asciiTheme="majorBidi" w:hAnsiTheme="majorBidi" w:cstheme="majorBidi" w:hint="cs"/>
          <w:b/>
          <w:bCs/>
          <w:sz w:val="24"/>
          <w:szCs w:val="24"/>
          <w:rtl/>
        </w:rPr>
        <w:t xml:space="preserve"> לפי רש"י ותוספות</w:t>
      </w:r>
    </w:p>
    <w:p w14:paraId="52636300" w14:textId="2A81E789" w:rsidR="00BB3781" w:rsidRPr="00BB3781" w:rsidRDefault="00BB3781" w:rsidP="00BB3781">
      <w:pPr>
        <w:spacing w:after="0" w:line="360" w:lineRule="auto"/>
        <w:rPr>
          <w:rFonts w:asciiTheme="majorBidi" w:hAnsiTheme="majorBidi" w:cstheme="majorBidi"/>
          <w:sz w:val="24"/>
          <w:szCs w:val="24"/>
          <w:rtl/>
        </w:rPr>
      </w:pPr>
      <w:r w:rsidRPr="00BB3781">
        <w:rPr>
          <w:rFonts w:asciiTheme="majorBidi" w:hAnsiTheme="majorBidi" w:cstheme="majorBidi" w:hint="cs"/>
          <w:sz w:val="24"/>
          <w:szCs w:val="24"/>
          <w:rtl/>
        </w:rPr>
        <w:t>אם כן, שתי מחלוקות לפנינו</w:t>
      </w:r>
      <w:r w:rsidR="00774559">
        <w:rPr>
          <w:rFonts w:asciiTheme="majorBidi" w:hAnsiTheme="majorBidi" w:cstheme="majorBidi" w:hint="cs"/>
          <w:sz w:val="24"/>
          <w:szCs w:val="24"/>
          <w:rtl/>
        </w:rPr>
        <w:t xml:space="preserve"> בין רש"י לבין התוספות</w:t>
      </w:r>
      <w:r w:rsidRPr="00BB3781">
        <w:rPr>
          <w:rFonts w:asciiTheme="majorBidi" w:hAnsiTheme="majorBidi" w:cstheme="majorBidi" w:hint="cs"/>
          <w:sz w:val="24"/>
          <w:szCs w:val="24"/>
          <w:rtl/>
        </w:rPr>
        <w:t xml:space="preserve">. </w:t>
      </w:r>
      <w:r>
        <w:rPr>
          <w:rFonts w:asciiTheme="majorBidi" w:hAnsiTheme="majorBidi" w:cstheme="majorBidi" w:hint="cs"/>
          <w:sz w:val="24"/>
          <w:szCs w:val="24"/>
          <w:rtl/>
        </w:rPr>
        <w:t>בהבנת הדרשה בסוגייתנו</w:t>
      </w:r>
      <w:r w:rsidR="00880CBD">
        <w:rPr>
          <w:rFonts w:asciiTheme="majorBidi" w:hAnsiTheme="majorBidi" w:cstheme="majorBidi" w:hint="cs"/>
          <w:sz w:val="24"/>
          <w:szCs w:val="24"/>
          <w:rtl/>
        </w:rPr>
        <w:t>,</w:t>
      </w:r>
      <w:r>
        <w:rPr>
          <w:rFonts w:asciiTheme="majorBidi" w:hAnsiTheme="majorBidi" w:cstheme="majorBidi" w:hint="cs"/>
          <w:sz w:val="24"/>
          <w:szCs w:val="24"/>
          <w:rtl/>
        </w:rPr>
        <w:t xml:space="preserve"> ובמקור דין יאוש. הן תלויות זו בזו. רש"י כותב בסוגייתנו שההלכה של רבי יוחנן נלמדת מהיקש בפסוק: </w:t>
      </w:r>
      <w:r>
        <w:rPr>
          <w:rFonts w:asciiTheme="majorBidi" w:hAnsiTheme="majorBidi" w:cs="Times New Roman" w:hint="cs"/>
          <w:sz w:val="24"/>
          <w:szCs w:val="24"/>
          <w:rtl/>
        </w:rPr>
        <w:t xml:space="preserve"> </w:t>
      </w:r>
    </w:p>
    <w:p w14:paraId="607BBDB0" w14:textId="460C16A4" w:rsidR="00BB3781" w:rsidRPr="00671245" w:rsidRDefault="00BB3781" w:rsidP="00BB3781">
      <w:pPr>
        <w:spacing w:after="0" w:line="360" w:lineRule="auto"/>
        <w:rPr>
          <w:rFonts w:asciiTheme="majorBidi" w:hAnsiTheme="majorBidi" w:cstheme="majorBidi"/>
          <w:sz w:val="24"/>
          <w:szCs w:val="24"/>
          <w:rtl/>
        </w:rPr>
      </w:pPr>
      <w:r w:rsidRPr="00BB3781">
        <w:rPr>
          <w:rFonts w:ascii="David" w:hAnsi="David" w:cs="David"/>
          <w:sz w:val="24"/>
          <w:szCs w:val="24"/>
          <w:rtl/>
        </w:rPr>
        <w:t>"</w:t>
      </w:r>
      <w:r w:rsidRPr="00BB3781">
        <w:rPr>
          <w:rFonts w:ascii="David" w:hAnsi="David" w:cs="David"/>
          <w:sz w:val="24"/>
          <w:szCs w:val="24"/>
          <w:rtl/>
        </w:rPr>
        <w:t>ואיסורא דומיא דהיתירא - כיון דמחד קרא ילפינן מצויה אצל כל אדם שיחזור, ושאינה מצויה יזכה בה - איתקושי אתקוש להדדי, זו לאיסורא וזו להיתירא</w:t>
      </w:r>
      <w:r w:rsidRPr="00BB3781">
        <w:rPr>
          <w:rFonts w:ascii="David" w:hAnsi="David" w:cs="David"/>
          <w:sz w:val="24"/>
          <w:szCs w:val="24"/>
          <w:rtl/>
        </w:rPr>
        <w:t>"</w:t>
      </w:r>
      <w:r w:rsidRPr="00BB3781">
        <w:rPr>
          <w:rFonts w:ascii="David" w:hAnsi="David" w:cs="David"/>
          <w:sz w:val="24"/>
          <w:szCs w:val="24"/>
          <w:rtl/>
        </w:rPr>
        <w:t>.</w:t>
      </w:r>
      <w:r w:rsidR="00671245">
        <w:rPr>
          <w:rFonts w:ascii="David" w:hAnsi="David" w:cs="David" w:hint="cs"/>
          <w:sz w:val="24"/>
          <w:szCs w:val="24"/>
          <w:rtl/>
        </w:rPr>
        <w:t xml:space="preserve"> </w:t>
      </w:r>
      <w:r w:rsidR="00671245" w:rsidRPr="00671245">
        <w:rPr>
          <w:rFonts w:asciiTheme="majorBidi" w:hAnsiTheme="majorBidi" w:cstheme="majorBidi"/>
          <w:sz w:val="24"/>
          <w:szCs w:val="24"/>
          <w:rtl/>
        </w:rPr>
        <w:t>לפי בעלי התוספות, הלימוד מסתמך כנתון על ההלכה שיאוש ב</w:t>
      </w:r>
      <w:r w:rsidR="000F65EA">
        <w:rPr>
          <w:rFonts w:asciiTheme="majorBidi" w:hAnsiTheme="majorBidi" w:cstheme="majorBidi"/>
          <w:sz w:val="24"/>
          <w:szCs w:val="24"/>
          <w:rtl/>
        </w:rPr>
        <w:t>אבידה</w:t>
      </w:r>
      <w:r w:rsidR="00671245" w:rsidRPr="00671245">
        <w:rPr>
          <w:rFonts w:asciiTheme="majorBidi" w:hAnsiTheme="majorBidi" w:cstheme="majorBidi"/>
          <w:sz w:val="24"/>
          <w:szCs w:val="24"/>
          <w:rtl/>
        </w:rPr>
        <w:t xml:space="preserve"> בלי סימנים קונה, גם ב</w:t>
      </w:r>
      <w:r w:rsidR="000F65EA">
        <w:rPr>
          <w:rFonts w:asciiTheme="majorBidi" w:hAnsiTheme="majorBidi" w:cstheme="majorBidi"/>
          <w:sz w:val="24"/>
          <w:szCs w:val="24"/>
          <w:rtl/>
        </w:rPr>
        <w:t>אבידה</w:t>
      </w:r>
      <w:r w:rsidR="00671245" w:rsidRPr="00671245">
        <w:rPr>
          <w:rFonts w:asciiTheme="majorBidi" w:hAnsiTheme="majorBidi" w:cstheme="majorBidi"/>
          <w:sz w:val="24"/>
          <w:szCs w:val="24"/>
          <w:rtl/>
        </w:rPr>
        <w:t xml:space="preserve"> רגילה, ולפיכך הכרחי שההיתר המיוחד של אבידת כל אדם מדבר דווקא ביאוש שלא מדעת. </w:t>
      </w:r>
      <w:r w:rsidR="00671245">
        <w:rPr>
          <w:rFonts w:asciiTheme="majorBidi" w:hAnsiTheme="majorBidi" w:cstheme="majorBidi" w:hint="cs"/>
          <w:sz w:val="24"/>
          <w:szCs w:val="24"/>
          <w:rtl/>
        </w:rPr>
        <w:t xml:space="preserve">רש"י אינו מקבל זאת, כי לדעתו לא קיים הלימוד לקניין יאוש משמלה כפי שהביאו התוספות. נראה שדעתו כפי ששאל הרמב"ן: </w:t>
      </w:r>
    </w:p>
    <w:p w14:paraId="68E22907" w14:textId="5B131EC9" w:rsidR="00671245" w:rsidRDefault="00671245" w:rsidP="00671245">
      <w:pPr>
        <w:spacing w:after="0" w:line="360" w:lineRule="auto"/>
        <w:rPr>
          <w:rFonts w:ascii="David" w:hAnsi="David" w:cs="David"/>
          <w:sz w:val="24"/>
          <w:szCs w:val="24"/>
          <w:rtl/>
        </w:rPr>
      </w:pPr>
      <w:r>
        <w:rPr>
          <w:rFonts w:asciiTheme="majorBidi" w:hAnsiTheme="majorBidi" w:cstheme="majorBidi" w:hint="cs"/>
          <w:sz w:val="24"/>
          <w:szCs w:val="24"/>
          <w:rtl/>
        </w:rPr>
        <w:t>"</w:t>
      </w:r>
      <w:r w:rsidR="00033726" w:rsidRPr="00033726">
        <w:rPr>
          <w:rFonts w:ascii="David" w:hAnsi="David" w:cs="David"/>
          <w:sz w:val="24"/>
          <w:szCs w:val="24"/>
          <w:rtl/>
        </w:rPr>
        <w:t>אי קשיא</w:t>
      </w:r>
      <w:r>
        <w:rPr>
          <w:rFonts w:ascii="David" w:hAnsi="David" w:cs="David" w:hint="cs"/>
          <w:sz w:val="24"/>
          <w:szCs w:val="24"/>
          <w:rtl/>
        </w:rPr>
        <w:t>:</w:t>
      </w:r>
      <w:r w:rsidR="00033726" w:rsidRPr="00033726">
        <w:rPr>
          <w:rFonts w:ascii="David" w:hAnsi="David" w:cs="David"/>
          <w:sz w:val="24"/>
          <w:szCs w:val="24"/>
          <w:rtl/>
        </w:rPr>
        <w:t xml:space="preserve"> ודילמא ה"ק רחמנא</w:t>
      </w:r>
      <w:r w:rsidR="002C0400">
        <w:rPr>
          <w:rFonts w:ascii="David" w:hAnsi="David" w:cs="David" w:hint="cs"/>
          <w:sz w:val="24"/>
          <w:szCs w:val="24"/>
          <w:rtl/>
        </w:rPr>
        <w:t>:</w:t>
      </w:r>
      <w:r w:rsidR="00033726" w:rsidRPr="00033726">
        <w:rPr>
          <w:rFonts w:ascii="David" w:hAnsi="David" w:cs="David"/>
          <w:sz w:val="24"/>
          <w:szCs w:val="24"/>
          <w:rtl/>
        </w:rPr>
        <w:t xml:space="preserve"> אבודה מכל אדם מותרת שנתיאש ויאוש מתירה, ומצויה אצל כל אדם אסורה שאין בה יאוש </w:t>
      </w:r>
      <w:r w:rsidR="00033726" w:rsidRPr="00671245">
        <w:rPr>
          <w:rFonts w:ascii="David" w:hAnsi="David" w:cs="David"/>
          <w:b/>
          <w:bCs/>
          <w:sz w:val="24"/>
          <w:szCs w:val="24"/>
          <w:rtl/>
        </w:rPr>
        <w:t>וקמ"ל דיאוש קני,</w:t>
      </w:r>
      <w:r w:rsidR="00033726" w:rsidRPr="00033726">
        <w:rPr>
          <w:rFonts w:ascii="David" w:hAnsi="David" w:cs="David"/>
          <w:sz w:val="24"/>
          <w:szCs w:val="24"/>
          <w:rtl/>
        </w:rPr>
        <w:t xml:space="preserve"> לא קשיא דיאוש משמלה נפקא לן כדתנן בפירקין, ועוד לישמעינן יאוש במצויה אצל כל אדם כגון שנתיאש או שאין בה סימן, מדקא נסיב לה תלמודא שאבודה ממנו ומכל אדם ש"מ אין יאוש מתירה אלא אבדתה מכל אדם מתירה וש"מ דיאוש שלא מדעת לא הוי יאוש</w:t>
      </w:r>
      <w:r>
        <w:rPr>
          <w:rFonts w:ascii="David" w:hAnsi="David" w:cs="David" w:hint="cs"/>
          <w:sz w:val="24"/>
          <w:szCs w:val="24"/>
          <w:rtl/>
        </w:rPr>
        <w:t>". "</w:t>
      </w:r>
      <w:r w:rsidRPr="00033726">
        <w:rPr>
          <w:rFonts w:ascii="David" w:hAnsi="David" w:cs="David"/>
          <w:sz w:val="24"/>
          <w:szCs w:val="24"/>
          <w:rtl/>
        </w:rPr>
        <w:t>ואי טעמא משום דכי ידע מתיאש א"כ למה לי דאבודה מכל אדם, די כשהיא אבודה ממנו בלבד, ולפיכך אי אפשר לפרש כך</w:t>
      </w:r>
      <w:r>
        <w:rPr>
          <w:rStyle w:val="a9"/>
          <w:rFonts w:ascii="David" w:hAnsi="David" w:cs="David"/>
          <w:sz w:val="24"/>
          <w:szCs w:val="24"/>
          <w:rtl/>
        </w:rPr>
        <w:footnoteReference w:id="8"/>
      </w:r>
      <w:r>
        <w:rPr>
          <w:rFonts w:ascii="David" w:hAnsi="David" w:cs="David" w:hint="cs"/>
          <w:sz w:val="24"/>
          <w:szCs w:val="24"/>
          <w:rtl/>
        </w:rPr>
        <w:t>"</w:t>
      </w:r>
      <w:r w:rsidRPr="00033726">
        <w:rPr>
          <w:rFonts w:ascii="David" w:hAnsi="David" w:cs="David"/>
          <w:sz w:val="24"/>
          <w:szCs w:val="24"/>
          <w:rtl/>
        </w:rPr>
        <w:t>.</w:t>
      </w:r>
    </w:p>
    <w:p w14:paraId="34E52858" w14:textId="6A887D96" w:rsidR="00033726" w:rsidRDefault="00671245" w:rsidP="002071DC">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דהיינו, שלדעת רש"י דין </w:t>
      </w:r>
      <w:r w:rsidR="000F65EA">
        <w:rPr>
          <w:rFonts w:asciiTheme="majorBidi" w:hAnsiTheme="majorBidi" w:cstheme="majorBidi" w:hint="cs"/>
          <w:sz w:val="24"/>
          <w:szCs w:val="24"/>
          <w:rtl/>
        </w:rPr>
        <w:t>יאוש</w:t>
      </w:r>
      <w:r>
        <w:rPr>
          <w:rFonts w:asciiTheme="majorBidi" w:hAnsiTheme="majorBidi" w:cstheme="majorBidi" w:hint="cs"/>
          <w:sz w:val="24"/>
          <w:szCs w:val="24"/>
          <w:rtl/>
        </w:rPr>
        <w:t xml:space="preserve"> המתיר </w:t>
      </w:r>
      <w:r w:rsidR="000F65EA">
        <w:rPr>
          <w:rFonts w:asciiTheme="majorBidi" w:hAnsiTheme="majorBidi" w:cstheme="majorBidi" w:hint="cs"/>
          <w:sz w:val="24"/>
          <w:szCs w:val="24"/>
          <w:rtl/>
        </w:rPr>
        <w:t>אבידה</w:t>
      </w:r>
      <w:r>
        <w:rPr>
          <w:rFonts w:asciiTheme="majorBidi" w:hAnsiTheme="majorBidi" w:cstheme="majorBidi" w:hint="cs"/>
          <w:sz w:val="24"/>
          <w:szCs w:val="24"/>
          <w:rtl/>
        </w:rPr>
        <w:t xml:space="preserve">, נלמד כאן מהפסוק. </w:t>
      </w:r>
      <w:r w:rsidR="00970E50">
        <w:rPr>
          <w:rFonts w:asciiTheme="majorBidi" w:hAnsiTheme="majorBidi" w:cstheme="majorBidi" w:hint="cs"/>
          <w:sz w:val="24"/>
          <w:szCs w:val="24"/>
          <w:rtl/>
        </w:rPr>
        <w:t xml:space="preserve">באמת רש"י גורס בסוגייתנו תוספת המורה, שלדעתו כאן שנתה תורה דין </w:t>
      </w:r>
      <w:r w:rsidR="000F65EA">
        <w:rPr>
          <w:rFonts w:asciiTheme="majorBidi" w:hAnsiTheme="majorBidi" w:cstheme="majorBidi" w:hint="cs"/>
          <w:sz w:val="24"/>
          <w:szCs w:val="24"/>
          <w:rtl/>
        </w:rPr>
        <w:t>יאוש</w:t>
      </w:r>
      <w:r w:rsidR="00970E50">
        <w:rPr>
          <w:rFonts w:asciiTheme="majorBidi" w:hAnsiTheme="majorBidi" w:cstheme="majorBidi" w:hint="cs"/>
          <w:sz w:val="24"/>
          <w:szCs w:val="24"/>
          <w:rtl/>
        </w:rPr>
        <w:t xml:space="preserve">: </w:t>
      </w:r>
      <w:r w:rsidR="002071DC">
        <w:rPr>
          <w:rFonts w:ascii="David" w:hAnsi="David" w:cs="David" w:hint="cs"/>
          <w:sz w:val="24"/>
          <w:szCs w:val="24"/>
          <w:rtl/>
        </w:rPr>
        <w:t>"</w:t>
      </w:r>
      <w:r w:rsidR="00970E50" w:rsidRPr="002071DC">
        <w:rPr>
          <w:rFonts w:ascii="David" w:hAnsi="David" w:cs="David"/>
          <w:sz w:val="24"/>
          <w:szCs w:val="24"/>
          <w:rtl/>
        </w:rPr>
        <w:t>הכי גרסינן: הרי אלו שלו מפני שנתיאשו הבעלים</w:t>
      </w:r>
      <w:r w:rsidR="002071DC" w:rsidRPr="002071DC">
        <w:rPr>
          <w:rStyle w:val="a9"/>
          <w:rFonts w:ascii="David" w:hAnsi="David" w:cs="David"/>
          <w:sz w:val="24"/>
          <w:szCs w:val="24"/>
          <w:rtl/>
        </w:rPr>
        <w:footnoteReference w:id="9"/>
      </w:r>
      <w:r w:rsidR="002071DC">
        <w:rPr>
          <w:rFonts w:ascii="David" w:hAnsi="David" w:cs="David" w:hint="cs"/>
          <w:sz w:val="24"/>
          <w:szCs w:val="24"/>
          <w:rtl/>
        </w:rPr>
        <w:t>".</w:t>
      </w:r>
    </w:p>
    <w:p w14:paraId="57E16B4E" w14:textId="3823A8E3" w:rsidR="002C03CF" w:rsidRDefault="002C03CF" w:rsidP="00F6395C">
      <w:pPr>
        <w:spacing w:after="0" w:line="360" w:lineRule="auto"/>
        <w:rPr>
          <w:rFonts w:ascii="David" w:hAnsi="David" w:cs="David"/>
          <w:sz w:val="24"/>
          <w:szCs w:val="24"/>
          <w:rtl/>
        </w:rPr>
      </w:pPr>
      <w:r>
        <w:rPr>
          <w:rFonts w:asciiTheme="majorBidi" w:hAnsiTheme="majorBidi" w:cstheme="majorBidi" w:hint="cs"/>
          <w:sz w:val="24"/>
          <w:szCs w:val="24"/>
          <w:rtl/>
        </w:rPr>
        <w:t xml:space="preserve">ר' דוד פוברסקי מציע שמחלוקת זו יכולה להיות מחלוקת האמוראים: </w:t>
      </w:r>
      <w:r>
        <w:rPr>
          <w:rFonts w:ascii="David" w:hAnsi="David" w:cs="David" w:hint="cs"/>
          <w:sz w:val="24"/>
          <w:szCs w:val="24"/>
          <w:rtl/>
        </w:rPr>
        <w:t>"</w:t>
      </w:r>
      <w:r w:rsidRPr="009F2FBE">
        <w:rPr>
          <w:rFonts w:ascii="David" w:hAnsi="David" w:cs="David"/>
          <w:sz w:val="24"/>
          <w:szCs w:val="24"/>
          <w:rtl/>
        </w:rPr>
        <w:t>לרבא כל עיקר דין יאוש ילפינן רק מזוטו של ים</w:t>
      </w:r>
      <w:r>
        <w:rPr>
          <w:rFonts w:ascii="David" w:hAnsi="David" w:cs="David" w:hint="cs"/>
          <w:sz w:val="24"/>
          <w:szCs w:val="24"/>
          <w:rtl/>
        </w:rPr>
        <w:t>..</w:t>
      </w:r>
      <w:r w:rsidRPr="009F2FBE">
        <w:rPr>
          <w:rFonts w:ascii="David" w:hAnsi="David" w:cs="David"/>
          <w:sz w:val="24"/>
          <w:szCs w:val="24"/>
          <w:rtl/>
        </w:rPr>
        <w:t xml:space="preserve"> ליכא רק קרא אחד על יאוש בזוטו של ים.</w:t>
      </w:r>
      <w:r>
        <w:rPr>
          <w:rFonts w:ascii="David" w:hAnsi="David" w:cs="David" w:hint="cs"/>
          <w:sz w:val="24"/>
          <w:szCs w:val="24"/>
          <w:rtl/>
        </w:rPr>
        <w:t xml:space="preserve"> </w:t>
      </w:r>
      <w:r w:rsidRPr="009F2FBE">
        <w:rPr>
          <w:rFonts w:ascii="David" w:hAnsi="David" w:cs="David"/>
          <w:sz w:val="24"/>
          <w:szCs w:val="24"/>
          <w:rtl/>
        </w:rPr>
        <w:t>ורק אביי סובר דאיכא תרי לימודים, חדא משמלה, דשם ישל"מ לא הוי יאוש, וחדא מזוטו של ים, דבזה ישל"מ הוי יאוש</w:t>
      </w:r>
      <w:r>
        <w:rPr>
          <w:rStyle w:val="a9"/>
          <w:rFonts w:ascii="David" w:hAnsi="David" w:cs="David"/>
          <w:sz w:val="24"/>
          <w:szCs w:val="24"/>
          <w:rtl/>
        </w:rPr>
        <w:footnoteReference w:id="10"/>
      </w:r>
      <w:r>
        <w:rPr>
          <w:rFonts w:ascii="David" w:hAnsi="David" w:cs="David" w:hint="cs"/>
          <w:sz w:val="24"/>
          <w:szCs w:val="24"/>
          <w:rtl/>
        </w:rPr>
        <w:t>"</w:t>
      </w:r>
      <w:r w:rsidRPr="009F2FBE">
        <w:rPr>
          <w:rFonts w:ascii="David" w:hAnsi="David" w:cs="David"/>
          <w:sz w:val="24"/>
          <w:szCs w:val="24"/>
          <w:rtl/>
        </w:rPr>
        <w:t>.</w:t>
      </w:r>
    </w:p>
    <w:p w14:paraId="7DA96C62" w14:textId="6E75224E" w:rsidR="00F64CC2" w:rsidRPr="00F64CC2" w:rsidRDefault="00F64CC2" w:rsidP="00F6395C">
      <w:pPr>
        <w:spacing w:after="0" w:line="360" w:lineRule="auto"/>
        <w:rPr>
          <w:rFonts w:asciiTheme="majorBidi" w:hAnsiTheme="majorBidi" w:cstheme="majorBidi"/>
          <w:sz w:val="24"/>
          <w:szCs w:val="24"/>
          <w:rtl/>
        </w:rPr>
      </w:pPr>
      <w:r w:rsidRPr="00F64CC2">
        <w:rPr>
          <w:rFonts w:asciiTheme="majorBidi" w:hAnsiTheme="majorBidi" w:cstheme="majorBidi"/>
          <w:sz w:val="24"/>
          <w:szCs w:val="24"/>
          <w:rtl/>
        </w:rPr>
        <w:t>מכל מקום</w:t>
      </w:r>
      <w:r>
        <w:rPr>
          <w:rFonts w:asciiTheme="majorBidi" w:hAnsiTheme="majorBidi" w:cstheme="majorBidi" w:hint="cs"/>
          <w:sz w:val="24"/>
          <w:szCs w:val="24"/>
          <w:rtl/>
        </w:rPr>
        <w:t xml:space="preserve"> מודים רש"י והתוספות, שהלכת 'אבודה מכל אדם' קשורה ליאוש. לרש"י היא יוצרת </w:t>
      </w:r>
      <w:r w:rsidR="00B84146">
        <w:rPr>
          <w:rFonts w:asciiTheme="majorBidi" w:hAnsiTheme="majorBidi" w:cstheme="majorBidi" w:hint="cs"/>
          <w:sz w:val="24"/>
          <w:szCs w:val="24"/>
          <w:rtl/>
        </w:rPr>
        <w:t xml:space="preserve">את דין </w:t>
      </w:r>
      <w:r w:rsidR="000F65EA">
        <w:rPr>
          <w:rFonts w:asciiTheme="majorBidi" w:hAnsiTheme="majorBidi" w:cstheme="majorBidi" w:hint="cs"/>
          <w:sz w:val="24"/>
          <w:szCs w:val="24"/>
          <w:rtl/>
        </w:rPr>
        <w:t>יאוש</w:t>
      </w:r>
      <w:r w:rsidR="00B84146">
        <w:rPr>
          <w:rFonts w:asciiTheme="majorBidi" w:hAnsiTheme="majorBidi" w:cstheme="majorBidi" w:hint="cs"/>
          <w:sz w:val="24"/>
          <w:szCs w:val="24"/>
          <w:rtl/>
        </w:rPr>
        <w:t xml:space="preserve">, ולפי התוספות היא מסתמכת עליה. בניגוד לשיטה </w:t>
      </w:r>
      <w:r w:rsidR="00122D44">
        <w:rPr>
          <w:rFonts w:asciiTheme="majorBidi" w:hAnsiTheme="majorBidi" w:cstheme="majorBidi" w:hint="cs"/>
          <w:sz w:val="24"/>
          <w:szCs w:val="24"/>
          <w:rtl/>
        </w:rPr>
        <w:t xml:space="preserve">הראשונה </w:t>
      </w:r>
      <w:r w:rsidR="00B84146">
        <w:rPr>
          <w:rFonts w:asciiTheme="majorBidi" w:hAnsiTheme="majorBidi" w:cstheme="majorBidi" w:hint="cs"/>
          <w:sz w:val="24"/>
          <w:szCs w:val="24"/>
          <w:rtl/>
        </w:rPr>
        <w:t>שהבאנו, שמדובר בגזירת הכתוב, ללא קשר ל</w:t>
      </w:r>
      <w:r w:rsidR="000F65EA">
        <w:rPr>
          <w:rFonts w:asciiTheme="majorBidi" w:hAnsiTheme="majorBidi" w:cstheme="majorBidi" w:hint="cs"/>
          <w:sz w:val="24"/>
          <w:szCs w:val="24"/>
          <w:rtl/>
        </w:rPr>
        <w:t>יאוש</w:t>
      </w:r>
      <w:r w:rsidR="00B84146">
        <w:rPr>
          <w:rFonts w:asciiTheme="majorBidi" w:hAnsiTheme="majorBidi" w:cstheme="majorBidi" w:hint="cs"/>
          <w:sz w:val="24"/>
          <w:szCs w:val="24"/>
          <w:rtl/>
        </w:rPr>
        <w:t>.</w:t>
      </w:r>
    </w:p>
    <w:p w14:paraId="1874F4E1" w14:textId="44ED18B9" w:rsidR="00F64CC2" w:rsidRPr="00122D44" w:rsidRDefault="00F64CC2" w:rsidP="00122D44">
      <w:pPr>
        <w:spacing w:after="0" w:line="360" w:lineRule="auto"/>
        <w:rPr>
          <w:rFonts w:asciiTheme="majorBidi" w:hAnsiTheme="majorBidi" w:cs="Times New Roman"/>
          <w:sz w:val="24"/>
          <w:szCs w:val="24"/>
          <w:rtl/>
        </w:rPr>
      </w:pPr>
      <w:r>
        <w:rPr>
          <w:rFonts w:asciiTheme="majorBidi" w:hAnsiTheme="majorBidi" w:cstheme="majorBidi" w:hint="cs"/>
          <w:sz w:val="24"/>
          <w:szCs w:val="24"/>
          <w:rtl/>
        </w:rPr>
        <w:lastRenderedPageBreak/>
        <w:t>ניתן להביא ראי</w:t>
      </w:r>
      <w:r>
        <w:rPr>
          <w:rFonts w:asciiTheme="majorBidi" w:hAnsiTheme="majorBidi" w:cstheme="majorBidi" w:hint="cs"/>
          <w:sz w:val="24"/>
          <w:szCs w:val="24"/>
          <w:rtl/>
        </w:rPr>
        <w:t>ות</w:t>
      </w:r>
      <w:r>
        <w:rPr>
          <w:rFonts w:asciiTheme="majorBidi" w:hAnsiTheme="majorBidi" w:cstheme="majorBidi" w:hint="cs"/>
          <w:sz w:val="24"/>
          <w:szCs w:val="24"/>
          <w:rtl/>
        </w:rPr>
        <w:t xml:space="preserve"> הן לשיטת רש"י שבסיס הדין הוא יאוש, והן לשיטות הראשונים הנוקטים שזו היא גזירת הכתוב. לקמן שנינו: </w:t>
      </w:r>
      <w:r>
        <w:rPr>
          <w:rFonts w:asciiTheme="majorBidi" w:hAnsiTheme="majorBidi" w:cs="Times New Roman" w:hint="cs"/>
          <w:sz w:val="24"/>
          <w:szCs w:val="24"/>
          <w:rtl/>
        </w:rPr>
        <w:t xml:space="preserve"> </w:t>
      </w:r>
      <w:r w:rsidRPr="00F64CC2">
        <w:rPr>
          <w:rFonts w:ascii="David" w:hAnsi="David" w:cs="David"/>
          <w:sz w:val="24"/>
          <w:szCs w:val="24"/>
          <w:rtl/>
        </w:rPr>
        <w:t xml:space="preserve">"היה רבי שמעון בן אלעזר אומר: המציל מן הארי ומן הדוב ומן הנמר ומן הברדלס, ומן זוטו של ים ומשלוליתו של נהר, המוצא בסרטיא ופלטיא גדולה, ובכל מקום שהרבים מצויין שם - הרי אלו שלו, </w:t>
      </w:r>
      <w:r w:rsidRPr="00F64CC2">
        <w:rPr>
          <w:rFonts w:ascii="David" w:hAnsi="David" w:cs="David"/>
          <w:b/>
          <w:bCs/>
          <w:sz w:val="24"/>
          <w:szCs w:val="24"/>
          <w:rtl/>
        </w:rPr>
        <w:t>מפני שהבעלים מתיאשין מהן</w:t>
      </w:r>
      <w:r w:rsidRPr="00F64CC2">
        <w:rPr>
          <w:rStyle w:val="a9"/>
          <w:rFonts w:ascii="David" w:hAnsi="David" w:cs="David"/>
          <w:sz w:val="24"/>
          <w:szCs w:val="24"/>
          <w:rtl/>
        </w:rPr>
        <w:footnoteReference w:id="11"/>
      </w:r>
      <w:r w:rsidRPr="00F64CC2">
        <w:rPr>
          <w:rFonts w:ascii="David" w:hAnsi="David" w:cs="David"/>
          <w:sz w:val="24"/>
          <w:szCs w:val="24"/>
          <w:rtl/>
        </w:rPr>
        <w:t>".</w:t>
      </w:r>
      <w:r>
        <w:rPr>
          <w:rFonts w:asciiTheme="majorBidi" w:hAnsiTheme="majorBidi" w:cstheme="majorBidi" w:hint="cs"/>
          <w:sz w:val="24"/>
          <w:szCs w:val="24"/>
          <w:rtl/>
        </w:rPr>
        <w:t xml:space="preserve"> </w:t>
      </w:r>
      <w:r w:rsidR="00122D44">
        <w:rPr>
          <w:rFonts w:asciiTheme="majorBidi" w:hAnsiTheme="majorBidi" w:cstheme="majorBidi" w:hint="cs"/>
          <w:sz w:val="24"/>
          <w:szCs w:val="24"/>
          <w:rtl/>
        </w:rPr>
        <w:t xml:space="preserve">הרי שיאוש עיקר. </w:t>
      </w:r>
      <w:r>
        <w:rPr>
          <w:rFonts w:asciiTheme="majorBidi" w:hAnsiTheme="majorBidi" w:cs="Times New Roman" w:hint="cs"/>
          <w:sz w:val="24"/>
          <w:szCs w:val="24"/>
          <w:rtl/>
        </w:rPr>
        <w:t>ב</w:t>
      </w:r>
      <w:r w:rsidRPr="00F64CC2">
        <w:rPr>
          <w:rFonts w:asciiTheme="majorBidi" w:hAnsiTheme="majorBidi" w:cs="Times New Roman"/>
          <w:sz w:val="24"/>
          <w:szCs w:val="24"/>
          <w:rtl/>
        </w:rPr>
        <w:t xml:space="preserve">שיטה מקובצת </w:t>
      </w:r>
      <w:r w:rsidR="00122D44">
        <w:rPr>
          <w:rFonts w:asciiTheme="majorBidi" w:hAnsiTheme="majorBidi" w:cs="Times New Roman" w:hint="cs"/>
          <w:sz w:val="24"/>
          <w:szCs w:val="24"/>
          <w:rtl/>
        </w:rPr>
        <w:t xml:space="preserve"> </w:t>
      </w:r>
      <w:r>
        <w:rPr>
          <w:rFonts w:asciiTheme="majorBidi" w:hAnsiTheme="majorBidi" w:cs="Times New Roman" w:hint="cs"/>
          <w:sz w:val="24"/>
          <w:szCs w:val="24"/>
          <w:rtl/>
        </w:rPr>
        <w:t xml:space="preserve">הביא כמה דרכים לדחות ראייה זו: </w:t>
      </w:r>
    </w:p>
    <w:p w14:paraId="0456C65A" w14:textId="17E3E607" w:rsidR="00F64CC2" w:rsidRPr="00F64CC2" w:rsidRDefault="00F64CC2" w:rsidP="00B84146">
      <w:pPr>
        <w:spacing w:after="0" w:line="360" w:lineRule="auto"/>
        <w:rPr>
          <w:rFonts w:ascii="David" w:hAnsi="David" w:cs="David"/>
          <w:sz w:val="24"/>
          <w:szCs w:val="24"/>
          <w:rtl/>
        </w:rPr>
      </w:pPr>
      <w:r w:rsidRPr="00F64CC2">
        <w:rPr>
          <w:rFonts w:ascii="David" w:hAnsi="David" w:cs="David"/>
          <w:sz w:val="24"/>
          <w:szCs w:val="24"/>
          <w:rtl/>
        </w:rPr>
        <w:t>"</w:t>
      </w:r>
      <w:r w:rsidRPr="00F64CC2">
        <w:rPr>
          <w:rFonts w:ascii="David" w:hAnsi="David" w:cs="David"/>
          <w:sz w:val="24"/>
          <w:szCs w:val="24"/>
          <w:rtl/>
        </w:rPr>
        <w:t xml:space="preserve">יש מפרשים </w:t>
      </w:r>
      <w:r w:rsidRPr="00F64CC2">
        <w:rPr>
          <w:rFonts w:ascii="David" w:hAnsi="David" w:cs="David"/>
          <w:b/>
          <w:bCs/>
          <w:sz w:val="24"/>
          <w:szCs w:val="24"/>
          <w:rtl/>
        </w:rPr>
        <w:t>1.</w:t>
      </w:r>
      <w:r w:rsidRPr="00F64CC2">
        <w:rPr>
          <w:rFonts w:ascii="David" w:hAnsi="David" w:cs="David"/>
          <w:b/>
          <w:bCs/>
          <w:sz w:val="24"/>
          <w:szCs w:val="24"/>
          <w:rtl/>
        </w:rPr>
        <w:t>דלא קאי אזוטו של ים ושלוליתו של נהר</w:t>
      </w:r>
      <w:r w:rsidRPr="00F64CC2">
        <w:rPr>
          <w:rFonts w:ascii="David" w:hAnsi="David" w:cs="David"/>
          <w:sz w:val="24"/>
          <w:szCs w:val="24"/>
          <w:rtl/>
        </w:rPr>
        <w:t xml:space="preserve"> דהנך אפילו לא נתייאשו נמי דרחמנא אפקריה כדאמרינן לעיל</w:t>
      </w:r>
      <w:r w:rsidRPr="00F64CC2">
        <w:rPr>
          <w:rFonts w:ascii="David" w:hAnsi="David" w:cs="David"/>
          <w:sz w:val="24"/>
          <w:szCs w:val="24"/>
          <w:rtl/>
        </w:rPr>
        <w:t>,</w:t>
      </w:r>
      <w:r w:rsidRPr="00F64CC2">
        <w:rPr>
          <w:rFonts w:ascii="David" w:hAnsi="David" w:cs="David"/>
          <w:sz w:val="24"/>
          <w:szCs w:val="24"/>
          <w:rtl/>
        </w:rPr>
        <w:t xml:space="preserve"> אלא אהנך אחריני קאי</w:t>
      </w:r>
      <w:r>
        <w:rPr>
          <w:rStyle w:val="a9"/>
          <w:rFonts w:ascii="David" w:hAnsi="David" w:cs="David"/>
          <w:sz w:val="24"/>
          <w:szCs w:val="24"/>
          <w:rtl/>
        </w:rPr>
        <w:footnoteReference w:id="12"/>
      </w:r>
      <w:r w:rsidRPr="00F64CC2">
        <w:rPr>
          <w:rFonts w:ascii="David" w:hAnsi="David" w:cs="David"/>
          <w:sz w:val="24"/>
          <w:szCs w:val="24"/>
          <w:rtl/>
        </w:rPr>
        <w:t>..</w:t>
      </w:r>
      <w:r w:rsidRPr="00F64CC2">
        <w:rPr>
          <w:rFonts w:ascii="David" w:hAnsi="David" w:cs="David"/>
          <w:sz w:val="24"/>
          <w:szCs w:val="24"/>
          <w:rtl/>
        </w:rPr>
        <w:t xml:space="preserve">. </w:t>
      </w:r>
      <w:r w:rsidRPr="00F64CC2">
        <w:rPr>
          <w:rFonts w:ascii="David" w:hAnsi="David" w:cs="David"/>
          <w:sz w:val="24"/>
          <w:szCs w:val="24"/>
          <w:rtl/>
        </w:rPr>
        <w:t>2.</w:t>
      </w:r>
      <w:r w:rsidRPr="00F64CC2">
        <w:rPr>
          <w:rFonts w:ascii="David" w:hAnsi="David" w:cs="David"/>
          <w:sz w:val="24"/>
          <w:szCs w:val="24"/>
          <w:rtl/>
        </w:rPr>
        <w:t xml:space="preserve">אי נמי יש לומר דלאו אזוטו של ים ושלוליתו ממש אלא ביכולין להציל על ידי הדחק ואינן רודפין ומצילין וכדלעיל. </w:t>
      </w:r>
      <w:r w:rsidRPr="00F64CC2">
        <w:rPr>
          <w:rFonts w:ascii="David" w:hAnsi="David" w:cs="David"/>
          <w:sz w:val="24"/>
          <w:szCs w:val="24"/>
          <w:rtl/>
        </w:rPr>
        <w:t>3.</w:t>
      </w:r>
      <w:r w:rsidRPr="00F64CC2">
        <w:rPr>
          <w:rFonts w:ascii="David" w:hAnsi="David" w:cs="David"/>
          <w:sz w:val="24"/>
          <w:szCs w:val="24"/>
          <w:rtl/>
        </w:rPr>
        <w:t>או אי נמי שהציל קודם בואם בסמוך והבעלים רואים ואינם מרדפים דכיון דברי היזקא מההיא שעתא מייאש אבל מדאורייתא לא שריא אלא לאחר ששטף ונשלל</w:t>
      </w:r>
      <w:r w:rsidRPr="00F64CC2">
        <w:rPr>
          <w:rFonts w:ascii="David" w:hAnsi="David" w:cs="David"/>
          <w:sz w:val="24"/>
          <w:szCs w:val="24"/>
          <w:rtl/>
        </w:rPr>
        <w:t>"</w:t>
      </w:r>
      <w:r w:rsidRPr="00F64CC2">
        <w:rPr>
          <w:rFonts w:ascii="David" w:hAnsi="David" w:cs="David"/>
          <w:sz w:val="24"/>
          <w:szCs w:val="24"/>
          <w:rtl/>
        </w:rPr>
        <w:t>.</w:t>
      </w:r>
      <w:r>
        <w:rPr>
          <w:rFonts w:ascii="David" w:hAnsi="David" w:cs="David" w:hint="cs"/>
          <w:sz w:val="24"/>
          <w:szCs w:val="24"/>
          <w:rtl/>
        </w:rPr>
        <w:t xml:space="preserve"> </w:t>
      </w:r>
      <w:r w:rsidR="00B84146">
        <w:rPr>
          <w:rFonts w:asciiTheme="majorBidi" w:hAnsiTheme="majorBidi" w:cstheme="majorBidi" w:hint="cs"/>
          <w:sz w:val="24"/>
          <w:szCs w:val="24"/>
          <w:rtl/>
        </w:rPr>
        <w:t xml:space="preserve">לעומת זאת מצינו היתר </w:t>
      </w:r>
      <w:r w:rsidR="000F65EA">
        <w:rPr>
          <w:rFonts w:asciiTheme="majorBidi" w:hAnsiTheme="majorBidi" w:cstheme="majorBidi" w:hint="cs"/>
          <w:sz w:val="24"/>
          <w:szCs w:val="24"/>
          <w:rtl/>
        </w:rPr>
        <w:t>אבידה</w:t>
      </w:r>
      <w:r w:rsidR="00B84146">
        <w:rPr>
          <w:rFonts w:asciiTheme="majorBidi" w:hAnsiTheme="majorBidi" w:cstheme="majorBidi" w:hint="cs"/>
          <w:sz w:val="24"/>
          <w:szCs w:val="24"/>
          <w:rtl/>
        </w:rPr>
        <w:t xml:space="preserve"> שאיננו תלוי ב</w:t>
      </w:r>
      <w:r w:rsidR="000F65EA">
        <w:rPr>
          <w:rFonts w:asciiTheme="majorBidi" w:hAnsiTheme="majorBidi" w:cstheme="majorBidi" w:hint="cs"/>
          <w:sz w:val="24"/>
          <w:szCs w:val="24"/>
          <w:rtl/>
        </w:rPr>
        <w:t>יאוש</w:t>
      </w:r>
      <w:r w:rsidR="00B84146">
        <w:rPr>
          <w:rFonts w:asciiTheme="majorBidi" w:hAnsiTheme="majorBidi" w:cstheme="majorBidi" w:hint="cs"/>
          <w:sz w:val="24"/>
          <w:szCs w:val="24"/>
          <w:rtl/>
        </w:rPr>
        <w:t xml:space="preserve"> לכאורה: </w:t>
      </w:r>
      <w:r w:rsidR="00B84146">
        <w:rPr>
          <w:rFonts w:asciiTheme="majorBidi" w:hAnsiTheme="majorBidi" w:cs="Times New Roman" w:hint="cs"/>
          <w:sz w:val="24"/>
          <w:szCs w:val="24"/>
          <w:rtl/>
        </w:rPr>
        <w:t xml:space="preserve"> </w:t>
      </w:r>
      <w:r w:rsidR="00B84146" w:rsidRPr="00B84146">
        <w:rPr>
          <w:rFonts w:asciiTheme="majorBidi" w:hAnsiTheme="majorBidi" w:cs="Times New Roman"/>
          <w:sz w:val="24"/>
          <w:szCs w:val="24"/>
          <w:rtl/>
        </w:rPr>
        <w:t xml:space="preserve"> </w:t>
      </w:r>
      <w:r w:rsidR="00B84146">
        <w:rPr>
          <w:rFonts w:ascii="David" w:hAnsi="David" w:cs="David" w:hint="cs"/>
          <w:sz w:val="24"/>
          <w:szCs w:val="24"/>
          <w:rtl/>
        </w:rPr>
        <w:t>"</w:t>
      </w:r>
      <w:r w:rsidR="00B84146" w:rsidRPr="00B84146">
        <w:rPr>
          <w:rFonts w:ascii="David" w:hAnsi="David" w:cs="David"/>
          <w:sz w:val="24"/>
          <w:szCs w:val="24"/>
          <w:rtl/>
        </w:rPr>
        <w:t>רבא הוה שקיל ואזיל בתריה דרב נחמן בשוקא דגלדאי</w:t>
      </w:r>
      <w:r w:rsidR="00B84146" w:rsidRPr="00B84146">
        <w:rPr>
          <w:rFonts w:ascii="David" w:hAnsi="David" w:cs="David"/>
          <w:sz w:val="24"/>
          <w:szCs w:val="24"/>
          <w:rtl/>
        </w:rPr>
        <w:t xml:space="preserve">.. </w:t>
      </w:r>
      <w:r w:rsidR="00B84146" w:rsidRPr="00B84146">
        <w:rPr>
          <w:rFonts w:ascii="David" w:hAnsi="David" w:cs="David"/>
          <w:sz w:val="24"/>
          <w:szCs w:val="24"/>
          <w:rtl/>
        </w:rPr>
        <w:t>אמר ליה: מצא כאן ארנקי מהו? - אמר ליה: הרי אלו שלו. בא ישראל ונתן בה סימן מהו? - אמר ליה: הרי אלו שלו. - והלא עומד וצווח! - נעשה כצווח על ביתו שנפל, ועל ספינתו שטבעה בים</w:t>
      </w:r>
      <w:r w:rsidR="00B84146">
        <w:rPr>
          <w:rStyle w:val="a9"/>
          <w:rFonts w:ascii="David" w:hAnsi="David" w:cs="David"/>
          <w:sz w:val="24"/>
          <w:szCs w:val="24"/>
          <w:rtl/>
        </w:rPr>
        <w:footnoteReference w:id="13"/>
      </w:r>
      <w:r w:rsidR="00B84146">
        <w:rPr>
          <w:rFonts w:ascii="David" w:hAnsi="David" w:cs="David" w:hint="cs"/>
          <w:sz w:val="24"/>
          <w:szCs w:val="24"/>
          <w:rtl/>
        </w:rPr>
        <w:t>"</w:t>
      </w:r>
      <w:r w:rsidR="00B84146" w:rsidRPr="00B84146">
        <w:rPr>
          <w:rFonts w:ascii="David" w:hAnsi="David" w:cs="David"/>
          <w:sz w:val="24"/>
          <w:szCs w:val="24"/>
          <w:rtl/>
        </w:rPr>
        <w:t>.</w:t>
      </w:r>
      <w:r w:rsidR="00B84146">
        <w:rPr>
          <w:rFonts w:ascii="David" w:hAnsi="David" w:cs="David" w:hint="cs"/>
          <w:sz w:val="24"/>
          <w:szCs w:val="24"/>
          <w:rtl/>
        </w:rPr>
        <w:t xml:space="preserve"> </w:t>
      </w:r>
      <w:r w:rsidR="00B84146" w:rsidRPr="00B84146">
        <w:rPr>
          <w:rFonts w:ascii="David" w:hAnsi="David" w:cs="David"/>
          <w:sz w:val="24"/>
          <w:szCs w:val="24"/>
          <w:rtl/>
        </w:rPr>
        <w:t>"לכאורה קושיה על פירוש רש"י ותוספות.. נראה להסביר את שיטתם שאין לומדים מן הפסוק יותר מן החידוש ההכרחי, לפיכך די לנו אם נפרש את הפסוק שבא ללמד שבזוטו של ים אומרים ש</w:t>
      </w:r>
      <w:r w:rsidR="000F65EA">
        <w:rPr>
          <w:rFonts w:ascii="David" w:hAnsi="David" w:cs="David"/>
          <w:sz w:val="24"/>
          <w:szCs w:val="24"/>
          <w:rtl/>
        </w:rPr>
        <w:t>יאוש</w:t>
      </w:r>
      <w:r w:rsidR="00B84146" w:rsidRPr="00B84146">
        <w:rPr>
          <w:rFonts w:ascii="David" w:hAnsi="David" w:cs="David"/>
          <w:sz w:val="24"/>
          <w:szCs w:val="24"/>
          <w:rtl/>
        </w:rPr>
        <w:t xml:space="preserve"> שלא מדעת הוי </w:t>
      </w:r>
      <w:r w:rsidR="000F65EA">
        <w:rPr>
          <w:rFonts w:ascii="David" w:hAnsi="David" w:cs="David"/>
          <w:sz w:val="24"/>
          <w:szCs w:val="24"/>
          <w:rtl/>
        </w:rPr>
        <w:t>יאוש</w:t>
      </w:r>
      <w:r w:rsidR="00B84146" w:rsidRPr="00B84146">
        <w:rPr>
          <w:rFonts w:ascii="David" w:hAnsi="David" w:cs="David"/>
          <w:sz w:val="24"/>
          <w:szCs w:val="24"/>
          <w:rtl/>
        </w:rPr>
        <w:t>, ואין ללמוד ממנו שאף כשעומד וצווח מותר לקחת את האבידה</w:t>
      </w:r>
      <w:r w:rsidR="00B84146">
        <w:rPr>
          <w:rStyle w:val="a9"/>
          <w:rFonts w:ascii="David" w:hAnsi="David" w:cs="David"/>
          <w:sz w:val="24"/>
          <w:szCs w:val="24"/>
          <w:rtl/>
        </w:rPr>
        <w:footnoteReference w:id="14"/>
      </w:r>
      <w:r w:rsidR="00B84146" w:rsidRPr="00B84146">
        <w:rPr>
          <w:rFonts w:ascii="David" w:hAnsi="David" w:cs="David"/>
          <w:sz w:val="24"/>
          <w:szCs w:val="24"/>
          <w:rtl/>
        </w:rPr>
        <w:t>".</w:t>
      </w:r>
    </w:p>
    <w:p w14:paraId="069BFE77" w14:textId="46BBC235" w:rsidR="00671245" w:rsidRPr="00970E50" w:rsidRDefault="000F65EA" w:rsidP="00033726">
      <w:pPr>
        <w:spacing w:after="0" w:line="360" w:lineRule="auto"/>
        <w:rPr>
          <w:rFonts w:asciiTheme="majorBidi" w:hAnsiTheme="majorBidi" w:cstheme="majorBidi"/>
          <w:b/>
          <w:bCs/>
          <w:sz w:val="24"/>
          <w:szCs w:val="24"/>
          <w:rtl/>
        </w:rPr>
      </w:pPr>
      <w:r>
        <w:rPr>
          <w:rFonts w:asciiTheme="majorBidi" w:hAnsiTheme="majorBidi" w:cstheme="majorBidi" w:hint="cs"/>
          <w:b/>
          <w:bCs/>
          <w:sz w:val="24"/>
          <w:szCs w:val="24"/>
          <w:rtl/>
        </w:rPr>
        <w:t xml:space="preserve">ג. </w:t>
      </w:r>
      <w:r w:rsidR="00970E50" w:rsidRPr="00970E50">
        <w:rPr>
          <w:rFonts w:asciiTheme="majorBidi" w:hAnsiTheme="majorBidi" w:cstheme="majorBidi" w:hint="cs"/>
          <w:b/>
          <w:bCs/>
          <w:sz w:val="24"/>
          <w:szCs w:val="24"/>
          <w:rtl/>
        </w:rPr>
        <w:t>הנפקא מינא</w:t>
      </w:r>
    </w:p>
    <w:p w14:paraId="5E3E4168" w14:textId="70C4D205" w:rsidR="00A7540B" w:rsidRPr="00122D44" w:rsidRDefault="00033726" w:rsidP="00122D44">
      <w:pPr>
        <w:spacing w:after="0" w:line="360" w:lineRule="auto"/>
        <w:rPr>
          <w:rFonts w:asciiTheme="majorBidi" w:hAnsiTheme="majorBidi" w:cstheme="majorBidi"/>
          <w:sz w:val="24"/>
          <w:szCs w:val="24"/>
          <w:rtl/>
        </w:rPr>
      </w:pPr>
      <w:r w:rsidRPr="00033726">
        <w:rPr>
          <w:rFonts w:asciiTheme="majorBidi" w:hAnsiTheme="majorBidi" w:cstheme="majorBidi"/>
          <w:sz w:val="24"/>
          <w:szCs w:val="24"/>
          <w:rtl/>
        </w:rPr>
        <w:t xml:space="preserve">פסק </w:t>
      </w:r>
      <w:r w:rsidR="00880CBD">
        <w:rPr>
          <w:rFonts w:asciiTheme="majorBidi" w:hAnsiTheme="majorBidi" w:cstheme="majorBidi" w:hint="cs"/>
          <w:sz w:val="24"/>
          <w:szCs w:val="24"/>
          <w:rtl/>
        </w:rPr>
        <w:t>ה</w:t>
      </w:r>
      <w:r w:rsidRPr="00033726">
        <w:rPr>
          <w:rFonts w:asciiTheme="majorBidi" w:hAnsiTheme="majorBidi" w:cstheme="majorBidi"/>
          <w:sz w:val="24"/>
          <w:szCs w:val="24"/>
          <w:rtl/>
        </w:rPr>
        <w:t>רי"ד</w:t>
      </w:r>
      <w:r w:rsidR="00880CBD">
        <w:rPr>
          <w:rFonts w:asciiTheme="majorBidi" w:hAnsiTheme="majorBidi" w:cstheme="majorBidi" w:hint="cs"/>
          <w:sz w:val="24"/>
          <w:szCs w:val="24"/>
          <w:rtl/>
        </w:rPr>
        <w:t>:</w:t>
      </w:r>
      <w:r w:rsidRPr="00033726">
        <w:rPr>
          <w:rFonts w:asciiTheme="majorBidi" w:hAnsiTheme="majorBidi" w:cstheme="majorBidi"/>
          <w:sz w:val="24"/>
          <w:szCs w:val="24"/>
          <w:rtl/>
        </w:rPr>
        <w:t xml:space="preserve"> </w:t>
      </w:r>
      <w:r w:rsidR="00880CBD">
        <w:rPr>
          <w:rFonts w:asciiTheme="majorBidi" w:hAnsiTheme="majorBidi" w:cstheme="majorBidi" w:hint="cs"/>
          <w:sz w:val="24"/>
          <w:szCs w:val="24"/>
          <w:rtl/>
        </w:rPr>
        <w:t xml:space="preserve"> </w:t>
      </w:r>
      <w:r w:rsidR="00880CBD">
        <w:rPr>
          <w:rFonts w:ascii="David" w:hAnsi="David" w:cs="David" w:hint="cs"/>
          <w:sz w:val="24"/>
          <w:szCs w:val="24"/>
          <w:rtl/>
        </w:rPr>
        <w:t>"</w:t>
      </w:r>
      <w:r w:rsidRPr="00033726">
        <w:rPr>
          <w:rFonts w:ascii="David" w:hAnsi="David" w:cs="David"/>
          <w:sz w:val="24"/>
          <w:szCs w:val="24"/>
          <w:rtl/>
        </w:rPr>
        <w:t>ייאוש שלא מדעת בזוטו של ים הוי ייאוש אפילו לאביי, וטעמ' דמילתא משום הכי לא בענן בי</w:t>
      </w:r>
      <w:r w:rsidR="00880CBD">
        <w:rPr>
          <w:rFonts w:ascii="David" w:hAnsi="David" w:cs="David" w:hint="cs"/>
          <w:sz w:val="24"/>
          <w:szCs w:val="24"/>
          <w:rtl/>
        </w:rPr>
        <w:t>ה</w:t>
      </w:r>
      <w:r w:rsidRPr="00033726">
        <w:rPr>
          <w:rFonts w:ascii="David" w:hAnsi="David" w:cs="David"/>
          <w:sz w:val="24"/>
          <w:szCs w:val="24"/>
          <w:rtl/>
        </w:rPr>
        <w:t xml:space="preserve"> דעת בעלי' </w:t>
      </w:r>
      <w:r w:rsidRPr="00880CBD">
        <w:rPr>
          <w:rFonts w:ascii="David" w:hAnsi="David" w:cs="David"/>
          <w:b/>
          <w:bCs/>
          <w:sz w:val="24"/>
          <w:szCs w:val="24"/>
          <w:rtl/>
        </w:rPr>
        <w:t xml:space="preserve">דאפי' אי קאי התם ומחזר אחר אבדתו ואומ' כי </w:t>
      </w:r>
      <w:r w:rsidR="004961BE">
        <w:rPr>
          <w:rFonts w:ascii="David" w:hAnsi="David" w:cs="David" w:hint="cs"/>
          <w:b/>
          <w:bCs/>
          <w:sz w:val="24"/>
          <w:szCs w:val="24"/>
          <w:rtl/>
        </w:rPr>
        <w:t>'</w:t>
      </w:r>
      <w:r w:rsidRPr="00880CBD">
        <w:rPr>
          <w:rFonts w:ascii="David" w:hAnsi="David" w:cs="David"/>
          <w:b/>
          <w:bCs/>
          <w:sz w:val="24"/>
          <w:szCs w:val="24"/>
          <w:rtl/>
        </w:rPr>
        <w:t>איני מתייאש</w:t>
      </w:r>
      <w:r w:rsidR="004961BE">
        <w:rPr>
          <w:rFonts w:ascii="David" w:hAnsi="David" w:cs="David" w:hint="cs"/>
          <w:b/>
          <w:bCs/>
          <w:sz w:val="24"/>
          <w:szCs w:val="24"/>
          <w:rtl/>
        </w:rPr>
        <w:t>',</w:t>
      </w:r>
      <w:r w:rsidRPr="00880CBD">
        <w:rPr>
          <w:rFonts w:ascii="David" w:hAnsi="David" w:cs="David"/>
          <w:b/>
          <w:bCs/>
          <w:sz w:val="24"/>
          <w:szCs w:val="24"/>
          <w:rtl/>
        </w:rPr>
        <w:t xml:space="preserve"> אין בדבריו כלום</w:t>
      </w:r>
      <w:r w:rsidR="00880CBD">
        <w:rPr>
          <w:rFonts w:ascii="David" w:hAnsi="David" w:cs="David" w:hint="cs"/>
          <w:sz w:val="24"/>
          <w:szCs w:val="24"/>
          <w:rtl/>
        </w:rPr>
        <w:t>,</w:t>
      </w:r>
      <w:r w:rsidRPr="00033726">
        <w:rPr>
          <w:rFonts w:ascii="David" w:hAnsi="David" w:cs="David"/>
          <w:sz w:val="24"/>
          <w:szCs w:val="24"/>
          <w:rtl/>
        </w:rPr>
        <w:t xml:space="preserve"> והרי היא של מוצאה </w:t>
      </w:r>
      <w:r w:rsidRPr="004961BE">
        <w:rPr>
          <w:rFonts w:ascii="David" w:hAnsi="David" w:cs="David"/>
          <w:b/>
          <w:bCs/>
          <w:sz w:val="24"/>
          <w:szCs w:val="24"/>
          <w:rtl/>
        </w:rPr>
        <w:t>דרחמ' שרייה</w:t>
      </w:r>
      <w:r w:rsidR="00880CBD">
        <w:rPr>
          <w:rFonts w:ascii="David" w:hAnsi="David" w:cs="David" w:hint="cs"/>
          <w:sz w:val="24"/>
          <w:szCs w:val="24"/>
          <w:rtl/>
        </w:rPr>
        <w:t>"</w:t>
      </w:r>
      <w:r w:rsidR="00880CBD">
        <w:rPr>
          <w:rFonts w:asciiTheme="majorBidi" w:hAnsiTheme="majorBidi" w:cstheme="majorBidi" w:hint="cs"/>
          <w:sz w:val="24"/>
          <w:szCs w:val="24"/>
          <w:rtl/>
        </w:rPr>
        <w:t>. נראה שהלכה זו נכונה רק לשיטת ה</w:t>
      </w:r>
      <w:r w:rsidR="00774559">
        <w:rPr>
          <w:rFonts w:asciiTheme="majorBidi" w:hAnsiTheme="majorBidi" w:cstheme="majorBidi" w:hint="cs"/>
          <w:sz w:val="24"/>
          <w:szCs w:val="24"/>
          <w:rtl/>
        </w:rPr>
        <w:t>ראשונים</w:t>
      </w:r>
      <w:r w:rsidR="00880CBD">
        <w:rPr>
          <w:rFonts w:asciiTheme="majorBidi" w:hAnsiTheme="majorBidi" w:cstheme="majorBidi" w:hint="cs"/>
          <w:sz w:val="24"/>
          <w:szCs w:val="24"/>
          <w:rtl/>
        </w:rPr>
        <w:t>, שהיתר 'אבודה מכל אדם' דבר אין לו עם יאוש. אולם לשיטת רש"י, כיצד נסתמך על יאוש להתיר את ה</w:t>
      </w:r>
      <w:r w:rsidR="000F65EA">
        <w:rPr>
          <w:rFonts w:asciiTheme="majorBidi" w:hAnsiTheme="majorBidi" w:cstheme="majorBidi" w:hint="cs"/>
          <w:sz w:val="24"/>
          <w:szCs w:val="24"/>
          <w:rtl/>
        </w:rPr>
        <w:t>אבידה</w:t>
      </w:r>
      <w:r w:rsidR="00880CBD">
        <w:rPr>
          <w:rFonts w:asciiTheme="majorBidi" w:hAnsiTheme="majorBidi" w:cstheme="majorBidi" w:hint="cs"/>
          <w:sz w:val="24"/>
          <w:szCs w:val="24"/>
          <w:rtl/>
        </w:rPr>
        <w:t xml:space="preserve">, </w:t>
      </w:r>
      <w:r w:rsidR="004961BE">
        <w:rPr>
          <w:rFonts w:asciiTheme="majorBidi" w:hAnsiTheme="majorBidi" w:cstheme="majorBidi" w:hint="cs"/>
          <w:sz w:val="24"/>
          <w:szCs w:val="24"/>
          <w:rtl/>
        </w:rPr>
        <w:t>כש</w:t>
      </w:r>
      <w:r w:rsidR="00880CBD">
        <w:rPr>
          <w:rFonts w:asciiTheme="majorBidi" w:hAnsiTheme="majorBidi" w:cstheme="majorBidi" w:hint="cs"/>
          <w:sz w:val="24"/>
          <w:szCs w:val="24"/>
          <w:rtl/>
        </w:rPr>
        <w:t>בעליה עומד וצווח?</w:t>
      </w:r>
      <w:r w:rsidR="00A7540B">
        <w:rPr>
          <w:rFonts w:asciiTheme="majorBidi" w:hAnsiTheme="majorBidi" w:cstheme="majorBidi" w:hint="cs"/>
          <w:sz w:val="24"/>
          <w:szCs w:val="24"/>
          <w:rtl/>
        </w:rPr>
        <w:t xml:space="preserve"> </w:t>
      </w:r>
      <w:r w:rsidR="00122D44">
        <w:rPr>
          <w:rFonts w:asciiTheme="majorBidi" w:hAnsiTheme="majorBidi" w:cstheme="majorBidi" w:hint="cs"/>
          <w:sz w:val="24"/>
          <w:szCs w:val="24"/>
          <w:rtl/>
        </w:rPr>
        <w:t xml:space="preserve"> </w:t>
      </w:r>
      <w:r w:rsidR="00A7540B">
        <w:rPr>
          <w:rFonts w:asciiTheme="majorBidi" w:hAnsiTheme="majorBidi" w:cstheme="majorBidi" w:hint="cs"/>
          <w:sz w:val="24"/>
          <w:szCs w:val="24"/>
          <w:rtl/>
        </w:rPr>
        <w:t xml:space="preserve">לפי הירושלמי, מחלוקת אמוראים היא: </w:t>
      </w:r>
    </w:p>
    <w:p w14:paraId="30E9A9C4" w14:textId="56F83005" w:rsidR="00033726" w:rsidRPr="00844F8E" w:rsidRDefault="00A7540B" w:rsidP="00844F8E">
      <w:pPr>
        <w:spacing w:after="0" w:line="360" w:lineRule="auto"/>
        <w:rPr>
          <w:rFonts w:asciiTheme="majorBidi" w:hAnsiTheme="majorBidi" w:cstheme="majorBidi"/>
          <w:sz w:val="24"/>
          <w:szCs w:val="24"/>
          <w:rtl/>
        </w:rPr>
      </w:pPr>
      <w:r w:rsidRPr="00A7540B">
        <w:rPr>
          <w:rFonts w:ascii="David" w:hAnsi="David" w:cs="David"/>
          <w:sz w:val="24"/>
          <w:szCs w:val="24"/>
          <w:rtl/>
        </w:rPr>
        <w:t>"</w:t>
      </w:r>
      <w:r w:rsidRPr="00A7540B">
        <w:rPr>
          <w:rFonts w:ascii="David" w:hAnsi="David" w:cs="David"/>
          <w:sz w:val="24"/>
          <w:szCs w:val="24"/>
          <w:rtl/>
        </w:rPr>
        <w:t>שטף נהר חמורו והיה צווח ואומר לא נתייאשתי ריש לקיש אמר</w:t>
      </w:r>
      <w:r>
        <w:rPr>
          <w:rFonts w:ascii="David" w:hAnsi="David" w:cs="David" w:hint="cs"/>
          <w:sz w:val="24"/>
          <w:szCs w:val="24"/>
          <w:rtl/>
        </w:rPr>
        <w:t>:</w:t>
      </w:r>
      <w:r w:rsidRPr="00A7540B">
        <w:rPr>
          <w:rFonts w:ascii="David" w:hAnsi="David" w:cs="David"/>
          <w:sz w:val="24"/>
          <w:szCs w:val="24"/>
          <w:rtl/>
        </w:rPr>
        <w:t xml:space="preserve"> כל זמן שצווח לא נתייאש</w:t>
      </w:r>
      <w:r>
        <w:rPr>
          <w:rFonts w:ascii="David" w:hAnsi="David" w:cs="David" w:hint="cs"/>
          <w:sz w:val="24"/>
          <w:szCs w:val="24"/>
          <w:rtl/>
        </w:rPr>
        <w:t>.</w:t>
      </w:r>
      <w:r w:rsidRPr="00A7540B">
        <w:rPr>
          <w:rFonts w:ascii="David" w:hAnsi="David" w:cs="David"/>
          <w:sz w:val="24"/>
          <w:szCs w:val="24"/>
          <w:rtl/>
        </w:rPr>
        <w:t xml:space="preserve"> ר' יוחנן אמר</w:t>
      </w:r>
      <w:r>
        <w:rPr>
          <w:rFonts w:ascii="David" w:hAnsi="David" w:cs="David" w:hint="cs"/>
          <w:sz w:val="24"/>
          <w:szCs w:val="24"/>
          <w:rtl/>
        </w:rPr>
        <w:t>:</w:t>
      </w:r>
      <w:r w:rsidRPr="00A7540B">
        <w:rPr>
          <w:rFonts w:ascii="David" w:hAnsi="David" w:cs="David"/>
          <w:sz w:val="24"/>
          <w:szCs w:val="24"/>
          <w:rtl/>
        </w:rPr>
        <w:t xml:space="preserve"> חזקה מייאש הוא</w:t>
      </w:r>
      <w:r w:rsidRPr="00A7540B">
        <w:rPr>
          <w:rStyle w:val="a9"/>
          <w:rFonts w:ascii="David" w:hAnsi="David" w:cs="David"/>
          <w:sz w:val="24"/>
          <w:szCs w:val="24"/>
          <w:rtl/>
        </w:rPr>
        <w:footnoteReference w:id="15"/>
      </w:r>
      <w:r w:rsidRPr="00A7540B">
        <w:rPr>
          <w:rFonts w:ascii="David" w:hAnsi="David" w:cs="David"/>
          <w:sz w:val="24"/>
          <w:szCs w:val="24"/>
          <w:rtl/>
        </w:rPr>
        <w:t>".</w:t>
      </w:r>
      <w:r w:rsidR="002C0400">
        <w:rPr>
          <w:rFonts w:ascii="David" w:hAnsi="David" w:cs="David" w:hint="cs"/>
          <w:sz w:val="24"/>
          <w:szCs w:val="24"/>
          <w:rtl/>
        </w:rPr>
        <w:t xml:space="preserve"> </w:t>
      </w:r>
      <w:r w:rsidR="002C0400">
        <w:rPr>
          <w:rFonts w:asciiTheme="majorBidi" w:hAnsiTheme="majorBidi" w:cstheme="majorBidi" w:hint="cs"/>
          <w:sz w:val="24"/>
          <w:szCs w:val="24"/>
          <w:rtl/>
        </w:rPr>
        <w:t>אמנם, גם רש"י בסוגייתנו כותב:</w:t>
      </w:r>
      <w:r w:rsidR="00774559">
        <w:rPr>
          <w:rFonts w:asciiTheme="majorBidi" w:hAnsiTheme="majorBidi" w:cstheme="majorBidi" w:hint="cs"/>
          <w:sz w:val="24"/>
          <w:szCs w:val="24"/>
          <w:rtl/>
        </w:rPr>
        <w:t xml:space="preserve"> </w:t>
      </w:r>
      <w:r w:rsidR="00774559">
        <w:rPr>
          <w:rFonts w:ascii="David" w:hAnsi="David" w:cs="David" w:hint="cs"/>
          <w:sz w:val="24"/>
          <w:szCs w:val="24"/>
          <w:rtl/>
        </w:rPr>
        <w:t>"</w:t>
      </w:r>
      <w:r w:rsidR="00774559" w:rsidRPr="00774559">
        <w:rPr>
          <w:rFonts w:ascii="David" w:hAnsi="David" w:cs="David"/>
          <w:sz w:val="24"/>
          <w:szCs w:val="24"/>
          <w:rtl/>
        </w:rPr>
        <w:t>רחמנא שרייה - ואפילו באת ליד המוצא לפני יאוש</w:t>
      </w:r>
      <w:r w:rsidR="00774559">
        <w:rPr>
          <w:rFonts w:ascii="David" w:hAnsi="David" w:cs="David" w:hint="cs"/>
          <w:sz w:val="24"/>
          <w:szCs w:val="24"/>
          <w:rtl/>
        </w:rPr>
        <w:t>"</w:t>
      </w:r>
      <w:r w:rsidR="00774559" w:rsidRPr="00774559">
        <w:rPr>
          <w:rFonts w:ascii="David" w:hAnsi="David" w:cs="David"/>
          <w:sz w:val="24"/>
          <w:szCs w:val="24"/>
          <w:rtl/>
        </w:rPr>
        <w:t>.</w:t>
      </w:r>
      <w:r w:rsidR="00774559">
        <w:rPr>
          <w:rFonts w:asciiTheme="majorBidi" w:hAnsiTheme="majorBidi" w:cstheme="majorBidi" w:hint="cs"/>
          <w:sz w:val="24"/>
          <w:szCs w:val="24"/>
          <w:rtl/>
        </w:rPr>
        <w:t xml:space="preserve"> </w:t>
      </w:r>
      <w:r w:rsidR="00122D44">
        <w:rPr>
          <w:rFonts w:asciiTheme="majorBidi" w:hAnsiTheme="majorBidi" w:cstheme="majorBidi" w:hint="cs"/>
          <w:sz w:val="24"/>
          <w:szCs w:val="24"/>
          <w:rtl/>
        </w:rPr>
        <w:t>באמת</w:t>
      </w:r>
      <w:r w:rsidR="00774559">
        <w:rPr>
          <w:rFonts w:asciiTheme="majorBidi" w:hAnsiTheme="majorBidi" w:cstheme="majorBidi" w:hint="cs"/>
          <w:sz w:val="24"/>
          <w:szCs w:val="24"/>
          <w:rtl/>
        </w:rPr>
        <w:t xml:space="preserve"> מתאימים הדברים לדברי רבי יוחנן בירושלמי, אולם </w:t>
      </w:r>
      <w:r w:rsidR="00774559">
        <w:rPr>
          <w:rFonts w:ascii="David" w:hAnsi="David" w:cs="David" w:hint="cs"/>
          <w:sz w:val="24"/>
          <w:szCs w:val="24"/>
          <w:rtl/>
        </w:rPr>
        <w:t>"לכאורה אין הדברים מובנים לאור מה שמפרש שההיתר מבוסס על היאוש. לפיכך נראה שבאמת ה</w:t>
      </w:r>
      <w:r w:rsidR="000F65EA">
        <w:rPr>
          <w:rFonts w:ascii="David" w:hAnsi="David" w:cs="David" w:hint="cs"/>
          <w:sz w:val="24"/>
          <w:szCs w:val="24"/>
          <w:rtl/>
        </w:rPr>
        <w:t>אבידה</w:t>
      </w:r>
      <w:r w:rsidR="00774559">
        <w:rPr>
          <w:rFonts w:ascii="David" w:hAnsi="David" w:cs="David" w:hint="cs"/>
          <w:sz w:val="24"/>
          <w:szCs w:val="24"/>
          <w:rtl/>
        </w:rPr>
        <w:t xml:space="preserve"> מותרת מטעם </w:t>
      </w:r>
      <w:r w:rsidR="000F65EA">
        <w:rPr>
          <w:rFonts w:ascii="David" w:hAnsi="David" w:cs="David" w:hint="cs"/>
          <w:sz w:val="24"/>
          <w:szCs w:val="24"/>
          <w:rtl/>
        </w:rPr>
        <w:t>יאוש</w:t>
      </w:r>
      <w:r w:rsidR="00774559">
        <w:rPr>
          <w:rFonts w:ascii="David" w:hAnsi="David" w:cs="David" w:hint="cs"/>
          <w:sz w:val="24"/>
          <w:szCs w:val="24"/>
          <w:rtl/>
        </w:rPr>
        <w:t>, אלא שההיתר חל אפילו קודם שנודע לבעלים על ה</w:t>
      </w:r>
      <w:r w:rsidR="000F65EA">
        <w:rPr>
          <w:rFonts w:ascii="David" w:hAnsi="David" w:cs="David" w:hint="cs"/>
          <w:sz w:val="24"/>
          <w:szCs w:val="24"/>
          <w:rtl/>
        </w:rPr>
        <w:t>אבידה</w:t>
      </w:r>
      <w:r w:rsidR="00774559">
        <w:rPr>
          <w:rFonts w:ascii="David" w:hAnsi="David" w:cs="David" w:hint="cs"/>
          <w:sz w:val="24"/>
          <w:szCs w:val="24"/>
          <w:rtl/>
        </w:rPr>
        <w:t>, כלומר שב</w:t>
      </w:r>
      <w:r w:rsidR="000F65EA">
        <w:rPr>
          <w:rFonts w:ascii="David" w:hAnsi="David" w:cs="David" w:hint="cs"/>
          <w:sz w:val="24"/>
          <w:szCs w:val="24"/>
          <w:rtl/>
        </w:rPr>
        <w:t>אבידה</w:t>
      </w:r>
      <w:r w:rsidR="00774559">
        <w:rPr>
          <w:rFonts w:ascii="David" w:hAnsi="David" w:cs="David" w:hint="cs"/>
          <w:sz w:val="24"/>
          <w:szCs w:val="24"/>
          <w:rtl/>
        </w:rPr>
        <w:t xml:space="preserve"> כזו</w:t>
      </w:r>
      <w:r w:rsidR="009F4C88">
        <w:rPr>
          <w:rFonts w:ascii="David" w:hAnsi="David" w:cs="David" w:hint="cs"/>
          <w:sz w:val="24"/>
          <w:szCs w:val="24"/>
          <w:rtl/>
        </w:rPr>
        <w:t>,</w:t>
      </w:r>
      <w:r w:rsidR="00774559">
        <w:rPr>
          <w:rFonts w:ascii="David" w:hAnsi="David" w:cs="David" w:hint="cs"/>
          <w:sz w:val="24"/>
          <w:szCs w:val="24"/>
          <w:rtl/>
        </w:rPr>
        <w:t xml:space="preserve"> אף </w:t>
      </w:r>
      <w:r w:rsidR="000F65EA">
        <w:rPr>
          <w:rFonts w:ascii="David" w:hAnsi="David" w:cs="David" w:hint="cs"/>
          <w:sz w:val="24"/>
          <w:szCs w:val="24"/>
          <w:rtl/>
        </w:rPr>
        <w:t>יאוש</w:t>
      </w:r>
      <w:r w:rsidR="00774559">
        <w:rPr>
          <w:rFonts w:ascii="David" w:hAnsi="David" w:cs="David" w:hint="cs"/>
          <w:sz w:val="24"/>
          <w:szCs w:val="24"/>
          <w:rtl/>
        </w:rPr>
        <w:t xml:space="preserve"> שלא מדעת הוי </w:t>
      </w:r>
      <w:r w:rsidR="000F65EA">
        <w:rPr>
          <w:rFonts w:ascii="David" w:hAnsi="David" w:cs="David" w:hint="cs"/>
          <w:sz w:val="24"/>
          <w:szCs w:val="24"/>
          <w:rtl/>
        </w:rPr>
        <w:t>יאוש</w:t>
      </w:r>
      <w:r w:rsidR="00774559">
        <w:rPr>
          <w:rFonts w:ascii="David" w:hAnsi="David" w:cs="David" w:hint="cs"/>
          <w:sz w:val="24"/>
          <w:szCs w:val="24"/>
          <w:rtl/>
        </w:rPr>
        <w:t>. לפי זה יתכן ש</w:t>
      </w:r>
      <w:r w:rsidR="009F4C88">
        <w:rPr>
          <w:rFonts w:ascii="David" w:hAnsi="David" w:cs="David" w:hint="cs"/>
          <w:sz w:val="24"/>
          <w:szCs w:val="24"/>
          <w:rtl/>
        </w:rPr>
        <w:t>א</w:t>
      </w:r>
      <w:r w:rsidR="00774559">
        <w:rPr>
          <w:rFonts w:ascii="David" w:hAnsi="David" w:cs="David" w:hint="cs"/>
          <w:sz w:val="24"/>
          <w:szCs w:val="24"/>
          <w:rtl/>
        </w:rPr>
        <w:t>ם רואה את ה</w:t>
      </w:r>
      <w:r w:rsidR="000F65EA">
        <w:rPr>
          <w:rFonts w:ascii="David" w:hAnsi="David" w:cs="David" w:hint="cs"/>
          <w:sz w:val="24"/>
          <w:szCs w:val="24"/>
          <w:rtl/>
        </w:rPr>
        <w:t>אבידה</w:t>
      </w:r>
      <w:r w:rsidR="00774559">
        <w:rPr>
          <w:rFonts w:ascii="David" w:hAnsi="David" w:cs="David" w:hint="cs"/>
          <w:sz w:val="24"/>
          <w:szCs w:val="24"/>
          <w:rtl/>
        </w:rPr>
        <w:t xml:space="preserve"> בשעת מעשה </w:t>
      </w:r>
      <w:r w:rsidR="00774559" w:rsidRPr="00122D44">
        <w:rPr>
          <w:rFonts w:ascii="David" w:hAnsi="David" w:cs="David" w:hint="cs"/>
          <w:b/>
          <w:bCs/>
          <w:sz w:val="24"/>
          <w:szCs w:val="24"/>
          <w:rtl/>
        </w:rPr>
        <w:t xml:space="preserve">וצווח </w:t>
      </w:r>
      <w:r w:rsidR="00774559">
        <w:rPr>
          <w:rFonts w:ascii="David" w:hAnsi="David" w:cs="David" w:hint="cs"/>
          <w:sz w:val="24"/>
          <w:szCs w:val="24"/>
          <w:rtl/>
        </w:rPr>
        <w:t xml:space="preserve">שאינו מתייאש </w:t>
      </w:r>
      <w:r w:rsidR="00774559">
        <w:rPr>
          <w:rFonts w:ascii="David" w:hAnsi="David" w:cs="David"/>
          <w:sz w:val="24"/>
          <w:szCs w:val="24"/>
          <w:rtl/>
        </w:rPr>
        <w:t>–</w:t>
      </w:r>
      <w:r w:rsidR="00774559">
        <w:rPr>
          <w:rFonts w:ascii="David" w:hAnsi="David" w:cs="David" w:hint="cs"/>
          <w:sz w:val="24"/>
          <w:szCs w:val="24"/>
          <w:rtl/>
        </w:rPr>
        <w:t xml:space="preserve"> נשאר האיסור במקומו. מה שאין כן לדעת.. אשר סוברים שה</w:t>
      </w:r>
      <w:r w:rsidR="000F65EA">
        <w:rPr>
          <w:rFonts w:ascii="David" w:hAnsi="David" w:cs="David" w:hint="cs"/>
          <w:sz w:val="24"/>
          <w:szCs w:val="24"/>
          <w:rtl/>
        </w:rPr>
        <w:t>אבידה</w:t>
      </w:r>
      <w:r w:rsidR="00774559">
        <w:rPr>
          <w:rFonts w:ascii="David" w:hAnsi="David" w:cs="David" w:hint="cs"/>
          <w:sz w:val="24"/>
          <w:szCs w:val="24"/>
          <w:rtl/>
        </w:rPr>
        <w:t xml:space="preserve"> מותרת בכל </w:t>
      </w:r>
      <w:r w:rsidR="00774559">
        <w:rPr>
          <w:rFonts w:ascii="David" w:hAnsi="David" w:cs="David" w:hint="cs"/>
          <w:sz w:val="24"/>
          <w:szCs w:val="24"/>
          <w:rtl/>
        </w:rPr>
        <w:lastRenderedPageBreak/>
        <w:t>אופן מכח דרשת הפסוק</w:t>
      </w:r>
      <w:r w:rsidR="00B84146">
        <w:rPr>
          <w:rStyle w:val="a9"/>
          <w:rFonts w:ascii="David" w:hAnsi="David" w:cs="David"/>
          <w:sz w:val="24"/>
          <w:szCs w:val="24"/>
          <w:rtl/>
        </w:rPr>
        <w:footnoteReference w:id="16"/>
      </w:r>
      <w:r w:rsidR="00774559">
        <w:rPr>
          <w:rFonts w:ascii="David" w:hAnsi="David" w:cs="David" w:hint="cs"/>
          <w:sz w:val="24"/>
          <w:szCs w:val="24"/>
          <w:rtl/>
        </w:rPr>
        <w:t>".</w:t>
      </w:r>
      <w:r w:rsidR="00844F8E">
        <w:rPr>
          <w:rFonts w:ascii="David" w:hAnsi="David" w:cs="David" w:hint="cs"/>
          <w:sz w:val="24"/>
          <w:szCs w:val="24"/>
          <w:rtl/>
        </w:rPr>
        <w:t xml:space="preserve"> </w:t>
      </w:r>
      <w:r w:rsidR="00844F8E">
        <w:rPr>
          <w:rFonts w:asciiTheme="majorBidi" w:hAnsiTheme="majorBidi" w:cstheme="majorBidi" w:hint="cs"/>
          <w:sz w:val="24"/>
          <w:szCs w:val="24"/>
          <w:rtl/>
        </w:rPr>
        <w:t xml:space="preserve">השולחן ערוך הולך בעקבות הראשונים, וקובע שכשאבודה מכל אדם אכן קיים היתר גמור ואין צורך לגדרי יאוש:  </w:t>
      </w:r>
      <w:r w:rsidR="00844F8E" w:rsidRPr="000F65EA">
        <w:rPr>
          <w:rFonts w:ascii="David" w:hAnsi="David" w:cs="David"/>
          <w:sz w:val="24"/>
          <w:szCs w:val="24"/>
          <w:rtl/>
        </w:rPr>
        <w:t>המציל מהארי והדוב</w:t>
      </w:r>
      <w:r w:rsidR="00844F8E">
        <w:rPr>
          <w:rFonts w:ascii="David" w:hAnsi="David" w:cs="David" w:hint="cs"/>
          <w:sz w:val="24"/>
          <w:szCs w:val="24"/>
          <w:rtl/>
        </w:rPr>
        <w:t xml:space="preserve"> </w:t>
      </w:r>
      <w:r w:rsidR="00844F8E" w:rsidRPr="000F65EA">
        <w:rPr>
          <w:rFonts w:ascii="David" w:hAnsi="David" w:cs="David"/>
          <w:sz w:val="24"/>
          <w:szCs w:val="24"/>
          <w:rtl/>
        </w:rPr>
        <w:t xml:space="preserve">וזוטו של ים </w:t>
      </w:r>
      <w:r w:rsidR="00844F8E" w:rsidRPr="000F65EA">
        <w:rPr>
          <w:rFonts w:ascii="David" w:hAnsi="David" w:cs="Guttman Yad-Brush"/>
          <w:sz w:val="18"/>
          <w:szCs w:val="18"/>
          <w:rtl/>
        </w:rPr>
        <w:t xml:space="preserve">(פי' לשון ים החוזר לאחוריו עשרה או ט"ו פרסאות ושוטף כל מה שמוצא בדרך חזרתו וכן עושה בכל יום) </w:t>
      </w:r>
      <w:r w:rsidR="00844F8E" w:rsidRPr="000F65EA">
        <w:rPr>
          <w:rFonts w:ascii="David" w:hAnsi="David" w:cs="David"/>
          <w:sz w:val="24"/>
          <w:szCs w:val="24"/>
          <w:rtl/>
        </w:rPr>
        <w:t>ושלוליתו של נהר (</w:t>
      </w:r>
      <w:r w:rsidR="00844F8E" w:rsidRPr="000F65EA">
        <w:rPr>
          <w:rFonts w:ascii="David" w:hAnsi="David" w:cs="Guttman Yad-Brush"/>
          <w:sz w:val="18"/>
          <w:szCs w:val="18"/>
          <w:rtl/>
        </w:rPr>
        <w:t>פי' כשהנהר גדל ויוצא על גדותיו ופושט, רש"י),</w:t>
      </w:r>
      <w:r w:rsidR="00844F8E">
        <w:rPr>
          <w:rFonts w:ascii="David" w:hAnsi="David" w:cs="David" w:hint="cs"/>
          <w:sz w:val="24"/>
          <w:szCs w:val="24"/>
          <w:rtl/>
        </w:rPr>
        <w:t xml:space="preserve"> </w:t>
      </w:r>
      <w:r w:rsidR="00844F8E" w:rsidRPr="000F65EA">
        <w:rPr>
          <w:rFonts w:ascii="David" w:hAnsi="David" w:cs="David"/>
          <w:sz w:val="24"/>
          <w:szCs w:val="24"/>
          <w:rtl/>
        </w:rPr>
        <w:t xml:space="preserve">הרי אלו שלו אפילו הבעל עומד וצווח. </w:t>
      </w:r>
      <w:r w:rsidR="00844F8E" w:rsidRPr="000F65EA">
        <w:rPr>
          <w:rFonts w:ascii="David" w:hAnsi="David" w:cs="Guttman Yad-Brush"/>
          <w:sz w:val="18"/>
          <w:szCs w:val="18"/>
          <w:rtl/>
        </w:rPr>
        <w:t>הגה: מ"מ טוב וישר להחזיר</w:t>
      </w:r>
      <w:r w:rsidR="00844F8E">
        <w:rPr>
          <w:rStyle w:val="a9"/>
          <w:rFonts w:ascii="David" w:hAnsi="David" w:cs="Guttman Yad-Brush"/>
          <w:sz w:val="18"/>
          <w:szCs w:val="18"/>
          <w:rtl/>
        </w:rPr>
        <w:footnoteReference w:id="17"/>
      </w:r>
      <w:r w:rsidR="00844F8E">
        <w:rPr>
          <w:rFonts w:ascii="David" w:hAnsi="David" w:cs="David" w:hint="cs"/>
          <w:sz w:val="24"/>
          <w:szCs w:val="24"/>
          <w:rtl/>
        </w:rPr>
        <w:t>".</w:t>
      </w:r>
    </w:p>
    <w:p w14:paraId="63BC640B" w14:textId="00DB19C3" w:rsidR="001F1313" w:rsidRDefault="000F65EA" w:rsidP="00880CBD">
      <w:pPr>
        <w:spacing w:after="0" w:line="360" w:lineRule="auto"/>
        <w:rPr>
          <w:rFonts w:asciiTheme="majorBidi" w:hAnsiTheme="majorBidi" w:cstheme="majorBidi"/>
          <w:b/>
          <w:bCs/>
          <w:sz w:val="24"/>
          <w:szCs w:val="24"/>
          <w:rtl/>
        </w:rPr>
      </w:pPr>
      <w:r>
        <w:rPr>
          <w:rFonts w:asciiTheme="majorBidi" w:hAnsiTheme="majorBidi" w:cstheme="majorBidi" w:hint="cs"/>
          <w:b/>
          <w:bCs/>
          <w:sz w:val="24"/>
          <w:szCs w:val="24"/>
          <w:rtl/>
        </w:rPr>
        <w:t xml:space="preserve">ג. </w:t>
      </w:r>
      <w:r w:rsidR="001F1313">
        <w:rPr>
          <w:rFonts w:asciiTheme="majorBidi" w:hAnsiTheme="majorBidi" w:cstheme="majorBidi" w:hint="cs"/>
          <w:b/>
          <w:bCs/>
          <w:sz w:val="24"/>
          <w:szCs w:val="24"/>
          <w:rtl/>
        </w:rPr>
        <w:t>שיטת הרמב"ם</w:t>
      </w:r>
    </w:p>
    <w:p w14:paraId="5A4F7085" w14:textId="2B8995C2" w:rsidR="001F1313" w:rsidRPr="00122D44" w:rsidRDefault="001F1313" w:rsidP="00122D44">
      <w:pPr>
        <w:spacing w:after="0" w:line="360" w:lineRule="auto"/>
        <w:rPr>
          <w:rFonts w:ascii="David" w:hAnsi="David" w:cs="David"/>
          <w:sz w:val="24"/>
          <w:szCs w:val="24"/>
          <w:rtl/>
        </w:rPr>
      </w:pPr>
      <w:r>
        <w:rPr>
          <w:rFonts w:asciiTheme="majorBidi" w:hAnsiTheme="majorBidi" w:cstheme="majorBidi" w:hint="cs"/>
          <w:sz w:val="24"/>
          <w:szCs w:val="24"/>
          <w:rtl/>
        </w:rPr>
        <w:t>הרמב"ם רואה ב</w:t>
      </w:r>
      <w:r w:rsidR="000F65EA">
        <w:rPr>
          <w:rFonts w:asciiTheme="majorBidi" w:hAnsiTheme="majorBidi" w:cstheme="majorBidi" w:hint="cs"/>
          <w:sz w:val="24"/>
          <w:szCs w:val="24"/>
          <w:rtl/>
        </w:rPr>
        <w:t>יאוש</w:t>
      </w:r>
      <w:r>
        <w:rPr>
          <w:rFonts w:asciiTheme="majorBidi" w:hAnsiTheme="majorBidi" w:cstheme="majorBidi" w:hint="cs"/>
          <w:sz w:val="24"/>
          <w:szCs w:val="24"/>
          <w:rtl/>
        </w:rPr>
        <w:t xml:space="preserve"> חלק הכרחי מהיתר לקיחת ה</w:t>
      </w:r>
      <w:r w:rsidR="000F65EA">
        <w:rPr>
          <w:rFonts w:asciiTheme="majorBidi" w:hAnsiTheme="majorBidi" w:cstheme="majorBidi" w:hint="cs"/>
          <w:sz w:val="24"/>
          <w:szCs w:val="24"/>
          <w:rtl/>
        </w:rPr>
        <w:t>אבידה</w:t>
      </w:r>
      <w:r>
        <w:rPr>
          <w:rFonts w:asciiTheme="majorBidi" w:hAnsiTheme="majorBidi" w:cstheme="majorBidi" w:hint="cs"/>
          <w:sz w:val="24"/>
          <w:szCs w:val="24"/>
          <w:rtl/>
        </w:rPr>
        <w:t xml:space="preserve">: </w:t>
      </w:r>
      <w:r w:rsidR="00A7540B">
        <w:rPr>
          <w:rFonts w:ascii="David" w:hAnsi="David" w:cs="David" w:hint="cs"/>
          <w:sz w:val="24"/>
          <w:szCs w:val="24"/>
          <w:rtl/>
        </w:rPr>
        <w:t>"</w:t>
      </w:r>
      <w:r w:rsidR="00A7540B" w:rsidRPr="00A7540B">
        <w:rPr>
          <w:rFonts w:ascii="David" w:hAnsi="David" w:cs="David"/>
          <w:sz w:val="24"/>
          <w:szCs w:val="24"/>
          <w:rtl/>
        </w:rPr>
        <w:t>המוצא אבידה בזוטו של ים ובשלוליתו של נהר שאינו פוסק</w:t>
      </w:r>
      <w:r w:rsidR="00A7540B">
        <w:rPr>
          <w:rFonts w:ascii="David" w:hAnsi="David" w:cs="David" w:hint="cs"/>
          <w:sz w:val="24"/>
          <w:szCs w:val="24"/>
          <w:rtl/>
        </w:rPr>
        <w:t>,</w:t>
      </w:r>
      <w:r w:rsidR="00A7540B" w:rsidRPr="00A7540B">
        <w:rPr>
          <w:rFonts w:ascii="David" w:hAnsi="David" w:cs="David"/>
          <w:sz w:val="24"/>
          <w:szCs w:val="24"/>
          <w:rtl/>
        </w:rPr>
        <w:t xml:space="preserve"> אף על פי שיש בה סימן הרי זו של מוצאה</w:t>
      </w:r>
      <w:r w:rsidR="00A7540B">
        <w:rPr>
          <w:rFonts w:ascii="David" w:hAnsi="David" w:cs="David" w:hint="cs"/>
          <w:sz w:val="24"/>
          <w:szCs w:val="24"/>
          <w:rtl/>
        </w:rPr>
        <w:t>,</w:t>
      </w:r>
      <w:r w:rsidR="00A7540B" w:rsidRPr="00A7540B">
        <w:rPr>
          <w:rFonts w:ascii="David" w:hAnsi="David" w:cs="David"/>
          <w:sz w:val="24"/>
          <w:szCs w:val="24"/>
          <w:rtl/>
        </w:rPr>
        <w:t xml:space="preserve"> שנ'</w:t>
      </w:r>
      <w:r w:rsidR="00A7540B">
        <w:rPr>
          <w:rFonts w:ascii="David" w:hAnsi="David" w:cs="David" w:hint="cs"/>
          <w:sz w:val="24"/>
          <w:szCs w:val="24"/>
          <w:rtl/>
        </w:rPr>
        <w:t xml:space="preserve">: </w:t>
      </w:r>
      <w:r w:rsidR="00A7540B" w:rsidRPr="00A7540B">
        <w:rPr>
          <w:rFonts w:ascii="David" w:hAnsi="David" w:cs="David"/>
          <w:sz w:val="24"/>
          <w:szCs w:val="24"/>
          <w:rtl/>
        </w:rPr>
        <w:t>א</w:t>
      </w:r>
      <w:r w:rsidR="00A7540B">
        <w:rPr>
          <w:rFonts w:ascii="David" w:hAnsi="David" w:cs="David" w:hint="cs"/>
          <w:sz w:val="24"/>
          <w:szCs w:val="24"/>
          <w:rtl/>
        </w:rPr>
        <w:t>'</w:t>
      </w:r>
      <w:r w:rsidR="00A7540B" w:rsidRPr="00A7540B">
        <w:rPr>
          <w:rFonts w:ascii="David" w:hAnsi="David" w:cs="David"/>
          <w:sz w:val="24"/>
          <w:szCs w:val="24"/>
          <w:rtl/>
        </w:rPr>
        <w:t>שר תאבד ממנו ומצאתה</w:t>
      </w:r>
      <w:r w:rsidR="00A7540B">
        <w:rPr>
          <w:rFonts w:ascii="David" w:hAnsi="David" w:cs="David" w:hint="cs"/>
          <w:sz w:val="24"/>
          <w:szCs w:val="24"/>
          <w:rtl/>
        </w:rPr>
        <w:t>'</w:t>
      </w:r>
      <w:r w:rsidR="00A7540B" w:rsidRPr="00A7540B">
        <w:rPr>
          <w:rFonts w:ascii="David" w:hAnsi="David" w:cs="David"/>
          <w:sz w:val="24"/>
          <w:szCs w:val="24"/>
          <w:rtl/>
        </w:rPr>
        <w:t>, מי שאבודה ממנו ומצויה אצל כל אדם יצאת זו שאבודה ממנו ומכל אדם שזה ודאי נתיאש ממנה</w:t>
      </w:r>
      <w:r w:rsidR="00A7540B">
        <w:rPr>
          <w:rStyle w:val="a9"/>
          <w:rFonts w:ascii="David" w:hAnsi="David" w:cs="David"/>
          <w:sz w:val="24"/>
          <w:szCs w:val="24"/>
          <w:rtl/>
        </w:rPr>
        <w:footnoteReference w:id="18"/>
      </w:r>
      <w:r w:rsidR="00A7540B">
        <w:rPr>
          <w:rFonts w:ascii="David" w:hAnsi="David" w:cs="David" w:hint="cs"/>
          <w:sz w:val="24"/>
          <w:szCs w:val="24"/>
          <w:rtl/>
        </w:rPr>
        <w:t>"</w:t>
      </w:r>
      <w:r w:rsidR="00A7540B" w:rsidRPr="00A7540B">
        <w:rPr>
          <w:rFonts w:ascii="David" w:hAnsi="David" w:cs="David"/>
          <w:sz w:val="24"/>
          <w:szCs w:val="24"/>
          <w:rtl/>
        </w:rPr>
        <w:t>.</w:t>
      </w:r>
      <w:r w:rsidR="00122D44">
        <w:rPr>
          <w:rFonts w:ascii="David" w:hAnsi="David" w:cs="David" w:hint="cs"/>
          <w:sz w:val="24"/>
          <w:szCs w:val="24"/>
          <w:rtl/>
        </w:rPr>
        <w:t xml:space="preserve">  </w:t>
      </w:r>
      <w:r w:rsidR="009F4C88">
        <w:rPr>
          <w:rFonts w:asciiTheme="majorBidi" w:hAnsiTheme="majorBidi" w:cstheme="majorBidi" w:hint="cs"/>
          <w:sz w:val="24"/>
          <w:szCs w:val="24"/>
          <w:rtl/>
        </w:rPr>
        <w:t xml:space="preserve">אולם, במקום אחר החמיר הרמב"ם אפילו בספק </w:t>
      </w:r>
      <w:r w:rsidR="000F65EA">
        <w:rPr>
          <w:rFonts w:asciiTheme="majorBidi" w:hAnsiTheme="majorBidi" w:cstheme="majorBidi" w:hint="cs"/>
          <w:sz w:val="24"/>
          <w:szCs w:val="24"/>
          <w:rtl/>
        </w:rPr>
        <w:t>יאוש</w:t>
      </w:r>
      <w:r w:rsidR="009F4C88">
        <w:rPr>
          <w:rFonts w:asciiTheme="majorBidi" w:hAnsiTheme="majorBidi" w:cstheme="majorBidi" w:hint="cs"/>
          <w:sz w:val="24"/>
          <w:szCs w:val="24"/>
          <w:rtl/>
        </w:rPr>
        <w:t xml:space="preserve">: </w:t>
      </w:r>
      <w:r>
        <w:rPr>
          <w:rFonts w:ascii="David" w:hAnsi="David" w:cs="David" w:hint="cs"/>
          <w:sz w:val="24"/>
          <w:szCs w:val="24"/>
          <w:rtl/>
        </w:rPr>
        <w:t>"</w:t>
      </w:r>
      <w:r w:rsidRPr="001F1313">
        <w:rPr>
          <w:rFonts w:ascii="David" w:hAnsi="David" w:cs="David"/>
          <w:sz w:val="24"/>
          <w:szCs w:val="24"/>
          <w:rtl/>
        </w:rPr>
        <w:t xml:space="preserve">קורות ואבנים ועצים וכיוצא בהן ששטפם הנהר אם נתיאשו הבעלים מהן הרי אלו מותרין והן של מצילן </w:t>
      </w:r>
      <w:r w:rsidRPr="009F4C88">
        <w:rPr>
          <w:rFonts w:ascii="David" w:hAnsi="David" w:cs="David"/>
          <w:b/>
          <w:bCs/>
          <w:sz w:val="24"/>
          <w:szCs w:val="24"/>
          <w:rtl/>
        </w:rPr>
        <w:t>ואם אינו יודע אם נתיאשו או לא נתיאשו חייב להחזיר</w:t>
      </w:r>
      <w:r w:rsidRPr="001F1313">
        <w:rPr>
          <w:rFonts w:ascii="David" w:hAnsi="David" w:cs="David"/>
          <w:sz w:val="24"/>
          <w:szCs w:val="24"/>
          <w:rtl/>
        </w:rPr>
        <w:t xml:space="preserve"> ואין צריך לומר אם היו הבעלים מרדפין אחריהן.</w:t>
      </w:r>
    </w:p>
    <w:p w14:paraId="3B32E0CA" w14:textId="5994C3D9" w:rsidR="00033726" w:rsidRPr="001307C2" w:rsidRDefault="001F1313" w:rsidP="001307C2">
      <w:pPr>
        <w:spacing w:after="0" w:line="360" w:lineRule="auto"/>
        <w:rPr>
          <w:rFonts w:asciiTheme="majorBidi" w:hAnsiTheme="majorBidi" w:cstheme="majorBidi"/>
          <w:sz w:val="24"/>
          <w:szCs w:val="24"/>
          <w:rtl/>
        </w:rPr>
      </w:pPr>
      <w:r w:rsidRPr="001F1313">
        <w:rPr>
          <w:rFonts w:ascii="David" w:hAnsi="David" w:cs="David"/>
          <w:sz w:val="24"/>
          <w:szCs w:val="24"/>
          <w:rtl/>
        </w:rPr>
        <w:t xml:space="preserve">לפיכך המציל מן הנהר ומזוטו של ים ומשלוליתו של נהר ומן הגייס ומן הדליקה ומן הארי ומן הדוב ומן הנמר ומן הברדלס, אם ידע בודאי שנתיאשו הבעלים הרי אלו שלו ואם לא ידע יחזיר. </w:t>
      </w:r>
      <w:r>
        <w:rPr>
          <w:rFonts w:ascii="David" w:hAnsi="David" w:cs="Guttman Yad-Brush" w:hint="cs"/>
          <w:sz w:val="18"/>
          <w:szCs w:val="18"/>
          <w:rtl/>
        </w:rPr>
        <w:t>"</w:t>
      </w:r>
      <w:r w:rsidRPr="001F1313">
        <w:rPr>
          <w:rFonts w:ascii="David" w:hAnsi="David" w:cs="Guttman Yad-Brush"/>
          <w:sz w:val="18"/>
          <w:szCs w:val="18"/>
          <w:rtl/>
        </w:rPr>
        <w:t>השגת הראב"ד/ לפיכך המציל מן הנהר וכו' אם ידע ודאי שנתיאשו וכו'. א"א אלו דברי תימה הם</w:t>
      </w:r>
      <w:r>
        <w:rPr>
          <w:rFonts w:ascii="David" w:hAnsi="David" w:cs="Guttman Yad-Brush" w:hint="cs"/>
          <w:sz w:val="18"/>
          <w:szCs w:val="18"/>
          <w:rtl/>
        </w:rPr>
        <w:t xml:space="preserve">".  </w:t>
      </w:r>
      <w:r w:rsidR="001307C2">
        <w:rPr>
          <w:rFonts w:asciiTheme="majorBidi" w:hAnsiTheme="majorBidi" w:cstheme="majorBidi" w:hint="cs"/>
          <w:sz w:val="24"/>
          <w:szCs w:val="24"/>
          <w:rtl/>
        </w:rPr>
        <w:t>כדי ליישב את הסתירה, כתב ב</w:t>
      </w:r>
      <w:r w:rsidR="001307C2" w:rsidRPr="001307C2">
        <w:rPr>
          <w:rFonts w:asciiTheme="majorBidi" w:hAnsiTheme="majorBidi" w:cs="Times New Roman"/>
          <w:sz w:val="24"/>
          <w:szCs w:val="24"/>
          <w:rtl/>
        </w:rPr>
        <w:t xml:space="preserve">לחם משנה </w:t>
      </w:r>
      <w:r w:rsidR="001307C2">
        <w:rPr>
          <w:rFonts w:asciiTheme="majorBidi" w:hAnsiTheme="majorBidi" w:cstheme="majorBidi" w:hint="cs"/>
          <w:sz w:val="24"/>
          <w:szCs w:val="24"/>
          <w:rtl/>
        </w:rPr>
        <w:t>שמדובר ב</w:t>
      </w:r>
      <w:r w:rsidR="001307C2" w:rsidRPr="001307C2">
        <w:rPr>
          <w:rFonts w:ascii="David" w:hAnsi="David" w:cs="David"/>
          <w:sz w:val="24"/>
          <w:szCs w:val="24"/>
          <w:rtl/>
        </w:rPr>
        <w:t>"</w:t>
      </w:r>
      <w:r w:rsidR="001307C2" w:rsidRPr="001307C2">
        <w:rPr>
          <w:rFonts w:ascii="David" w:hAnsi="David" w:cs="David"/>
          <w:sz w:val="24"/>
          <w:szCs w:val="24"/>
          <w:rtl/>
        </w:rPr>
        <w:t xml:space="preserve">זוטו של ים </w:t>
      </w:r>
      <w:r w:rsidR="001307C2" w:rsidRPr="001307C2">
        <w:rPr>
          <w:rFonts w:ascii="David" w:hAnsi="David" w:cs="David"/>
          <w:b/>
          <w:bCs/>
          <w:sz w:val="24"/>
          <w:szCs w:val="24"/>
          <w:rtl/>
        </w:rPr>
        <w:t>אחר</w:t>
      </w:r>
      <w:r w:rsidR="001307C2" w:rsidRPr="001307C2">
        <w:rPr>
          <w:rFonts w:ascii="David" w:hAnsi="David" w:cs="David"/>
          <w:sz w:val="24"/>
          <w:szCs w:val="24"/>
          <w:rtl/>
        </w:rPr>
        <w:t xml:space="preserve"> דאפשר להציל על זה</w:t>
      </w:r>
      <w:r w:rsidR="001307C2" w:rsidRPr="001307C2">
        <w:rPr>
          <w:rStyle w:val="a9"/>
          <w:rFonts w:ascii="David" w:hAnsi="David" w:cs="David"/>
          <w:sz w:val="24"/>
          <w:szCs w:val="24"/>
          <w:rtl/>
        </w:rPr>
        <w:footnoteReference w:id="19"/>
      </w:r>
      <w:r w:rsidR="001307C2" w:rsidRPr="001307C2">
        <w:rPr>
          <w:rFonts w:ascii="David" w:hAnsi="David" w:cs="David"/>
          <w:sz w:val="24"/>
          <w:szCs w:val="24"/>
          <w:rtl/>
        </w:rPr>
        <w:t>"</w:t>
      </w:r>
      <w:r w:rsidR="001307C2" w:rsidRPr="001307C2">
        <w:rPr>
          <w:rFonts w:asciiTheme="majorBidi" w:hAnsiTheme="majorBidi" w:cstheme="majorBidi"/>
          <w:sz w:val="24"/>
          <w:szCs w:val="24"/>
          <w:rtl/>
        </w:rPr>
        <w:t>,</w:t>
      </w:r>
      <w:r w:rsidR="001307C2">
        <w:rPr>
          <w:rFonts w:ascii="David" w:hAnsi="David" w:cs="David" w:hint="cs"/>
          <w:sz w:val="24"/>
          <w:szCs w:val="24"/>
          <w:rtl/>
        </w:rPr>
        <w:t xml:space="preserve"> </w:t>
      </w:r>
      <w:r w:rsidR="001307C2" w:rsidRPr="001307C2">
        <w:rPr>
          <w:rFonts w:asciiTheme="majorBidi" w:hAnsiTheme="majorBidi" w:cstheme="majorBidi"/>
          <w:sz w:val="24"/>
          <w:szCs w:val="24"/>
          <w:rtl/>
        </w:rPr>
        <w:t>בדומה להלכת 'שטף נהר קוריו'.</w:t>
      </w:r>
      <w:r w:rsidR="001307C2">
        <w:rPr>
          <w:rFonts w:ascii="David" w:hAnsi="David" w:cs="David" w:hint="cs"/>
          <w:sz w:val="24"/>
          <w:szCs w:val="24"/>
          <w:rtl/>
        </w:rPr>
        <w:t xml:space="preserve"> "שיטה זו </w:t>
      </w:r>
      <w:r w:rsidR="001307C2" w:rsidRPr="001307C2">
        <w:rPr>
          <w:rFonts w:ascii="David" w:hAnsi="David" w:cs="David"/>
          <w:sz w:val="24"/>
          <w:szCs w:val="24"/>
          <w:rtl/>
        </w:rPr>
        <w:t>קשה מפני שצריך לפרש את כל הדברים המנויים בפרק ו שמדובר באופן שיכול להציל וקשה לומר כן על המציל מן הארי ומן הדוב</w:t>
      </w:r>
      <w:r w:rsidR="001307C2">
        <w:rPr>
          <w:rStyle w:val="a9"/>
          <w:rFonts w:ascii="David" w:hAnsi="David" w:cs="David"/>
          <w:sz w:val="24"/>
          <w:szCs w:val="24"/>
          <w:rtl/>
        </w:rPr>
        <w:footnoteReference w:id="20"/>
      </w:r>
      <w:r w:rsidR="001307C2" w:rsidRPr="001307C2">
        <w:rPr>
          <w:rFonts w:ascii="David" w:hAnsi="David" w:cs="David"/>
          <w:sz w:val="24"/>
          <w:szCs w:val="24"/>
          <w:rtl/>
        </w:rPr>
        <w:t>".</w:t>
      </w:r>
      <w:r w:rsidR="001307C2">
        <w:rPr>
          <w:rFonts w:asciiTheme="majorBidi" w:hAnsiTheme="majorBidi" w:cstheme="majorBidi" w:hint="cs"/>
          <w:sz w:val="24"/>
          <w:szCs w:val="24"/>
          <w:rtl/>
        </w:rPr>
        <w:t xml:space="preserve"> באבן האזל ביאר</w:t>
      </w:r>
      <w:r w:rsidR="001307C2">
        <w:rPr>
          <w:rFonts w:asciiTheme="majorBidi" w:hAnsiTheme="majorBidi" w:cs="Times New Roman" w:hint="cs"/>
          <w:sz w:val="24"/>
          <w:szCs w:val="24"/>
          <w:rtl/>
        </w:rPr>
        <w:t>:</w:t>
      </w:r>
      <w:r w:rsidR="001307C2" w:rsidRPr="001307C2">
        <w:rPr>
          <w:rFonts w:ascii="David" w:hAnsi="David" w:cs="David"/>
          <w:sz w:val="24"/>
          <w:szCs w:val="24"/>
          <w:rtl/>
        </w:rPr>
        <w:t>"</w:t>
      </w:r>
      <w:r w:rsidR="001307C2" w:rsidRPr="001307C2">
        <w:rPr>
          <w:rFonts w:ascii="David" w:hAnsi="David" w:cs="David"/>
          <w:sz w:val="24"/>
          <w:szCs w:val="24"/>
          <w:rtl/>
        </w:rPr>
        <w:t>ונראה דכאן</w:t>
      </w:r>
      <w:r w:rsidR="001307C2" w:rsidRPr="001307C2">
        <w:rPr>
          <w:rStyle w:val="a9"/>
          <w:rFonts w:ascii="David" w:hAnsi="David" w:cs="David"/>
          <w:sz w:val="24"/>
          <w:szCs w:val="24"/>
          <w:rtl/>
        </w:rPr>
        <w:footnoteReference w:id="21"/>
      </w:r>
      <w:r w:rsidR="001307C2" w:rsidRPr="001307C2">
        <w:rPr>
          <w:rFonts w:ascii="David" w:hAnsi="David" w:cs="David"/>
          <w:sz w:val="24"/>
          <w:szCs w:val="24"/>
          <w:rtl/>
        </w:rPr>
        <w:t xml:space="preserve"> מיירי בהצלה ושם מיירי במציאה דהצלה</w:t>
      </w:r>
      <w:r w:rsidR="001307C2" w:rsidRPr="001307C2">
        <w:rPr>
          <w:rFonts w:ascii="David" w:hAnsi="David" w:cs="David"/>
          <w:sz w:val="24"/>
          <w:szCs w:val="24"/>
          <w:rtl/>
        </w:rPr>
        <w:t>,</w:t>
      </w:r>
      <w:r w:rsidR="001307C2" w:rsidRPr="001307C2">
        <w:rPr>
          <w:rFonts w:ascii="David" w:hAnsi="David" w:cs="David"/>
          <w:sz w:val="24"/>
          <w:szCs w:val="24"/>
          <w:rtl/>
        </w:rPr>
        <w:t xml:space="preserve"> היינו בשעת מעשה שיתכן ע"י רוב עוזרים ומצילין שיצילו, אבל שם מיירי במציאה שהבעלים ועוזריהם כבר רחוקים ואז ודאי נתייאשו</w:t>
      </w:r>
      <w:r w:rsidR="001307C2" w:rsidRPr="001307C2">
        <w:rPr>
          <w:rFonts w:ascii="David" w:hAnsi="David" w:cs="David"/>
          <w:sz w:val="24"/>
          <w:szCs w:val="24"/>
          <w:rtl/>
        </w:rPr>
        <w:t>". "לפי חילוקו יוצא שהעיקר תלוי בזמן אימתי בא המוצא, ואם בא בשעת מעשה, אינו יכול לקחתה אלא כשידוע שהתייאש, ואין אומרים בזה ש</w:t>
      </w:r>
      <w:r w:rsidR="000F65EA">
        <w:rPr>
          <w:rFonts w:ascii="David" w:hAnsi="David" w:cs="David"/>
          <w:sz w:val="24"/>
          <w:szCs w:val="24"/>
          <w:rtl/>
        </w:rPr>
        <w:t>יאוש</w:t>
      </w:r>
      <w:r w:rsidR="001307C2" w:rsidRPr="001307C2">
        <w:rPr>
          <w:rFonts w:ascii="David" w:hAnsi="David" w:cs="David"/>
          <w:sz w:val="24"/>
          <w:szCs w:val="24"/>
          <w:rtl/>
        </w:rPr>
        <w:t xml:space="preserve"> שלא מדעת הוי </w:t>
      </w:r>
      <w:r w:rsidR="000F65EA">
        <w:rPr>
          <w:rFonts w:ascii="David" w:hAnsi="David" w:cs="David"/>
          <w:sz w:val="24"/>
          <w:szCs w:val="24"/>
          <w:rtl/>
        </w:rPr>
        <w:t>יאוש</w:t>
      </w:r>
      <w:r w:rsidR="001307C2" w:rsidRPr="001307C2">
        <w:rPr>
          <w:rStyle w:val="a9"/>
          <w:rFonts w:ascii="David" w:hAnsi="David" w:cs="David"/>
          <w:sz w:val="24"/>
          <w:szCs w:val="24"/>
          <w:rtl/>
        </w:rPr>
        <w:footnoteReference w:id="22"/>
      </w:r>
      <w:r w:rsidR="001307C2" w:rsidRPr="001307C2">
        <w:rPr>
          <w:rFonts w:ascii="David" w:hAnsi="David" w:cs="David"/>
          <w:sz w:val="24"/>
          <w:szCs w:val="24"/>
          <w:rtl/>
        </w:rPr>
        <w:t xml:space="preserve">". </w:t>
      </w:r>
    </w:p>
    <w:p w14:paraId="52597D12" w14:textId="71D54B8D" w:rsidR="000F65EA" w:rsidRDefault="000F65EA" w:rsidP="00844F8E">
      <w:pPr>
        <w:spacing w:after="0" w:line="360" w:lineRule="auto"/>
        <w:rPr>
          <w:rFonts w:asciiTheme="majorBidi" w:hAnsiTheme="majorBidi" w:cstheme="majorBidi"/>
          <w:b/>
          <w:bCs/>
          <w:sz w:val="24"/>
          <w:szCs w:val="24"/>
          <w:rtl/>
        </w:rPr>
      </w:pPr>
      <w:r w:rsidRPr="000F65EA">
        <w:rPr>
          <w:rFonts w:asciiTheme="majorBidi" w:hAnsiTheme="majorBidi" w:cstheme="majorBidi" w:hint="cs"/>
          <w:b/>
          <w:bCs/>
          <w:sz w:val="24"/>
          <w:szCs w:val="24"/>
          <w:rtl/>
        </w:rPr>
        <w:t>ד.</w:t>
      </w:r>
      <w:r>
        <w:rPr>
          <w:rFonts w:asciiTheme="majorBidi" w:hAnsiTheme="majorBidi" w:cstheme="majorBidi" w:hint="cs"/>
          <w:sz w:val="24"/>
          <w:szCs w:val="24"/>
          <w:rtl/>
        </w:rPr>
        <w:t xml:space="preserve"> </w:t>
      </w:r>
      <w:r w:rsidR="00671245">
        <w:rPr>
          <w:rFonts w:asciiTheme="majorBidi" w:hAnsiTheme="majorBidi" w:cstheme="majorBidi" w:hint="cs"/>
          <w:sz w:val="24"/>
          <w:szCs w:val="24"/>
          <w:rtl/>
        </w:rPr>
        <w:t xml:space="preserve"> </w:t>
      </w:r>
      <w:r w:rsidR="00844F8E">
        <w:rPr>
          <w:rFonts w:asciiTheme="majorBidi" w:hAnsiTheme="majorBidi" w:cstheme="majorBidi" w:hint="cs"/>
          <w:b/>
          <w:bCs/>
          <w:sz w:val="24"/>
          <w:szCs w:val="24"/>
          <w:rtl/>
        </w:rPr>
        <w:t>הרב גוסטמאן</w:t>
      </w:r>
      <w:r w:rsidR="00844F8E">
        <w:rPr>
          <w:rStyle w:val="a9"/>
          <w:rFonts w:asciiTheme="majorBidi" w:hAnsiTheme="majorBidi" w:cstheme="majorBidi"/>
          <w:b/>
          <w:bCs/>
          <w:sz w:val="24"/>
          <w:szCs w:val="24"/>
          <w:rtl/>
        </w:rPr>
        <w:footnoteReference w:id="23"/>
      </w:r>
      <w:r w:rsidR="00844F8E">
        <w:rPr>
          <w:rFonts w:asciiTheme="majorBidi" w:hAnsiTheme="majorBidi" w:cstheme="majorBidi" w:hint="cs"/>
          <w:b/>
          <w:bCs/>
          <w:sz w:val="24"/>
          <w:szCs w:val="24"/>
          <w:rtl/>
        </w:rPr>
        <w:t xml:space="preserve"> בביאור שיטת הרמב"ם</w:t>
      </w:r>
    </w:p>
    <w:p w14:paraId="6F9F2D39" w14:textId="08BFD9B2" w:rsidR="00844F8E" w:rsidRDefault="00844F8E" w:rsidP="00844F8E">
      <w:pPr>
        <w:spacing w:after="0" w:line="360" w:lineRule="auto"/>
        <w:rPr>
          <w:rFonts w:asciiTheme="majorBidi" w:hAnsiTheme="majorBidi" w:cstheme="majorBidi"/>
          <w:sz w:val="24"/>
          <w:szCs w:val="24"/>
          <w:rtl/>
        </w:rPr>
      </w:pPr>
      <w:r>
        <w:rPr>
          <w:rFonts w:asciiTheme="majorBidi" w:hAnsiTheme="majorBidi" w:cstheme="majorBidi" w:hint="cs"/>
          <w:sz w:val="24"/>
          <w:szCs w:val="24"/>
          <w:rtl/>
        </w:rPr>
        <w:t>כדי ליישב את שני פסקי הרמב"ם, ניתן לחלק בין ההיתר שלא להשיב, לבין איסור לקיחת האבידה. הרב גוסטמאן גם מדגים חילוק זה בכמה הלכות:</w:t>
      </w:r>
    </w:p>
    <w:p w14:paraId="37CFEAC3" w14:textId="6A6BE48E" w:rsidR="00844F8E" w:rsidRDefault="00844F8E" w:rsidP="00844F8E">
      <w:pPr>
        <w:spacing w:after="0" w:line="360" w:lineRule="auto"/>
        <w:rPr>
          <w:rFonts w:ascii="David" w:hAnsi="David" w:cs="David"/>
          <w:sz w:val="24"/>
          <w:szCs w:val="24"/>
          <w:rtl/>
        </w:rPr>
      </w:pPr>
      <w:r>
        <w:rPr>
          <w:rFonts w:ascii="David" w:hAnsi="David" w:cs="David" w:hint="cs"/>
          <w:sz w:val="24"/>
          <w:szCs w:val="24"/>
          <w:rtl/>
        </w:rPr>
        <w:t xml:space="preserve">"שתי הלכות מיוחדות ישנן בזוטו של ים: א.דין הנלמד מקרא ד'ממנו' שהוא מיותר דבאבודה  ממנו ומכל אדם אין כאן כלל מצוות השבת </w:t>
      </w:r>
      <w:r w:rsidR="00335009">
        <w:rPr>
          <w:rFonts w:ascii="David" w:hAnsi="David" w:cs="David" w:hint="cs"/>
          <w:sz w:val="24"/>
          <w:szCs w:val="24"/>
          <w:rtl/>
        </w:rPr>
        <w:t>אבידה</w:t>
      </w:r>
      <w:r>
        <w:rPr>
          <w:rFonts w:ascii="David" w:hAnsi="David" w:cs="David" w:hint="cs"/>
          <w:sz w:val="24"/>
          <w:szCs w:val="24"/>
          <w:rtl/>
        </w:rPr>
        <w:t xml:space="preserve"> ואינו חייב להשיב אפילו במקום שהבעלים לא נתייאשו ואפילו עומד וצווח... </w:t>
      </w:r>
      <w:r w:rsidR="00335009">
        <w:rPr>
          <w:rFonts w:ascii="David" w:hAnsi="David" w:cs="David" w:hint="cs"/>
          <w:sz w:val="24"/>
          <w:szCs w:val="24"/>
          <w:rtl/>
        </w:rPr>
        <w:t>אבידה</w:t>
      </w:r>
      <w:r>
        <w:rPr>
          <w:rFonts w:ascii="David" w:hAnsi="David" w:cs="David" w:hint="cs"/>
          <w:sz w:val="24"/>
          <w:szCs w:val="24"/>
          <w:rtl/>
        </w:rPr>
        <w:t xml:space="preserve"> ששטפה נהר שהיא מותרת </w:t>
      </w:r>
      <w:r>
        <w:rPr>
          <w:rFonts w:ascii="David" w:hAnsi="David" w:cs="David"/>
          <w:sz w:val="24"/>
          <w:szCs w:val="24"/>
          <w:rtl/>
        </w:rPr>
        <w:t>–</w:t>
      </w:r>
      <w:r>
        <w:rPr>
          <w:rFonts w:ascii="David" w:hAnsi="David" w:cs="David" w:hint="cs"/>
          <w:sz w:val="24"/>
          <w:szCs w:val="24"/>
          <w:rtl/>
        </w:rPr>
        <w:t xml:space="preserve"> כוונתו מותרת מדין מצוות </w:t>
      </w:r>
      <w:r>
        <w:rPr>
          <w:rFonts w:ascii="David" w:hAnsi="David" w:cs="David" w:hint="cs"/>
          <w:sz w:val="24"/>
          <w:szCs w:val="24"/>
          <w:rtl/>
        </w:rPr>
        <w:lastRenderedPageBreak/>
        <w:t xml:space="preserve">השבת </w:t>
      </w:r>
      <w:r w:rsidR="00335009">
        <w:rPr>
          <w:rFonts w:ascii="David" w:hAnsi="David" w:cs="David" w:hint="cs"/>
          <w:sz w:val="24"/>
          <w:szCs w:val="24"/>
          <w:rtl/>
        </w:rPr>
        <w:t>אבידה</w:t>
      </w:r>
      <w:r>
        <w:rPr>
          <w:rFonts w:ascii="David" w:hAnsi="David" w:cs="David" w:hint="cs"/>
          <w:sz w:val="24"/>
          <w:szCs w:val="24"/>
          <w:rtl/>
        </w:rPr>
        <w:t xml:space="preserve">, דביה מיירי קרא. אבל מכל מקום אסור ליטלה לעצמו מדין גזל.. אלא מניחה במקום שהיא". </w:t>
      </w:r>
    </w:p>
    <w:p w14:paraId="0ECC305C" w14:textId="3AF9D836" w:rsidR="00844F8E" w:rsidRDefault="00844F8E" w:rsidP="00844F8E">
      <w:pPr>
        <w:spacing w:after="0" w:line="360" w:lineRule="auto"/>
        <w:rPr>
          <w:rFonts w:ascii="David" w:hAnsi="David" w:cs="David"/>
          <w:sz w:val="24"/>
          <w:szCs w:val="24"/>
          <w:rtl/>
        </w:rPr>
      </w:pPr>
      <w:r>
        <w:rPr>
          <w:rFonts w:ascii="David" w:hAnsi="David" w:cs="David" w:hint="cs"/>
          <w:sz w:val="24"/>
          <w:szCs w:val="24"/>
          <w:rtl/>
        </w:rPr>
        <w:t>ב. אם נתייאשו הבעלים הרי היא של מוצאה .. ומזה מיירי הברייתא דר' שמעון בן אלעזר. ותדע, דלא נקט שם הלשון'מותרת' כדנקט רבי ישמעאל בן יהוצדק, אלא קתני: 'הרי אלו שלו'...</w:t>
      </w:r>
    </w:p>
    <w:p w14:paraId="74DB24F0" w14:textId="5F2D2650" w:rsidR="00844F8E" w:rsidRPr="00911AAA" w:rsidRDefault="00844F8E" w:rsidP="00844F8E">
      <w:pPr>
        <w:spacing w:after="0" w:line="360" w:lineRule="auto"/>
        <w:rPr>
          <w:rFonts w:asciiTheme="majorBidi" w:hAnsiTheme="majorBidi" w:cstheme="majorBidi"/>
          <w:sz w:val="24"/>
          <w:szCs w:val="24"/>
          <w:rtl/>
        </w:rPr>
      </w:pPr>
      <w:r>
        <w:rPr>
          <w:rFonts w:ascii="David" w:hAnsi="David" w:cs="David" w:hint="cs"/>
          <w:sz w:val="24"/>
          <w:szCs w:val="24"/>
          <w:rtl/>
        </w:rPr>
        <w:t>ושיטת רמב"ם נכונה מאוד בפירושא דקרא, דכל הילפותות דממעטינן מהך קרא ד</w:t>
      </w:r>
      <w:r w:rsidR="00335009">
        <w:rPr>
          <w:rFonts w:ascii="David" w:hAnsi="David" w:cs="David" w:hint="cs"/>
          <w:sz w:val="24"/>
          <w:szCs w:val="24"/>
          <w:rtl/>
        </w:rPr>
        <w:t>אבידה</w:t>
      </w:r>
      <w:r>
        <w:rPr>
          <w:rFonts w:ascii="David" w:hAnsi="David" w:cs="David" w:hint="cs"/>
          <w:sz w:val="24"/>
          <w:szCs w:val="24"/>
          <w:rtl/>
        </w:rPr>
        <w:t xml:space="preserve"> הוא רק הלכות ופטורן במצוות השבה, אבל בכולן אסור המוצא ליטול לעצמ</w:t>
      </w:r>
      <w:r w:rsidR="00911AAA">
        <w:rPr>
          <w:rFonts w:ascii="David" w:hAnsi="David" w:cs="David" w:hint="cs"/>
          <w:sz w:val="24"/>
          <w:szCs w:val="24"/>
          <w:rtl/>
        </w:rPr>
        <w:t>ו</w:t>
      </w:r>
      <w:r w:rsidR="00335009">
        <w:rPr>
          <w:rFonts w:ascii="David" w:hAnsi="David" w:cs="David" w:hint="cs"/>
          <w:sz w:val="24"/>
          <w:szCs w:val="24"/>
          <w:rtl/>
        </w:rPr>
        <w:t>..</w:t>
      </w:r>
      <w:r w:rsidR="00911AAA">
        <w:rPr>
          <w:rFonts w:ascii="David" w:hAnsi="David" w:cs="David" w:hint="cs"/>
          <w:sz w:val="24"/>
          <w:szCs w:val="24"/>
          <w:rtl/>
        </w:rPr>
        <w:t xml:space="preserve">. </w:t>
      </w:r>
      <w:r w:rsidR="00911AAA">
        <w:rPr>
          <w:rFonts w:asciiTheme="majorBidi" w:hAnsiTheme="majorBidi" w:cstheme="majorBidi" w:hint="cs"/>
          <w:sz w:val="24"/>
          <w:szCs w:val="24"/>
          <w:rtl/>
        </w:rPr>
        <w:t>חילוק זה מוצא הרב גוסטמאן בשלוש הלכות:</w:t>
      </w:r>
    </w:p>
    <w:p w14:paraId="6EA1B57D" w14:textId="3BD234EE" w:rsidR="00844F8E" w:rsidRDefault="00844F8E" w:rsidP="00844F8E">
      <w:pPr>
        <w:spacing w:after="0" w:line="360" w:lineRule="auto"/>
        <w:rPr>
          <w:rFonts w:ascii="David" w:hAnsi="David" w:cs="David"/>
          <w:sz w:val="24"/>
          <w:szCs w:val="24"/>
          <w:rtl/>
        </w:rPr>
      </w:pPr>
      <w:r>
        <w:rPr>
          <w:rFonts w:ascii="David" w:hAnsi="David" w:cs="David" w:hint="cs"/>
          <w:sz w:val="24"/>
          <w:szCs w:val="24"/>
          <w:rtl/>
        </w:rPr>
        <w:t>1."</w:t>
      </w:r>
      <w:r w:rsidRPr="00844F8E">
        <w:rPr>
          <w:rFonts w:ascii="David" w:hAnsi="David" w:cs="David"/>
          <w:sz w:val="24"/>
          <w:szCs w:val="24"/>
          <w:rtl/>
        </w:rPr>
        <w:t xml:space="preserve">המאבד ממונו לדעת אין נזקקין לו, כיצד, הניח פרתו ברפת שאין לה דלת ולא קשרה והלך לו, השליך כיסו ברשות הרבים והלך לו וכל כיוצא בזה, הרי זה אבד ממונו לדעתו, </w:t>
      </w:r>
      <w:r w:rsidRPr="00911AAA">
        <w:rPr>
          <w:rFonts w:ascii="David" w:hAnsi="David" w:cs="David"/>
          <w:b/>
          <w:bCs/>
          <w:sz w:val="24"/>
          <w:szCs w:val="24"/>
          <w:rtl/>
        </w:rPr>
        <w:t>ואף על פי שאסור לרואה דבר זה ליטול לעצמו אינו זקוק להחזיר</w:t>
      </w:r>
      <w:r w:rsidRPr="00844F8E">
        <w:rPr>
          <w:rFonts w:ascii="David" w:hAnsi="David" w:cs="David"/>
          <w:sz w:val="24"/>
          <w:szCs w:val="24"/>
          <w:rtl/>
        </w:rPr>
        <w:t xml:space="preserve"> שנ' אשר תאבד פרט למאבד לדעתו</w:t>
      </w:r>
      <w:r>
        <w:rPr>
          <w:rStyle w:val="a9"/>
          <w:rFonts w:ascii="David" w:hAnsi="David" w:cs="David"/>
          <w:sz w:val="24"/>
          <w:szCs w:val="24"/>
          <w:rtl/>
        </w:rPr>
        <w:footnoteReference w:id="24"/>
      </w:r>
      <w:r>
        <w:rPr>
          <w:rFonts w:ascii="David" w:hAnsi="David" w:cs="David" w:hint="cs"/>
          <w:sz w:val="24"/>
          <w:szCs w:val="24"/>
          <w:rtl/>
        </w:rPr>
        <w:t>"</w:t>
      </w:r>
      <w:r w:rsidRPr="00844F8E">
        <w:rPr>
          <w:rFonts w:ascii="David" w:hAnsi="David" w:cs="David"/>
          <w:sz w:val="24"/>
          <w:szCs w:val="24"/>
          <w:rtl/>
        </w:rPr>
        <w:t>.</w:t>
      </w:r>
    </w:p>
    <w:p w14:paraId="1E69A1D5" w14:textId="0A79E2A8" w:rsidR="00911AAA" w:rsidRDefault="00911AAA" w:rsidP="00844F8E">
      <w:pPr>
        <w:spacing w:after="0" w:line="360" w:lineRule="auto"/>
        <w:rPr>
          <w:rFonts w:ascii="David" w:hAnsi="David" w:cs="David"/>
          <w:sz w:val="24"/>
          <w:szCs w:val="24"/>
          <w:rtl/>
        </w:rPr>
      </w:pPr>
      <w:r>
        <w:rPr>
          <w:rFonts w:ascii="David" w:hAnsi="David" w:cs="David" w:hint="cs"/>
          <w:sz w:val="24"/>
          <w:szCs w:val="24"/>
          <w:rtl/>
        </w:rPr>
        <w:t>2. "תיבת 'ממנו'.. דמיותר וילפינן פרט לאבודה ממנו ומכל אדם..  אינו אלא מיעוט בהשבה, אבל אסור לזכות  לעצמו</w:t>
      </w:r>
      <w:r>
        <w:rPr>
          <w:rStyle w:val="a9"/>
          <w:rFonts w:ascii="David" w:hAnsi="David" w:cs="David"/>
          <w:sz w:val="24"/>
          <w:szCs w:val="24"/>
          <w:rtl/>
        </w:rPr>
        <w:footnoteReference w:id="25"/>
      </w:r>
      <w:r>
        <w:rPr>
          <w:rFonts w:ascii="David" w:hAnsi="David" w:cs="David" w:hint="cs"/>
          <w:sz w:val="24"/>
          <w:szCs w:val="24"/>
          <w:rtl/>
        </w:rPr>
        <w:t>".</w:t>
      </w:r>
    </w:p>
    <w:p w14:paraId="1590CB55" w14:textId="261A3925" w:rsidR="00911AAA" w:rsidRDefault="00C110AA" w:rsidP="00C110AA">
      <w:pPr>
        <w:spacing w:after="0" w:line="360" w:lineRule="auto"/>
        <w:rPr>
          <w:rFonts w:ascii="David" w:hAnsi="David" w:cs="David"/>
          <w:sz w:val="24"/>
          <w:szCs w:val="24"/>
          <w:rtl/>
        </w:rPr>
      </w:pPr>
      <w:r>
        <w:rPr>
          <w:rFonts w:ascii="David" w:hAnsi="David" w:cs="David" w:hint="cs"/>
          <w:sz w:val="24"/>
          <w:szCs w:val="24"/>
          <w:rtl/>
        </w:rPr>
        <w:t>3. "</w:t>
      </w:r>
      <w:r w:rsidRPr="00C110AA">
        <w:rPr>
          <w:rFonts w:ascii="David" w:hAnsi="David" w:cs="David"/>
          <w:sz w:val="24"/>
          <w:szCs w:val="24"/>
          <w:rtl/>
        </w:rPr>
        <w:t xml:space="preserve">עבודה זרה של גוי שהפקירה גוי וזכה בה ישראל מן ההפקר אי נמי נאבדה ונתייאש ממנה ומצאה ישראל אחר יאוש </w:t>
      </w:r>
      <w:r w:rsidRPr="00335009">
        <w:rPr>
          <w:rFonts w:ascii="David" w:hAnsi="David" w:cs="David"/>
          <w:b/>
          <w:bCs/>
          <w:sz w:val="24"/>
          <w:szCs w:val="24"/>
          <w:rtl/>
        </w:rPr>
        <w:t>דזכה בה</w:t>
      </w:r>
      <w:r w:rsidR="00335009">
        <w:rPr>
          <w:rFonts w:ascii="David" w:hAnsi="David" w:cs="David" w:hint="cs"/>
          <w:sz w:val="24"/>
          <w:szCs w:val="24"/>
          <w:rtl/>
        </w:rPr>
        <w:t xml:space="preserve">.. </w:t>
      </w:r>
      <w:r w:rsidRPr="00C110AA">
        <w:rPr>
          <w:rFonts w:ascii="David" w:hAnsi="David" w:cs="David"/>
          <w:sz w:val="24"/>
          <w:szCs w:val="24"/>
          <w:rtl/>
        </w:rPr>
        <w:t>נעשית עבודה זרה של ישראל כיון שזכה בה שוב אין לה ביטול בגוי</w:t>
      </w:r>
      <w:r w:rsidR="00335009">
        <w:rPr>
          <w:rFonts w:ascii="David" w:hAnsi="David" w:cs="David" w:hint="cs"/>
          <w:sz w:val="24"/>
          <w:szCs w:val="24"/>
          <w:rtl/>
        </w:rPr>
        <w:t xml:space="preserve">.  </w:t>
      </w:r>
      <w:r w:rsidRPr="00C110AA">
        <w:rPr>
          <w:rFonts w:ascii="David" w:hAnsi="David" w:cs="David"/>
          <w:sz w:val="24"/>
          <w:szCs w:val="24"/>
          <w:rtl/>
        </w:rPr>
        <w:t>ובספרים ישנים כתוב כך</w:t>
      </w:r>
      <w:r w:rsidR="00335009">
        <w:rPr>
          <w:rFonts w:ascii="David" w:hAnsi="David" w:cs="David" w:hint="cs"/>
          <w:sz w:val="24"/>
          <w:szCs w:val="24"/>
          <w:rtl/>
        </w:rPr>
        <w:t>:</w:t>
      </w:r>
      <w:r w:rsidRPr="00C110AA">
        <w:rPr>
          <w:rFonts w:ascii="David" w:hAnsi="David" w:cs="David"/>
          <w:sz w:val="24"/>
          <w:szCs w:val="24"/>
          <w:rtl/>
        </w:rPr>
        <w:t xml:space="preserve"> ואפילו עבודה זרה של גוי </w:t>
      </w:r>
      <w:r w:rsidRPr="00335009">
        <w:rPr>
          <w:rFonts w:ascii="David" w:hAnsi="David" w:cs="David"/>
          <w:b/>
          <w:bCs/>
          <w:sz w:val="24"/>
          <w:szCs w:val="24"/>
          <w:rtl/>
        </w:rPr>
        <w:t>משבאה ליד ישראל</w:t>
      </w:r>
      <w:r w:rsidRPr="00C110AA">
        <w:rPr>
          <w:rFonts w:ascii="David" w:hAnsi="David" w:cs="David"/>
          <w:sz w:val="24"/>
          <w:szCs w:val="24"/>
          <w:rtl/>
        </w:rPr>
        <w:t xml:space="preserve"> שוב אין לה ביטול ביד גוי</w:t>
      </w:r>
      <w:r w:rsidR="00335009">
        <w:rPr>
          <w:rFonts w:ascii="David" w:hAnsi="David" w:cs="David" w:hint="cs"/>
          <w:sz w:val="24"/>
          <w:szCs w:val="24"/>
          <w:rtl/>
        </w:rPr>
        <w:t xml:space="preserve">.. </w:t>
      </w:r>
      <w:r w:rsidRPr="00C110AA">
        <w:rPr>
          <w:rFonts w:ascii="David" w:hAnsi="David" w:cs="David"/>
          <w:sz w:val="24"/>
          <w:szCs w:val="24"/>
          <w:rtl/>
        </w:rPr>
        <w:t xml:space="preserve">וטעמא דמילתא דאע"ג דמדינא יש לה ביטול </w:t>
      </w:r>
      <w:r w:rsidRPr="00335009">
        <w:rPr>
          <w:rFonts w:ascii="David" w:hAnsi="David" w:cs="David"/>
          <w:b/>
          <w:bCs/>
          <w:sz w:val="24"/>
          <w:szCs w:val="24"/>
          <w:rtl/>
        </w:rPr>
        <w:t>כיון שלא זכה בה ישראל כגון שמצאה לפני יאוש</w:t>
      </w:r>
      <w:r w:rsidR="00335009">
        <w:rPr>
          <w:rFonts w:ascii="David" w:hAnsi="David" w:cs="David" w:hint="cs"/>
          <w:sz w:val="24"/>
          <w:szCs w:val="24"/>
          <w:rtl/>
        </w:rPr>
        <w:t xml:space="preserve">.. </w:t>
      </w:r>
      <w:r w:rsidRPr="00C110AA">
        <w:rPr>
          <w:rFonts w:ascii="David" w:hAnsi="David" w:cs="David"/>
          <w:sz w:val="24"/>
          <w:szCs w:val="24"/>
          <w:rtl/>
        </w:rPr>
        <w:t xml:space="preserve">א"כ עבודה זרה </w:t>
      </w:r>
      <w:r w:rsidRPr="00335009">
        <w:rPr>
          <w:rFonts w:ascii="David" w:hAnsi="David" w:cs="David"/>
          <w:b/>
          <w:bCs/>
          <w:sz w:val="24"/>
          <w:szCs w:val="24"/>
          <w:rtl/>
        </w:rPr>
        <w:t>של גוי היא</w:t>
      </w:r>
      <w:r w:rsidR="00335009">
        <w:rPr>
          <w:rFonts w:ascii="David" w:hAnsi="David" w:cs="David" w:hint="cs"/>
          <w:b/>
          <w:bCs/>
          <w:sz w:val="24"/>
          <w:szCs w:val="24"/>
          <w:rtl/>
        </w:rPr>
        <w:t>,</w:t>
      </w:r>
      <w:r w:rsidRPr="00C110AA">
        <w:rPr>
          <w:rFonts w:ascii="David" w:hAnsi="David" w:cs="David"/>
          <w:sz w:val="24"/>
          <w:szCs w:val="24"/>
          <w:rtl/>
        </w:rPr>
        <w:t xml:space="preserve"> אפילו הכי מדרבנן אין לה ביטול גזירה משום עבודה זרה של ישראל עצמה</w:t>
      </w:r>
      <w:r>
        <w:rPr>
          <w:rStyle w:val="a9"/>
          <w:rFonts w:ascii="David" w:hAnsi="David" w:cs="David"/>
          <w:sz w:val="24"/>
          <w:szCs w:val="24"/>
          <w:rtl/>
        </w:rPr>
        <w:footnoteReference w:id="26"/>
      </w:r>
      <w:r w:rsidR="00335009">
        <w:rPr>
          <w:rFonts w:ascii="David" w:hAnsi="David" w:cs="David" w:hint="cs"/>
          <w:sz w:val="24"/>
          <w:szCs w:val="24"/>
          <w:rtl/>
        </w:rPr>
        <w:t>".</w:t>
      </w:r>
    </w:p>
    <w:p w14:paraId="47A295C1" w14:textId="7844974D" w:rsidR="00335009" w:rsidRPr="00844F8E" w:rsidRDefault="00335009" w:rsidP="00C110AA">
      <w:pPr>
        <w:spacing w:after="0" w:line="360" w:lineRule="auto"/>
        <w:rPr>
          <w:rFonts w:ascii="David" w:hAnsi="David" w:cs="David"/>
          <w:sz w:val="24"/>
          <w:szCs w:val="24"/>
          <w:rtl/>
        </w:rPr>
      </w:pPr>
      <w:r>
        <w:rPr>
          <w:rFonts w:ascii="David" w:hAnsi="David" w:cs="David" w:hint="cs"/>
          <w:sz w:val="24"/>
          <w:szCs w:val="24"/>
          <w:rtl/>
        </w:rPr>
        <w:t xml:space="preserve">"ומה שכתב הרמב"ם : 'ואם לא ידע - יחזיר',  כוונתו יחזיר מדין גזל. תדע, דלא כתב: 'חייב להחזיר', גם הא לא מיירי עדיין ממצוות השבת אבידה עד פרק יא... ויתורץ בפשיטות מה דמבואר בסוגיין דבזוטו של ים לא שייך פלוגתא דאביי ורבא, משום דכיוון דלא נתחייב בהשבה </w:t>
      </w:r>
      <w:r>
        <w:rPr>
          <w:rFonts w:ascii="David" w:hAnsi="David" w:cs="David"/>
          <w:sz w:val="24"/>
          <w:szCs w:val="24"/>
          <w:rtl/>
        </w:rPr>
        <w:t>–</w:t>
      </w:r>
      <w:r>
        <w:rPr>
          <w:rFonts w:ascii="David" w:hAnsi="David" w:cs="David" w:hint="cs"/>
          <w:sz w:val="24"/>
          <w:szCs w:val="24"/>
          <w:rtl/>
        </w:rPr>
        <w:t xml:space="preserve"> אין זה מיקרי: 'באיסורא אתי לידיה'</w:t>
      </w:r>
      <w:r>
        <w:rPr>
          <w:rStyle w:val="a9"/>
          <w:rFonts w:ascii="David" w:hAnsi="David" w:cs="David"/>
          <w:sz w:val="24"/>
          <w:szCs w:val="24"/>
          <w:rtl/>
        </w:rPr>
        <w:footnoteReference w:id="27"/>
      </w:r>
      <w:r>
        <w:rPr>
          <w:rFonts w:ascii="David" w:hAnsi="David" w:cs="David" w:hint="cs"/>
          <w:sz w:val="24"/>
          <w:szCs w:val="24"/>
          <w:rtl/>
        </w:rPr>
        <w:t>.</w:t>
      </w:r>
    </w:p>
    <w:p w14:paraId="20F1FB4C" w14:textId="732AF72D" w:rsidR="00033726" w:rsidRDefault="000F65EA" w:rsidP="00671245">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 </w:t>
      </w:r>
    </w:p>
    <w:sectPr w:rsidR="00033726" w:rsidSect="00293330">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D673F" w14:textId="77777777" w:rsidR="00B9579D" w:rsidRDefault="00B9579D" w:rsidP="005D73A1">
      <w:pPr>
        <w:spacing w:after="0" w:line="240" w:lineRule="auto"/>
      </w:pPr>
      <w:r>
        <w:separator/>
      </w:r>
    </w:p>
  </w:endnote>
  <w:endnote w:type="continuationSeparator" w:id="0">
    <w:p w14:paraId="3C86892C" w14:textId="77777777" w:rsidR="00B9579D" w:rsidRDefault="00B9579D" w:rsidP="005D7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DF8DC" w14:textId="77777777" w:rsidR="00B9579D" w:rsidRDefault="00B9579D" w:rsidP="005D73A1">
      <w:pPr>
        <w:spacing w:after="0" w:line="240" w:lineRule="auto"/>
      </w:pPr>
      <w:r>
        <w:separator/>
      </w:r>
    </w:p>
  </w:footnote>
  <w:footnote w:type="continuationSeparator" w:id="0">
    <w:p w14:paraId="5B32A771" w14:textId="77777777" w:rsidR="00B9579D" w:rsidRDefault="00B9579D" w:rsidP="005D73A1">
      <w:pPr>
        <w:spacing w:after="0" w:line="240" w:lineRule="auto"/>
      </w:pPr>
      <w:r>
        <w:continuationSeparator/>
      </w:r>
    </w:p>
  </w:footnote>
  <w:footnote w:id="1">
    <w:p w14:paraId="625F7CDF" w14:textId="20CD8795" w:rsidR="0080775D" w:rsidRPr="00122D44" w:rsidRDefault="0080775D" w:rsidP="000F65EA">
      <w:pPr>
        <w:spacing w:after="0" w:line="360" w:lineRule="auto"/>
        <w:rPr>
          <w:rFonts w:asciiTheme="majorBidi" w:hAnsiTheme="majorBidi" w:cstheme="majorBidi" w:hint="cs"/>
          <w:sz w:val="20"/>
          <w:szCs w:val="20"/>
        </w:rPr>
      </w:pPr>
      <w:r w:rsidRPr="00122D44">
        <w:rPr>
          <w:rStyle w:val="a9"/>
          <w:sz w:val="20"/>
          <w:szCs w:val="20"/>
        </w:rPr>
        <w:footnoteRef/>
      </w:r>
      <w:r w:rsidRPr="00122D44">
        <w:rPr>
          <w:sz w:val="20"/>
          <w:szCs w:val="20"/>
          <w:rtl/>
        </w:rPr>
        <w:t xml:space="preserve"> </w:t>
      </w:r>
      <w:r w:rsidRPr="00122D44">
        <w:rPr>
          <w:rFonts w:asciiTheme="majorBidi" w:hAnsiTheme="majorBidi" w:cs="Times New Roman"/>
          <w:sz w:val="20"/>
          <w:szCs w:val="20"/>
          <w:rtl/>
        </w:rPr>
        <w:t xml:space="preserve">רשב"א </w:t>
      </w:r>
      <w:r w:rsidRPr="00122D44">
        <w:rPr>
          <w:rFonts w:asciiTheme="majorBidi" w:hAnsiTheme="majorBidi" w:cs="Times New Roman" w:hint="cs"/>
          <w:sz w:val="20"/>
          <w:szCs w:val="20"/>
          <w:rtl/>
        </w:rPr>
        <w:t xml:space="preserve"> עמוד ב</w:t>
      </w:r>
      <w:r w:rsidRPr="00122D44">
        <w:rPr>
          <w:rFonts w:asciiTheme="majorBidi" w:hAnsiTheme="majorBidi" w:cstheme="majorBidi" w:hint="cs"/>
          <w:sz w:val="20"/>
          <w:szCs w:val="20"/>
          <w:rtl/>
        </w:rPr>
        <w:t>.</w:t>
      </w:r>
    </w:p>
  </w:footnote>
  <w:footnote w:id="2">
    <w:p w14:paraId="60471B24" w14:textId="07D71921" w:rsidR="0080775D" w:rsidRPr="00122D44" w:rsidRDefault="0080775D" w:rsidP="000F65EA">
      <w:pPr>
        <w:spacing w:after="0" w:line="360" w:lineRule="auto"/>
        <w:rPr>
          <w:rFonts w:asciiTheme="majorBidi" w:hAnsiTheme="majorBidi" w:cstheme="majorBidi" w:hint="cs"/>
          <w:sz w:val="20"/>
          <w:szCs w:val="20"/>
        </w:rPr>
      </w:pPr>
      <w:r w:rsidRPr="00122D44">
        <w:rPr>
          <w:rStyle w:val="a9"/>
          <w:sz w:val="20"/>
          <w:szCs w:val="20"/>
        </w:rPr>
        <w:footnoteRef/>
      </w:r>
      <w:r w:rsidRPr="00122D44">
        <w:rPr>
          <w:sz w:val="20"/>
          <w:szCs w:val="20"/>
          <w:rtl/>
        </w:rPr>
        <w:t xml:space="preserve"> </w:t>
      </w:r>
      <w:r w:rsidRPr="00122D44">
        <w:rPr>
          <w:rFonts w:asciiTheme="majorBidi" w:hAnsiTheme="majorBidi" w:cs="Times New Roman"/>
          <w:sz w:val="20"/>
          <w:szCs w:val="20"/>
          <w:rtl/>
        </w:rPr>
        <w:t>פסקי רי"ד עמוד ב</w:t>
      </w:r>
      <w:r w:rsidRPr="00122D44">
        <w:rPr>
          <w:rFonts w:asciiTheme="majorBidi" w:hAnsiTheme="majorBidi" w:cstheme="majorBidi" w:hint="cs"/>
          <w:sz w:val="20"/>
          <w:szCs w:val="20"/>
          <w:rtl/>
        </w:rPr>
        <w:t>.</w:t>
      </w:r>
    </w:p>
  </w:footnote>
  <w:footnote w:id="3">
    <w:p w14:paraId="776DB4BE" w14:textId="08D849B9" w:rsidR="00122D44" w:rsidRPr="00122D44" w:rsidRDefault="00122D44" w:rsidP="00122D44">
      <w:pPr>
        <w:pStyle w:val="a7"/>
        <w:spacing w:line="360" w:lineRule="auto"/>
        <w:rPr>
          <w:rFonts w:hint="cs"/>
          <w:rtl/>
        </w:rPr>
      </w:pPr>
      <w:r w:rsidRPr="00122D44">
        <w:rPr>
          <w:rStyle w:val="a9"/>
        </w:rPr>
        <w:footnoteRef/>
      </w:r>
      <w:r w:rsidRPr="00122D44">
        <w:rPr>
          <w:rtl/>
        </w:rPr>
        <w:t xml:space="preserve"> </w:t>
      </w:r>
      <w:r w:rsidRPr="00122D44">
        <w:rPr>
          <w:rFonts w:asciiTheme="majorBidi" w:hAnsiTheme="majorBidi" w:cstheme="majorBidi"/>
          <w:rtl/>
        </w:rPr>
        <w:t>ערוך השולחן חושן משפט סימן רנט סעיף ט</w:t>
      </w:r>
      <w:r w:rsidRPr="00122D44">
        <w:rPr>
          <w:rFonts w:ascii="David" w:hAnsi="David" w:cs="David" w:hint="cs"/>
          <w:rtl/>
        </w:rPr>
        <w:t>.</w:t>
      </w:r>
    </w:p>
  </w:footnote>
  <w:footnote w:id="4">
    <w:p w14:paraId="29019410" w14:textId="40F79459" w:rsidR="000F65EA" w:rsidRPr="00122D44" w:rsidRDefault="009930F9" w:rsidP="00122D44">
      <w:pPr>
        <w:pStyle w:val="a7"/>
        <w:spacing w:line="360" w:lineRule="auto"/>
        <w:rPr>
          <w:rFonts w:hint="cs"/>
        </w:rPr>
      </w:pPr>
      <w:r w:rsidRPr="00122D44">
        <w:rPr>
          <w:rStyle w:val="a9"/>
        </w:rPr>
        <w:footnoteRef/>
      </w:r>
      <w:r w:rsidRPr="00122D44">
        <w:rPr>
          <w:rtl/>
        </w:rPr>
        <w:t xml:space="preserve"> </w:t>
      </w:r>
      <w:r w:rsidRPr="00122D44">
        <w:rPr>
          <w:rFonts w:asciiTheme="majorBidi" w:hAnsiTheme="majorBidi" w:cs="Times New Roman"/>
          <w:rtl/>
        </w:rPr>
        <w:t>תוספות</w:t>
      </w:r>
      <w:r w:rsidRPr="00122D44">
        <w:rPr>
          <w:rFonts w:asciiTheme="majorBidi" w:hAnsiTheme="majorBidi" w:cs="Times New Roman" w:hint="cs"/>
          <w:rtl/>
        </w:rPr>
        <w:t xml:space="preserve"> עמוד ב ד"ה איסורא .</w:t>
      </w:r>
    </w:p>
  </w:footnote>
  <w:footnote w:id="5">
    <w:p w14:paraId="197FCE9E" w14:textId="77777777" w:rsidR="009F4C88" w:rsidRPr="009F4C88" w:rsidRDefault="009F4C88" w:rsidP="009F4C88">
      <w:pPr>
        <w:spacing w:after="0" w:line="240" w:lineRule="auto"/>
        <w:rPr>
          <w:rFonts w:ascii="David" w:hAnsi="David" w:cs="David"/>
          <w:sz w:val="20"/>
          <w:szCs w:val="20"/>
          <w:rtl/>
        </w:rPr>
      </w:pPr>
      <w:r w:rsidRPr="009F4C88">
        <w:rPr>
          <w:rStyle w:val="a9"/>
        </w:rPr>
        <w:footnoteRef/>
      </w:r>
      <w:r w:rsidRPr="009F4C88">
        <w:rPr>
          <w:rtl/>
        </w:rPr>
        <w:t xml:space="preserve"> </w:t>
      </w:r>
      <w:r w:rsidRPr="009F4C88">
        <w:rPr>
          <w:rFonts w:asciiTheme="majorBidi" w:hAnsiTheme="majorBidi" w:cstheme="majorBidi"/>
          <w:sz w:val="20"/>
          <w:szCs w:val="20"/>
          <w:rtl/>
        </w:rPr>
        <w:t>בנחלת דוד למד כך:</w:t>
      </w:r>
      <w:r w:rsidRPr="009F4C88">
        <w:rPr>
          <w:rFonts w:hint="cs"/>
          <w:rtl/>
        </w:rPr>
        <w:t xml:space="preserve"> </w:t>
      </w:r>
      <w:r w:rsidRPr="009F4C88">
        <w:rPr>
          <w:rFonts w:ascii="David" w:hAnsi="David" w:cs="David" w:hint="cs"/>
          <w:sz w:val="20"/>
          <w:szCs w:val="20"/>
          <w:rtl/>
        </w:rPr>
        <w:t>"</w:t>
      </w:r>
      <w:r w:rsidRPr="009F4C88">
        <w:rPr>
          <w:rFonts w:ascii="David" w:hAnsi="David" w:cs="David"/>
          <w:sz w:val="20"/>
          <w:szCs w:val="20"/>
          <w:rtl/>
        </w:rPr>
        <w:t>כיון דרחמנא שריא מסתמא שרי בכל גווני ואפילו קודם ידיעה, דלהכי נקטה התורה לאשמועינן הך דינא דשריותא דיאוש בזוטו של ים דווקא ולא נקטה בגווני אחרינא בדבר שאין בו סימן</w:t>
      </w:r>
      <w:r w:rsidRPr="009F4C88">
        <w:rPr>
          <w:rFonts w:ascii="David" w:hAnsi="David" w:cs="David" w:hint="cs"/>
          <w:sz w:val="20"/>
          <w:szCs w:val="20"/>
          <w:rtl/>
        </w:rPr>
        <w:t xml:space="preserve">... </w:t>
      </w:r>
      <w:r w:rsidRPr="009F4C88">
        <w:rPr>
          <w:rFonts w:ascii="David" w:hAnsi="David" w:cs="David"/>
          <w:sz w:val="20"/>
          <w:szCs w:val="20"/>
          <w:rtl/>
        </w:rPr>
        <w:t xml:space="preserve">או בדבר שיש בו סימן אם שמענו שנתייאש בפירוש, והיינו דהתורה רצה לנקוט הך גוונא </w:t>
      </w:r>
      <w:r w:rsidRPr="009F4C88">
        <w:rPr>
          <w:rFonts w:ascii="David" w:hAnsi="David" w:cs="David"/>
          <w:b/>
          <w:bCs/>
          <w:sz w:val="20"/>
          <w:szCs w:val="20"/>
          <w:rtl/>
        </w:rPr>
        <w:t>דתמיד אית ביה יאוש</w:t>
      </w:r>
      <w:r w:rsidRPr="009F4C88">
        <w:rPr>
          <w:rFonts w:ascii="David" w:hAnsi="David" w:cs="David" w:hint="cs"/>
          <w:sz w:val="20"/>
          <w:szCs w:val="20"/>
          <w:rtl/>
        </w:rPr>
        <w:t>,</w:t>
      </w:r>
      <w:r w:rsidRPr="009F4C88">
        <w:rPr>
          <w:rFonts w:ascii="David" w:hAnsi="David" w:cs="David"/>
          <w:sz w:val="20"/>
          <w:szCs w:val="20"/>
          <w:rtl/>
        </w:rPr>
        <w:t xml:space="preserve"> שלא יהיה צריך לחלק בזה ולומר אם הוא כך יש בו יאוש ואם הוא כך אין בו יאוש ואנן הוא דילפינן מזוטו של ים, כיון דחזינן דטעמא דשריותא דזוטו של ים הוא משום יאוש, א"כ הוא הדין כל היכא דאיכא יאוש דהיינו בדבר שאין בו סימן אחר ידיעה ובדבר שיש בו סימן אם שמענו בפירוש שנתייאש</w:t>
      </w:r>
      <w:r w:rsidRPr="009F4C88">
        <w:rPr>
          <w:rFonts w:ascii="David" w:hAnsi="David" w:cs="David" w:hint="cs"/>
          <w:sz w:val="20"/>
          <w:szCs w:val="20"/>
          <w:rtl/>
        </w:rPr>
        <w:t>-</w:t>
      </w:r>
      <w:r w:rsidRPr="009F4C88">
        <w:rPr>
          <w:rFonts w:ascii="David" w:hAnsi="David" w:cs="David"/>
          <w:sz w:val="20"/>
          <w:szCs w:val="20"/>
          <w:rtl/>
        </w:rPr>
        <w:t xml:space="preserve"> נמי שרי, אבל התורה נקטה למילתיה בגוונא שהוא יאוש </w:t>
      </w:r>
      <w:r w:rsidRPr="009F4C88">
        <w:rPr>
          <w:rFonts w:ascii="David" w:hAnsi="David" w:cs="David"/>
          <w:b/>
          <w:bCs/>
          <w:sz w:val="20"/>
          <w:szCs w:val="20"/>
          <w:rtl/>
        </w:rPr>
        <w:t>מסתמא</w:t>
      </w:r>
      <w:r w:rsidRPr="009F4C88">
        <w:rPr>
          <w:rFonts w:ascii="David" w:hAnsi="David" w:cs="David"/>
          <w:sz w:val="20"/>
          <w:szCs w:val="20"/>
          <w:rtl/>
        </w:rPr>
        <w:t xml:space="preserve"> בכל עת ובכל זמן, כמו כן דומיא דהכי</w:t>
      </w:r>
      <w:r w:rsidRPr="009F4C88">
        <w:rPr>
          <w:rFonts w:ascii="David" w:hAnsi="David" w:cs="David" w:hint="cs"/>
          <w:sz w:val="20"/>
          <w:szCs w:val="20"/>
          <w:rtl/>
        </w:rPr>
        <w:t>,</w:t>
      </w:r>
      <w:r w:rsidRPr="009F4C88">
        <w:rPr>
          <w:rFonts w:ascii="David" w:hAnsi="David" w:cs="David"/>
          <w:sz w:val="20"/>
          <w:szCs w:val="20"/>
          <w:rtl/>
        </w:rPr>
        <w:t xml:space="preserve"> ע"כ איסורא דנקטה התורה נמי הוא בכל עת ובכל זמן</w:t>
      </w:r>
      <w:r w:rsidRPr="009F4C88">
        <w:rPr>
          <w:rFonts w:ascii="David" w:hAnsi="David" w:cs="David" w:hint="cs"/>
          <w:sz w:val="20"/>
          <w:szCs w:val="20"/>
          <w:rtl/>
        </w:rPr>
        <w:t>,</w:t>
      </w:r>
      <w:r w:rsidRPr="009F4C88">
        <w:rPr>
          <w:rFonts w:ascii="David" w:hAnsi="David" w:cs="David"/>
          <w:sz w:val="20"/>
          <w:szCs w:val="20"/>
          <w:rtl/>
        </w:rPr>
        <w:t xml:space="preserve"> בסתם אבידות שאינו מרגיש בנפילתן מיד</w:t>
      </w:r>
      <w:r w:rsidRPr="009F4C88">
        <w:rPr>
          <w:rFonts w:ascii="David" w:hAnsi="David" w:cs="David" w:hint="cs"/>
          <w:sz w:val="20"/>
          <w:szCs w:val="20"/>
          <w:rtl/>
        </w:rPr>
        <w:t xml:space="preserve">.. </w:t>
      </w:r>
      <w:r w:rsidRPr="009F4C88">
        <w:rPr>
          <w:rFonts w:ascii="David" w:hAnsi="David" w:cs="David"/>
          <w:sz w:val="20"/>
          <w:szCs w:val="20"/>
          <w:rtl/>
        </w:rPr>
        <w:t>משום דאמרינן אוקי מילתא אחזקתו וכיון דבשעת נפילה וודאי לא ידע</w:t>
      </w:r>
      <w:r w:rsidRPr="009F4C88">
        <w:rPr>
          <w:rFonts w:ascii="David" w:hAnsi="David" w:cs="David" w:hint="cs"/>
          <w:sz w:val="20"/>
          <w:szCs w:val="20"/>
          <w:rtl/>
        </w:rPr>
        <w:t>,</w:t>
      </w:r>
      <w:r w:rsidRPr="009F4C88">
        <w:rPr>
          <w:rFonts w:ascii="David" w:hAnsi="David" w:cs="David"/>
          <w:sz w:val="20"/>
          <w:szCs w:val="20"/>
          <w:rtl/>
        </w:rPr>
        <w:t xml:space="preserve"> א"כ גם עתה אוקי אחזקתו דלא ידע כל זמן שלא נתברר לנו שידע, ולכך מסתמא דנקטה התורה איסורא נמי בכל גווני משום דהתורה איירי בסתם אבידות וגם בסתמא שלא ידעינן מדעת הבעלים, ובזה אסור בכל גווני בין ביש בו סימן בין באין בו סימן, וקשיא לרבא</w:t>
      </w:r>
      <w:r w:rsidRPr="009F4C88">
        <w:rPr>
          <w:rFonts w:ascii="David" w:hAnsi="David" w:cs="David" w:hint="cs"/>
          <w:sz w:val="20"/>
          <w:szCs w:val="20"/>
          <w:rtl/>
        </w:rPr>
        <w:t>"</w:t>
      </w:r>
      <w:r w:rsidRPr="009F4C88">
        <w:rPr>
          <w:rFonts w:ascii="David" w:hAnsi="David" w:cs="David"/>
          <w:sz w:val="20"/>
          <w:szCs w:val="20"/>
          <w:rtl/>
        </w:rPr>
        <w:t>.</w:t>
      </w:r>
    </w:p>
    <w:p w14:paraId="76F0D1ED" w14:textId="572637FF" w:rsidR="009F4C88" w:rsidRDefault="009F4C88">
      <w:pPr>
        <w:pStyle w:val="a7"/>
        <w:rPr>
          <w:rFonts w:hint="cs"/>
          <w:rtl/>
        </w:rPr>
      </w:pPr>
    </w:p>
  </w:footnote>
  <w:footnote w:id="6">
    <w:p w14:paraId="154CDA97" w14:textId="246C6874" w:rsidR="00BB3781" w:rsidRPr="000F65EA" w:rsidRDefault="00BB3781" w:rsidP="000F65EA">
      <w:pPr>
        <w:spacing w:after="0" w:line="360" w:lineRule="auto"/>
        <w:rPr>
          <w:rFonts w:asciiTheme="majorBidi" w:hAnsiTheme="majorBidi" w:cstheme="majorBidi"/>
          <w:sz w:val="20"/>
          <w:szCs w:val="20"/>
          <w:rtl/>
        </w:rPr>
      </w:pPr>
      <w:r w:rsidRPr="000F65EA">
        <w:rPr>
          <w:rStyle w:val="a9"/>
          <w:rFonts w:asciiTheme="majorBidi" w:hAnsiTheme="majorBidi" w:cstheme="majorBidi"/>
          <w:sz w:val="20"/>
          <w:szCs w:val="20"/>
        </w:rPr>
        <w:footnoteRef/>
      </w:r>
      <w:r w:rsidRPr="000F65EA">
        <w:rPr>
          <w:rFonts w:asciiTheme="majorBidi" w:hAnsiTheme="majorBidi" w:cstheme="majorBidi"/>
          <w:sz w:val="20"/>
          <w:szCs w:val="20"/>
          <w:rtl/>
        </w:rPr>
        <w:t xml:space="preserve"> </w:t>
      </w:r>
      <w:r w:rsidRPr="000F65EA">
        <w:rPr>
          <w:rFonts w:asciiTheme="majorBidi" w:hAnsiTheme="majorBidi" w:cstheme="majorBidi"/>
          <w:sz w:val="20"/>
          <w:szCs w:val="20"/>
          <w:rtl/>
        </w:rPr>
        <w:t xml:space="preserve">  מסכת בבא קמא דף סו עמוד א</w:t>
      </w:r>
      <w:r w:rsidRPr="000F65EA">
        <w:rPr>
          <w:rFonts w:asciiTheme="majorBidi" w:hAnsiTheme="majorBidi" w:cstheme="majorBidi"/>
          <w:sz w:val="20"/>
          <w:szCs w:val="20"/>
          <w:rtl/>
        </w:rPr>
        <w:t>.</w:t>
      </w:r>
    </w:p>
  </w:footnote>
  <w:footnote w:id="7">
    <w:p w14:paraId="487D96B4" w14:textId="0D30FFF0" w:rsidR="00BB3781" w:rsidRPr="000F65EA" w:rsidRDefault="00BB3781" w:rsidP="000F65EA">
      <w:pPr>
        <w:spacing w:after="0" w:line="360" w:lineRule="auto"/>
        <w:rPr>
          <w:rFonts w:asciiTheme="majorBidi" w:hAnsiTheme="majorBidi" w:cstheme="majorBidi"/>
          <w:sz w:val="20"/>
          <w:szCs w:val="20"/>
        </w:rPr>
      </w:pPr>
      <w:r w:rsidRPr="000F65EA">
        <w:rPr>
          <w:rStyle w:val="a9"/>
          <w:rFonts w:asciiTheme="majorBidi" w:hAnsiTheme="majorBidi" w:cstheme="majorBidi"/>
          <w:sz w:val="20"/>
          <w:szCs w:val="20"/>
        </w:rPr>
        <w:footnoteRef/>
      </w:r>
      <w:r w:rsidRPr="000F65EA">
        <w:rPr>
          <w:rFonts w:asciiTheme="majorBidi" w:hAnsiTheme="majorBidi" w:cstheme="majorBidi"/>
          <w:sz w:val="20"/>
          <w:szCs w:val="20"/>
          <w:rtl/>
        </w:rPr>
        <w:t xml:space="preserve"> </w:t>
      </w:r>
      <w:r w:rsidRPr="000F65EA">
        <w:rPr>
          <w:rFonts w:asciiTheme="majorBidi" w:hAnsiTheme="majorBidi" w:cstheme="majorBidi"/>
          <w:sz w:val="20"/>
          <w:szCs w:val="20"/>
          <w:rtl/>
        </w:rPr>
        <w:t xml:space="preserve">תוספות מסכת בבא קמא דף סו עמוד א ד"ה מוצא </w:t>
      </w:r>
      <w:r w:rsidR="000F65EA">
        <w:rPr>
          <w:rFonts w:asciiTheme="majorBidi" w:hAnsiTheme="majorBidi" w:cstheme="majorBidi"/>
          <w:sz w:val="20"/>
          <w:szCs w:val="20"/>
          <w:rtl/>
        </w:rPr>
        <w:t>אבידה</w:t>
      </w:r>
      <w:r w:rsidRPr="000F65EA">
        <w:rPr>
          <w:rFonts w:asciiTheme="majorBidi" w:hAnsiTheme="majorBidi" w:cstheme="majorBidi"/>
          <w:sz w:val="20"/>
          <w:szCs w:val="20"/>
          <w:rtl/>
        </w:rPr>
        <w:t>.</w:t>
      </w:r>
    </w:p>
  </w:footnote>
  <w:footnote w:id="8">
    <w:p w14:paraId="3C7C92B8" w14:textId="6DEFE2C9" w:rsidR="002071DC" w:rsidRPr="00970E50" w:rsidRDefault="00671245" w:rsidP="000F65EA">
      <w:pPr>
        <w:pStyle w:val="a7"/>
        <w:spacing w:line="360" w:lineRule="auto"/>
        <w:rPr>
          <w:rFonts w:asciiTheme="majorBidi" w:hAnsiTheme="majorBidi" w:cstheme="majorBidi"/>
        </w:rPr>
      </w:pPr>
      <w:r w:rsidRPr="000F65EA">
        <w:rPr>
          <w:rStyle w:val="a9"/>
          <w:rFonts w:asciiTheme="majorBidi" w:hAnsiTheme="majorBidi" w:cstheme="majorBidi"/>
        </w:rPr>
        <w:footnoteRef/>
      </w:r>
      <w:r w:rsidRPr="000F65EA">
        <w:rPr>
          <w:rFonts w:asciiTheme="majorBidi" w:hAnsiTheme="majorBidi" w:cstheme="majorBidi"/>
          <w:rtl/>
        </w:rPr>
        <w:t xml:space="preserve"> מהר"ל כאן.</w:t>
      </w:r>
    </w:p>
  </w:footnote>
  <w:footnote w:id="9">
    <w:p w14:paraId="46D3CBC8" w14:textId="7C51456F" w:rsidR="002071DC" w:rsidRPr="002071DC" w:rsidRDefault="002071DC" w:rsidP="002071DC">
      <w:pPr>
        <w:spacing w:after="0" w:line="240" w:lineRule="auto"/>
        <w:rPr>
          <w:rFonts w:asciiTheme="majorBidi" w:hAnsiTheme="majorBidi" w:cstheme="majorBidi"/>
          <w:sz w:val="20"/>
          <w:szCs w:val="20"/>
          <w:rtl/>
        </w:rPr>
      </w:pPr>
      <w:r>
        <w:rPr>
          <w:rStyle w:val="a9"/>
        </w:rPr>
        <w:footnoteRef/>
      </w:r>
      <w:r>
        <w:rPr>
          <w:rtl/>
        </w:rPr>
        <w:t xml:space="preserve"> </w:t>
      </w:r>
      <w:r w:rsidRPr="002071DC">
        <w:rPr>
          <w:rFonts w:asciiTheme="majorBidi" w:hAnsiTheme="majorBidi" w:cs="Times New Roman"/>
          <w:sz w:val="20"/>
          <w:szCs w:val="20"/>
          <w:rtl/>
        </w:rPr>
        <w:t xml:space="preserve">רש"י </w:t>
      </w:r>
      <w:r w:rsidRPr="002071DC">
        <w:rPr>
          <w:rFonts w:asciiTheme="majorBidi" w:hAnsiTheme="majorBidi" w:cs="Times New Roman" w:hint="cs"/>
          <w:sz w:val="20"/>
          <w:szCs w:val="20"/>
          <w:rtl/>
        </w:rPr>
        <w:t xml:space="preserve"> ד"ה הרי אלו</w:t>
      </w:r>
      <w:r w:rsidRPr="002071DC">
        <w:rPr>
          <w:rFonts w:asciiTheme="majorBidi" w:hAnsiTheme="majorBidi" w:cstheme="majorBidi"/>
          <w:sz w:val="20"/>
          <w:szCs w:val="20"/>
          <w:rtl/>
        </w:rPr>
        <w:t>. כן הוא כותב גם במסכת</w:t>
      </w:r>
      <w:r w:rsidRPr="002071DC">
        <w:rPr>
          <w:rFonts w:asciiTheme="majorBidi" w:hAnsiTheme="majorBidi" w:cs="Times New Roman"/>
          <w:sz w:val="20"/>
          <w:szCs w:val="20"/>
          <w:rtl/>
        </w:rPr>
        <w:t xml:space="preserve"> בבא קמא </w:t>
      </w:r>
      <w:r w:rsidRPr="002071DC">
        <w:rPr>
          <w:rFonts w:asciiTheme="majorBidi" w:hAnsiTheme="majorBidi" w:cs="Times New Roman" w:hint="cs"/>
          <w:sz w:val="20"/>
          <w:szCs w:val="20"/>
          <w:rtl/>
        </w:rPr>
        <w:t>(</w:t>
      </w:r>
      <w:r w:rsidRPr="002071DC">
        <w:rPr>
          <w:rFonts w:asciiTheme="majorBidi" w:hAnsiTheme="majorBidi" w:cs="Times New Roman"/>
          <w:sz w:val="16"/>
          <w:szCs w:val="16"/>
          <w:rtl/>
        </w:rPr>
        <w:t>דף סו עמוד א</w:t>
      </w:r>
      <w:r w:rsidRPr="002071DC">
        <w:rPr>
          <w:rFonts w:asciiTheme="majorBidi" w:hAnsiTheme="majorBidi" w:cstheme="majorBidi" w:hint="cs"/>
          <w:sz w:val="16"/>
          <w:szCs w:val="16"/>
          <w:rtl/>
        </w:rPr>
        <w:t xml:space="preserve"> ד"ה מוצא</w:t>
      </w:r>
      <w:r>
        <w:rPr>
          <w:rFonts w:asciiTheme="majorBidi" w:hAnsiTheme="majorBidi" w:cstheme="majorBidi" w:hint="cs"/>
          <w:sz w:val="16"/>
          <w:szCs w:val="16"/>
          <w:rtl/>
        </w:rPr>
        <w:t xml:space="preserve"> </w:t>
      </w:r>
      <w:r w:rsidR="000F65EA">
        <w:rPr>
          <w:rFonts w:asciiTheme="majorBidi" w:hAnsiTheme="majorBidi" w:cstheme="majorBidi" w:hint="cs"/>
          <w:sz w:val="16"/>
          <w:szCs w:val="16"/>
          <w:rtl/>
        </w:rPr>
        <w:t>אבידה</w:t>
      </w:r>
      <w:r w:rsidRPr="002071DC">
        <w:rPr>
          <w:rFonts w:asciiTheme="majorBidi" w:hAnsiTheme="majorBidi" w:cstheme="majorBidi" w:hint="cs"/>
          <w:sz w:val="16"/>
          <w:szCs w:val="16"/>
          <w:rtl/>
        </w:rPr>
        <w:t>)</w:t>
      </w:r>
      <w:r w:rsidRPr="002071DC">
        <w:rPr>
          <w:rFonts w:asciiTheme="majorBidi" w:hAnsiTheme="majorBidi" w:cstheme="majorBidi" w:hint="cs"/>
          <w:sz w:val="20"/>
          <w:szCs w:val="20"/>
          <w:rtl/>
        </w:rPr>
        <w:t xml:space="preserve">: </w:t>
      </w:r>
      <w:r w:rsidRPr="002071DC">
        <w:rPr>
          <w:rFonts w:ascii="David" w:hAnsi="David" w:cs="David"/>
          <w:sz w:val="20"/>
          <w:szCs w:val="20"/>
          <w:rtl/>
        </w:rPr>
        <w:t xml:space="preserve">"תניא באלו מציאות </w:t>
      </w:r>
      <w:r w:rsidRPr="002071DC">
        <w:rPr>
          <w:rFonts w:ascii="David" w:hAnsi="David" w:cs="David"/>
          <w:sz w:val="16"/>
          <w:szCs w:val="16"/>
          <w:rtl/>
        </w:rPr>
        <w:t>(ב"מ דף כב:)</w:t>
      </w:r>
      <w:r w:rsidRPr="002071DC">
        <w:rPr>
          <w:rFonts w:ascii="David" w:hAnsi="David" w:cs="David"/>
          <w:sz w:val="20"/>
          <w:szCs w:val="20"/>
          <w:rtl/>
        </w:rPr>
        <w:t xml:space="preserve"> מנין לאבידה ששטפה נהר </w:t>
      </w:r>
      <w:r w:rsidRPr="002071DC">
        <w:rPr>
          <w:rFonts w:ascii="David" w:hAnsi="David" w:cs="David"/>
          <w:b/>
          <w:bCs/>
          <w:sz w:val="20"/>
          <w:szCs w:val="20"/>
          <w:rtl/>
        </w:rPr>
        <w:t>הואיל ונתייאשו הבעלים</w:t>
      </w:r>
      <w:r w:rsidRPr="002071DC">
        <w:rPr>
          <w:rFonts w:ascii="David" w:hAnsi="David" w:cs="David"/>
          <w:sz w:val="20"/>
          <w:szCs w:val="20"/>
          <w:rtl/>
        </w:rPr>
        <w:t xml:space="preserve"> שהיא מותרת ת"ל אשר תאבד ממנו שאבודה ממנו ומצויה לשאר בני אדם יצתה זו אלמא קני".</w:t>
      </w:r>
    </w:p>
    <w:p w14:paraId="6991A759" w14:textId="463DA37A" w:rsidR="002071DC" w:rsidRDefault="002071DC" w:rsidP="002071DC">
      <w:pPr>
        <w:pStyle w:val="a7"/>
        <w:rPr>
          <w:rFonts w:hint="cs"/>
          <w:rtl/>
        </w:rPr>
      </w:pPr>
    </w:p>
  </w:footnote>
  <w:footnote w:id="10">
    <w:p w14:paraId="6F83FD3C" w14:textId="1CE60100" w:rsidR="002C03CF" w:rsidRPr="002C03CF" w:rsidRDefault="002C03CF">
      <w:pPr>
        <w:pStyle w:val="a7"/>
        <w:rPr>
          <w:rFonts w:asciiTheme="majorBidi" w:hAnsiTheme="majorBidi" w:cstheme="majorBidi"/>
          <w:rtl/>
        </w:rPr>
      </w:pPr>
      <w:r w:rsidRPr="002C03CF">
        <w:rPr>
          <w:rStyle w:val="a9"/>
          <w:rFonts w:asciiTheme="majorBidi" w:hAnsiTheme="majorBidi" w:cstheme="majorBidi"/>
        </w:rPr>
        <w:footnoteRef/>
      </w:r>
      <w:r w:rsidRPr="002C03CF">
        <w:rPr>
          <w:rFonts w:asciiTheme="majorBidi" w:hAnsiTheme="majorBidi" w:cstheme="majorBidi"/>
          <w:rtl/>
        </w:rPr>
        <w:t xml:space="preserve"> שיעורי ר' דוד אות צז.</w:t>
      </w:r>
    </w:p>
  </w:footnote>
  <w:footnote w:id="11">
    <w:p w14:paraId="7536592B" w14:textId="77777777" w:rsidR="00F64CC2" w:rsidRPr="000F65EA" w:rsidRDefault="00F64CC2" w:rsidP="000F65EA">
      <w:pPr>
        <w:pStyle w:val="a7"/>
        <w:spacing w:line="360" w:lineRule="auto"/>
        <w:rPr>
          <w:rFonts w:asciiTheme="majorBidi" w:hAnsiTheme="majorBidi" w:cstheme="majorBidi"/>
        </w:rPr>
      </w:pPr>
      <w:r w:rsidRPr="000F65EA">
        <w:rPr>
          <w:rStyle w:val="a9"/>
          <w:rFonts w:asciiTheme="majorBidi" w:hAnsiTheme="majorBidi" w:cstheme="majorBidi"/>
        </w:rPr>
        <w:footnoteRef/>
      </w:r>
      <w:r w:rsidRPr="000F65EA">
        <w:rPr>
          <w:rFonts w:asciiTheme="majorBidi" w:hAnsiTheme="majorBidi" w:cstheme="majorBidi"/>
          <w:rtl/>
        </w:rPr>
        <w:t xml:space="preserve"> מסכת בבא מציעא דף כד עמוד א.</w:t>
      </w:r>
    </w:p>
  </w:footnote>
  <w:footnote w:id="12">
    <w:p w14:paraId="2F08461C" w14:textId="1A4B5A80" w:rsidR="00F64CC2" w:rsidRPr="000F65EA" w:rsidRDefault="00F64CC2" w:rsidP="000F65EA">
      <w:pPr>
        <w:pStyle w:val="a7"/>
        <w:spacing w:line="360" w:lineRule="auto"/>
        <w:rPr>
          <w:rFonts w:asciiTheme="majorBidi" w:hAnsiTheme="majorBidi" w:cstheme="majorBidi"/>
          <w:rtl/>
        </w:rPr>
      </w:pPr>
      <w:r w:rsidRPr="000F65EA">
        <w:rPr>
          <w:rStyle w:val="a9"/>
          <w:rFonts w:asciiTheme="majorBidi" w:hAnsiTheme="majorBidi" w:cstheme="majorBidi"/>
        </w:rPr>
        <w:footnoteRef/>
      </w:r>
      <w:r w:rsidRPr="000F65EA">
        <w:rPr>
          <w:rFonts w:asciiTheme="majorBidi" w:hAnsiTheme="majorBidi" w:cstheme="majorBidi"/>
          <w:rtl/>
        </w:rPr>
        <w:t xml:space="preserve"> כך מציע הרא"ש סימן ו.</w:t>
      </w:r>
    </w:p>
  </w:footnote>
  <w:footnote w:id="13">
    <w:p w14:paraId="404A6572" w14:textId="0AA03060" w:rsidR="00B84146" w:rsidRPr="000F65EA" w:rsidRDefault="00B84146" w:rsidP="000F65EA">
      <w:pPr>
        <w:pStyle w:val="a7"/>
        <w:spacing w:line="360" w:lineRule="auto"/>
        <w:rPr>
          <w:rFonts w:asciiTheme="majorBidi" w:hAnsiTheme="majorBidi" w:cstheme="majorBidi"/>
        </w:rPr>
      </w:pPr>
      <w:r w:rsidRPr="000F65EA">
        <w:rPr>
          <w:rStyle w:val="a9"/>
          <w:rFonts w:asciiTheme="majorBidi" w:hAnsiTheme="majorBidi" w:cstheme="majorBidi"/>
        </w:rPr>
        <w:footnoteRef/>
      </w:r>
      <w:r w:rsidRPr="000F65EA">
        <w:rPr>
          <w:rFonts w:asciiTheme="majorBidi" w:hAnsiTheme="majorBidi" w:cstheme="majorBidi"/>
          <w:rtl/>
        </w:rPr>
        <w:t xml:space="preserve"> </w:t>
      </w:r>
      <w:r w:rsidRPr="000F65EA">
        <w:rPr>
          <w:rFonts w:asciiTheme="majorBidi" w:hAnsiTheme="majorBidi" w:cstheme="majorBidi"/>
          <w:rtl/>
        </w:rPr>
        <w:t>דף כד עמוד ב</w:t>
      </w:r>
      <w:r w:rsidRPr="000F65EA">
        <w:rPr>
          <w:rFonts w:asciiTheme="majorBidi" w:hAnsiTheme="majorBidi" w:cstheme="majorBidi"/>
          <w:rtl/>
        </w:rPr>
        <w:t>.</w:t>
      </w:r>
    </w:p>
  </w:footnote>
  <w:footnote w:id="14">
    <w:p w14:paraId="4592CD5E" w14:textId="551A2A3C" w:rsidR="00B84146" w:rsidRPr="000F65EA" w:rsidRDefault="00B84146" w:rsidP="000F65EA">
      <w:pPr>
        <w:pStyle w:val="a7"/>
        <w:spacing w:line="360" w:lineRule="auto"/>
        <w:rPr>
          <w:rFonts w:asciiTheme="majorBidi" w:hAnsiTheme="majorBidi" w:cstheme="majorBidi"/>
        </w:rPr>
      </w:pPr>
      <w:r w:rsidRPr="000F65EA">
        <w:rPr>
          <w:rStyle w:val="a9"/>
          <w:rFonts w:asciiTheme="majorBidi" w:hAnsiTheme="majorBidi" w:cstheme="majorBidi"/>
        </w:rPr>
        <w:footnoteRef/>
      </w:r>
      <w:r w:rsidRPr="000F65EA">
        <w:rPr>
          <w:rFonts w:asciiTheme="majorBidi" w:hAnsiTheme="majorBidi" w:cstheme="majorBidi"/>
          <w:rtl/>
        </w:rPr>
        <w:t xml:space="preserve"> בירור הלכה דף כב עמוד א  ציון א.</w:t>
      </w:r>
    </w:p>
  </w:footnote>
  <w:footnote w:id="15">
    <w:p w14:paraId="4A492C1D" w14:textId="284EC639" w:rsidR="00A7540B" w:rsidRPr="000F65EA" w:rsidRDefault="00A7540B" w:rsidP="000F65EA">
      <w:pPr>
        <w:spacing w:after="0" w:line="360" w:lineRule="auto"/>
        <w:rPr>
          <w:rFonts w:asciiTheme="majorBidi" w:hAnsiTheme="majorBidi" w:cstheme="majorBidi"/>
          <w:sz w:val="20"/>
          <w:szCs w:val="20"/>
          <w:rtl/>
        </w:rPr>
      </w:pPr>
      <w:r w:rsidRPr="000F65EA">
        <w:rPr>
          <w:rStyle w:val="a9"/>
          <w:rFonts w:asciiTheme="majorBidi" w:hAnsiTheme="majorBidi" w:cstheme="majorBidi"/>
          <w:sz w:val="20"/>
          <w:szCs w:val="20"/>
        </w:rPr>
        <w:footnoteRef/>
      </w:r>
      <w:r w:rsidRPr="000F65EA">
        <w:rPr>
          <w:rFonts w:asciiTheme="majorBidi" w:hAnsiTheme="majorBidi" w:cstheme="majorBidi"/>
          <w:sz w:val="20"/>
          <w:szCs w:val="20"/>
          <w:rtl/>
        </w:rPr>
        <w:t xml:space="preserve"> </w:t>
      </w:r>
      <w:r w:rsidRPr="000F65EA">
        <w:rPr>
          <w:rFonts w:asciiTheme="majorBidi" w:hAnsiTheme="majorBidi" w:cstheme="majorBidi"/>
          <w:sz w:val="20"/>
          <w:szCs w:val="20"/>
          <w:rtl/>
        </w:rPr>
        <w:t>תלמוד ירושלמי מסכת בבא קמא פרק י הלכה ה</w:t>
      </w:r>
      <w:r w:rsidRPr="000F65EA">
        <w:rPr>
          <w:rFonts w:asciiTheme="majorBidi" w:hAnsiTheme="majorBidi" w:cstheme="majorBidi"/>
          <w:sz w:val="20"/>
          <w:szCs w:val="20"/>
          <w:rtl/>
        </w:rPr>
        <w:t>.</w:t>
      </w:r>
    </w:p>
    <w:p w14:paraId="7343AC0A" w14:textId="742E1E56" w:rsidR="00A7540B" w:rsidRPr="000F65EA" w:rsidRDefault="00A7540B" w:rsidP="000F65EA">
      <w:pPr>
        <w:pStyle w:val="a7"/>
        <w:spacing w:line="360" w:lineRule="auto"/>
        <w:rPr>
          <w:rFonts w:asciiTheme="majorBidi" w:hAnsiTheme="majorBidi" w:cstheme="majorBidi"/>
          <w:rtl/>
        </w:rPr>
      </w:pPr>
    </w:p>
  </w:footnote>
  <w:footnote w:id="16">
    <w:p w14:paraId="5EDB5E86" w14:textId="35ED160A" w:rsidR="00B84146" w:rsidRPr="000F65EA" w:rsidRDefault="00B84146" w:rsidP="000F65EA">
      <w:pPr>
        <w:pStyle w:val="a7"/>
        <w:spacing w:line="360" w:lineRule="auto"/>
        <w:rPr>
          <w:rFonts w:asciiTheme="majorBidi" w:hAnsiTheme="majorBidi" w:cstheme="majorBidi"/>
          <w:rtl/>
        </w:rPr>
      </w:pPr>
      <w:r w:rsidRPr="000F65EA">
        <w:rPr>
          <w:rStyle w:val="a9"/>
          <w:rFonts w:asciiTheme="majorBidi" w:hAnsiTheme="majorBidi" w:cstheme="majorBidi"/>
        </w:rPr>
        <w:footnoteRef/>
      </w:r>
      <w:r w:rsidRPr="000F65EA">
        <w:rPr>
          <w:rFonts w:asciiTheme="majorBidi" w:hAnsiTheme="majorBidi" w:cstheme="majorBidi"/>
          <w:rtl/>
        </w:rPr>
        <w:t xml:space="preserve"> בירור הלכה אות א.</w:t>
      </w:r>
    </w:p>
  </w:footnote>
  <w:footnote w:id="17">
    <w:p w14:paraId="5CAC3EF5" w14:textId="77777777" w:rsidR="00844F8E" w:rsidRPr="000F65EA" w:rsidRDefault="00844F8E" w:rsidP="00844F8E">
      <w:pPr>
        <w:pStyle w:val="a7"/>
        <w:spacing w:line="360" w:lineRule="auto"/>
        <w:rPr>
          <w:rFonts w:asciiTheme="majorBidi" w:hAnsiTheme="majorBidi" w:cstheme="majorBidi"/>
        </w:rPr>
      </w:pPr>
      <w:r w:rsidRPr="000F65EA">
        <w:rPr>
          <w:rStyle w:val="a9"/>
          <w:rFonts w:asciiTheme="majorBidi" w:hAnsiTheme="majorBidi" w:cstheme="majorBidi"/>
        </w:rPr>
        <w:footnoteRef/>
      </w:r>
      <w:r w:rsidRPr="000F65EA">
        <w:rPr>
          <w:rFonts w:asciiTheme="majorBidi" w:hAnsiTheme="majorBidi" w:cstheme="majorBidi"/>
          <w:rtl/>
        </w:rPr>
        <w:t xml:space="preserve"> שולחן ערוך חושן משפט סימן רנט סעיף ז.</w:t>
      </w:r>
    </w:p>
  </w:footnote>
  <w:footnote w:id="18">
    <w:p w14:paraId="3CA4550E" w14:textId="34E9A11D" w:rsidR="00A7540B" w:rsidRPr="000F65EA" w:rsidRDefault="00A7540B" w:rsidP="000F65EA">
      <w:pPr>
        <w:pStyle w:val="a7"/>
        <w:spacing w:line="360" w:lineRule="auto"/>
        <w:rPr>
          <w:rFonts w:asciiTheme="majorBidi" w:hAnsiTheme="majorBidi" w:cstheme="majorBidi"/>
        </w:rPr>
      </w:pPr>
      <w:r w:rsidRPr="000F65EA">
        <w:rPr>
          <w:rStyle w:val="a9"/>
          <w:rFonts w:asciiTheme="majorBidi" w:hAnsiTheme="majorBidi" w:cstheme="majorBidi"/>
        </w:rPr>
        <w:footnoteRef/>
      </w:r>
      <w:r w:rsidRPr="000F65EA">
        <w:rPr>
          <w:rFonts w:asciiTheme="majorBidi" w:hAnsiTheme="majorBidi" w:cstheme="majorBidi"/>
          <w:rtl/>
        </w:rPr>
        <w:t xml:space="preserve"> </w:t>
      </w:r>
      <w:r w:rsidRPr="000F65EA">
        <w:rPr>
          <w:rFonts w:asciiTheme="majorBidi" w:hAnsiTheme="majorBidi" w:cstheme="majorBidi"/>
          <w:rtl/>
        </w:rPr>
        <w:t>רמב"ם הלכות גזלה ואבדה פרק יא הלכה י</w:t>
      </w:r>
      <w:r w:rsidRPr="000F65EA">
        <w:rPr>
          <w:rFonts w:asciiTheme="majorBidi" w:hAnsiTheme="majorBidi" w:cstheme="majorBidi"/>
          <w:rtl/>
        </w:rPr>
        <w:t>.</w:t>
      </w:r>
    </w:p>
  </w:footnote>
  <w:footnote w:id="19">
    <w:p w14:paraId="51F6161E" w14:textId="1916045B" w:rsidR="001307C2" w:rsidRPr="000F65EA" w:rsidRDefault="001307C2" w:rsidP="000F65EA">
      <w:pPr>
        <w:pStyle w:val="a7"/>
        <w:spacing w:line="360" w:lineRule="auto"/>
        <w:rPr>
          <w:rFonts w:asciiTheme="majorBidi" w:hAnsiTheme="majorBidi" w:cstheme="majorBidi"/>
          <w:rtl/>
        </w:rPr>
      </w:pPr>
      <w:r w:rsidRPr="000F65EA">
        <w:rPr>
          <w:rStyle w:val="a9"/>
          <w:rFonts w:asciiTheme="majorBidi" w:hAnsiTheme="majorBidi" w:cstheme="majorBidi"/>
        </w:rPr>
        <w:footnoteRef/>
      </w:r>
      <w:r w:rsidRPr="000F65EA">
        <w:rPr>
          <w:rFonts w:asciiTheme="majorBidi" w:hAnsiTheme="majorBidi" w:cstheme="majorBidi"/>
          <w:rtl/>
        </w:rPr>
        <w:t xml:space="preserve"> </w:t>
      </w:r>
      <w:r w:rsidRPr="000F65EA">
        <w:rPr>
          <w:rFonts w:asciiTheme="majorBidi" w:hAnsiTheme="majorBidi" w:cstheme="majorBidi"/>
          <w:rtl/>
        </w:rPr>
        <w:t>הלכות גזלה ואבדה פרק יא הלכה ט</w:t>
      </w:r>
      <w:r w:rsidRPr="000F65EA">
        <w:rPr>
          <w:rFonts w:asciiTheme="majorBidi" w:hAnsiTheme="majorBidi" w:cstheme="majorBidi"/>
          <w:rtl/>
        </w:rPr>
        <w:t>.</w:t>
      </w:r>
    </w:p>
  </w:footnote>
  <w:footnote w:id="20">
    <w:p w14:paraId="0B9EB539" w14:textId="04707FBA" w:rsidR="001307C2" w:rsidRPr="000F65EA" w:rsidRDefault="001307C2" w:rsidP="000F65EA">
      <w:pPr>
        <w:pStyle w:val="a7"/>
        <w:spacing w:line="360" w:lineRule="auto"/>
        <w:rPr>
          <w:rFonts w:asciiTheme="majorBidi" w:hAnsiTheme="majorBidi" w:cstheme="majorBidi"/>
          <w:rtl/>
        </w:rPr>
      </w:pPr>
      <w:r w:rsidRPr="000F65EA">
        <w:rPr>
          <w:rStyle w:val="a9"/>
          <w:rFonts w:asciiTheme="majorBidi" w:hAnsiTheme="majorBidi" w:cstheme="majorBidi"/>
        </w:rPr>
        <w:footnoteRef/>
      </w:r>
      <w:r w:rsidRPr="000F65EA">
        <w:rPr>
          <w:rFonts w:asciiTheme="majorBidi" w:hAnsiTheme="majorBidi" w:cstheme="majorBidi"/>
          <w:rtl/>
        </w:rPr>
        <w:t xml:space="preserve"> בירור הלכה אות ג.</w:t>
      </w:r>
    </w:p>
  </w:footnote>
  <w:footnote w:id="21">
    <w:p w14:paraId="3FF30F7B" w14:textId="63AFE7E8" w:rsidR="001307C2" w:rsidRPr="000F65EA" w:rsidRDefault="001307C2" w:rsidP="000F65EA">
      <w:pPr>
        <w:pStyle w:val="a7"/>
        <w:spacing w:line="360" w:lineRule="auto"/>
        <w:rPr>
          <w:rFonts w:asciiTheme="majorBidi" w:hAnsiTheme="majorBidi" w:cstheme="majorBidi"/>
        </w:rPr>
      </w:pPr>
      <w:r w:rsidRPr="000F65EA">
        <w:rPr>
          <w:rStyle w:val="a9"/>
          <w:rFonts w:asciiTheme="majorBidi" w:hAnsiTheme="majorBidi" w:cstheme="majorBidi"/>
        </w:rPr>
        <w:footnoteRef/>
      </w:r>
      <w:r w:rsidRPr="000F65EA">
        <w:rPr>
          <w:rFonts w:asciiTheme="majorBidi" w:hAnsiTheme="majorBidi" w:cstheme="majorBidi"/>
          <w:rtl/>
        </w:rPr>
        <w:t xml:space="preserve"> </w:t>
      </w:r>
      <w:r w:rsidRPr="000F65EA">
        <w:rPr>
          <w:rFonts w:asciiTheme="majorBidi" w:hAnsiTheme="majorBidi" w:cstheme="majorBidi"/>
          <w:rtl/>
        </w:rPr>
        <w:t>הלכות גזלה ואבדה פרק ו הלכה א</w:t>
      </w:r>
      <w:r w:rsidRPr="000F65EA">
        <w:rPr>
          <w:rFonts w:asciiTheme="majorBidi" w:hAnsiTheme="majorBidi" w:cstheme="majorBidi"/>
          <w:rtl/>
        </w:rPr>
        <w:t>.</w:t>
      </w:r>
    </w:p>
  </w:footnote>
  <w:footnote w:id="22">
    <w:p w14:paraId="4F52A915" w14:textId="03161A36" w:rsidR="001307C2" w:rsidRPr="000F65EA" w:rsidRDefault="001307C2" w:rsidP="000F65EA">
      <w:pPr>
        <w:pStyle w:val="a7"/>
        <w:spacing w:line="360" w:lineRule="auto"/>
        <w:rPr>
          <w:rFonts w:asciiTheme="majorBidi" w:hAnsiTheme="majorBidi" w:cstheme="majorBidi"/>
          <w:rtl/>
        </w:rPr>
      </w:pPr>
      <w:r w:rsidRPr="000F65EA">
        <w:rPr>
          <w:rStyle w:val="a9"/>
          <w:rFonts w:asciiTheme="majorBidi" w:hAnsiTheme="majorBidi" w:cstheme="majorBidi"/>
        </w:rPr>
        <w:footnoteRef/>
      </w:r>
      <w:r w:rsidRPr="000F65EA">
        <w:rPr>
          <w:rFonts w:asciiTheme="majorBidi" w:hAnsiTheme="majorBidi" w:cstheme="majorBidi"/>
          <w:rtl/>
        </w:rPr>
        <w:t xml:space="preserve"> בירור הלכה סוף אות ג.</w:t>
      </w:r>
    </w:p>
  </w:footnote>
  <w:footnote w:id="23">
    <w:p w14:paraId="1EC04DC5" w14:textId="6AF48DB1" w:rsidR="00844F8E" w:rsidRPr="00844F8E" w:rsidRDefault="00844F8E">
      <w:pPr>
        <w:pStyle w:val="a7"/>
        <w:rPr>
          <w:rFonts w:asciiTheme="majorBidi" w:hAnsiTheme="majorBidi" w:cstheme="majorBidi"/>
        </w:rPr>
      </w:pPr>
      <w:r w:rsidRPr="00844F8E">
        <w:rPr>
          <w:rStyle w:val="a9"/>
          <w:rFonts w:asciiTheme="majorBidi" w:hAnsiTheme="majorBidi" w:cstheme="majorBidi"/>
        </w:rPr>
        <w:footnoteRef/>
      </w:r>
      <w:r w:rsidRPr="00844F8E">
        <w:rPr>
          <w:rFonts w:asciiTheme="majorBidi" w:hAnsiTheme="majorBidi" w:cstheme="majorBidi"/>
          <w:rtl/>
        </w:rPr>
        <w:t xml:space="preserve"> קונטרסי שיעורים שיעור טז אות ב.</w:t>
      </w:r>
    </w:p>
  </w:footnote>
  <w:footnote w:id="24">
    <w:p w14:paraId="2FCA7497" w14:textId="6C0DEF23" w:rsidR="00844F8E" w:rsidRPr="00911AAA" w:rsidRDefault="00844F8E" w:rsidP="00911AAA">
      <w:pPr>
        <w:spacing w:after="0" w:line="360" w:lineRule="auto"/>
        <w:rPr>
          <w:rFonts w:asciiTheme="majorBidi" w:hAnsiTheme="majorBidi" w:cstheme="majorBidi" w:hint="cs"/>
          <w:sz w:val="20"/>
          <w:szCs w:val="20"/>
          <w:rtl/>
        </w:rPr>
      </w:pPr>
      <w:r>
        <w:rPr>
          <w:rStyle w:val="a9"/>
        </w:rPr>
        <w:footnoteRef/>
      </w:r>
      <w:r>
        <w:rPr>
          <w:rtl/>
        </w:rPr>
        <w:t xml:space="preserve"> </w:t>
      </w:r>
      <w:r w:rsidRPr="00844F8E">
        <w:rPr>
          <w:rFonts w:asciiTheme="majorBidi" w:hAnsiTheme="majorBidi" w:cstheme="majorBidi"/>
          <w:sz w:val="20"/>
          <w:szCs w:val="20"/>
          <w:rtl/>
        </w:rPr>
        <w:t>רמב"ם הלכות גזלה ואבדה פרק יא הלכה יא</w:t>
      </w:r>
      <w:r>
        <w:rPr>
          <w:rFonts w:asciiTheme="majorBidi" w:hAnsiTheme="majorBidi" w:cstheme="majorBidi" w:hint="cs"/>
          <w:sz w:val="20"/>
          <w:szCs w:val="20"/>
          <w:rtl/>
        </w:rPr>
        <w:t>.</w:t>
      </w:r>
    </w:p>
  </w:footnote>
  <w:footnote w:id="25">
    <w:p w14:paraId="00F90D2B" w14:textId="578BFC02" w:rsidR="00911AAA" w:rsidRPr="00911AAA" w:rsidRDefault="00911AAA" w:rsidP="00C110AA">
      <w:pPr>
        <w:pStyle w:val="a7"/>
        <w:spacing w:line="360" w:lineRule="auto"/>
        <w:rPr>
          <w:rFonts w:asciiTheme="majorBidi" w:hAnsiTheme="majorBidi" w:cstheme="majorBidi"/>
          <w:rtl/>
        </w:rPr>
      </w:pPr>
      <w:r w:rsidRPr="00911AAA">
        <w:rPr>
          <w:rStyle w:val="a9"/>
          <w:rFonts w:asciiTheme="majorBidi" w:hAnsiTheme="majorBidi" w:cstheme="majorBidi"/>
        </w:rPr>
        <w:footnoteRef/>
      </w:r>
      <w:r w:rsidRPr="00911AAA">
        <w:rPr>
          <w:rFonts w:asciiTheme="majorBidi" w:hAnsiTheme="majorBidi" w:cstheme="majorBidi"/>
          <w:rtl/>
        </w:rPr>
        <w:t xml:space="preserve"> הרב גוסטמאן.</w:t>
      </w:r>
    </w:p>
  </w:footnote>
  <w:footnote w:id="26">
    <w:p w14:paraId="39F49C56" w14:textId="6BABF7B8" w:rsidR="00C110AA" w:rsidRDefault="00C110AA" w:rsidP="00C110AA">
      <w:pPr>
        <w:pStyle w:val="a7"/>
        <w:spacing w:line="360" w:lineRule="auto"/>
        <w:rPr>
          <w:rFonts w:hint="cs"/>
          <w:rtl/>
        </w:rPr>
      </w:pPr>
      <w:r>
        <w:rPr>
          <w:rStyle w:val="a9"/>
        </w:rPr>
        <w:footnoteRef/>
      </w:r>
      <w:r>
        <w:rPr>
          <w:rtl/>
        </w:rPr>
        <w:t xml:space="preserve"> </w:t>
      </w:r>
      <w:r w:rsidRPr="00C110AA">
        <w:rPr>
          <w:rFonts w:asciiTheme="majorBidi" w:hAnsiTheme="majorBidi" w:cstheme="majorBidi"/>
          <w:rtl/>
        </w:rPr>
        <w:t>ב"ח יורה דעה סימן קמו אות ב</w:t>
      </w:r>
      <w:r>
        <w:rPr>
          <w:rFonts w:hint="cs"/>
          <w:rtl/>
        </w:rPr>
        <w:t>.</w:t>
      </w:r>
    </w:p>
  </w:footnote>
  <w:footnote w:id="27">
    <w:p w14:paraId="6EA83202" w14:textId="29769DAD" w:rsidR="00335009" w:rsidRDefault="00335009">
      <w:pPr>
        <w:pStyle w:val="a7"/>
        <w:rPr>
          <w:rFonts w:hint="cs"/>
          <w:rtl/>
        </w:rPr>
      </w:pPr>
      <w:r>
        <w:rPr>
          <w:rStyle w:val="a9"/>
        </w:rPr>
        <w:footnoteRef/>
      </w:r>
      <w:r>
        <w:rPr>
          <w:rtl/>
        </w:rPr>
        <w:t xml:space="preserve"> </w:t>
      </w:r>
      <w:r w:rsidRPr="00911AAA">
        <w:rPr>
          <w:rFonts w:asciiTheme="majorBidi" w:hAnsiTheme="majorBidi" w:cstheme="majorBidi"/>
          <w:rtl/>
        </w:rPr>
        <w:t>הרב גוסטמאן.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73811433"/>
      <w:docPartObj>
        <w:docPartGallery w:val="Page Numbers (Top of Page)"/>
        <w:docPartUnique/>
      </w:docPartObj>
    </w:sdtPr>
    <w:sdtContent>
      <w:p w14:paraId="607776E3" w14:textId="6AAC261E" w:rsidR="005D73A1" w:rsidRDefault="005D73A1">
        <w:pPr>
          <w:pStyle w:val="a3"/>
        </w:pPr>
        <w:r>
          <w:fldChar w:fldCharType="begin"/>
        </w:r>
        <w:r>
          <w:instrText>PAGE   \* MERGEFORMAT</w:instrText>
        </w:r>
        <w:r>
          <w:fldChar w:fldCharType="separate"/>
        </w:r>
        <w:r>
          <w:rPr>
            <w:rtl/>
            <w:lang w:val="he-IL"/>
          </w:rPr>
          <w:t>2</w:t>
        </w:r>
        <w:r>
          <w:fldChar w:fldCharType="end"/>
        </w:r>
      </w:p>
    </w:sdtContent>
  </w:sdt>
  <w:p w14:paraId="309FB377" w14:textId="77777777" w:rsidR="005D73A1" w:rsidRDefault="005D73A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0310"/>
    <w:multiLevelType w:val="hybridMultilevel"/>
    <w:tmpl w:val="6A141D16"/>
    <w:lvl w:ilvl="0" w:tplc="9020B60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6126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D1"/>
    <w:rsid w:val="00033726"/>
    <w:rsid w:val="000F65EA"/>
    <w:rsid w:val="00122D44"/>
    <w:rsid w:val="001307C2"/>
    <w:rsid w:val="001F1313"/>
    <w:rsid w:val="002071DC"/>
    <w:rsid w:val="00293330"/>
    <w:rsid w:val="002C03CF"/>
    <w:rsid w:val="002C0400"/>
    <w:rsid w:val="00335009"/>
    <w:rsid w:val="004961BE"/>
    <w:rsid w:val="004B200D"/>
    <w:rsid w:val="005D73A1"/>
    <w:rsid w:val="00671245"/>
    <w:rsid w:val="00774559"/>
    <w:rsid w:val="0080775D"/>
    <w:rsid w:val="00824CCA"/>
    <w:rsid w:val="00844F8E"/>
    <w:rsid w:val="00880CBD"/>
    <w:rsid w:val="00911AAA"/>
    <w:rsid w:val="00970E50"/>
    <w:rsid w:val="009930F9"/>
    <w:rsid w:val="009F2FBE"/>
    <w:rsid w:val="009F4C88"/>
    <w:rsid w:val="00A7540B"/>
    <w:rsid w:val="00A75517"/>
    <w:rsid w:val="00A82CF4"/>
    <w:rsid w:val="00AF66A2"/>
    <w:rsid w:val="00B84146"/>
    <w:rsid w:val="00B9579D"/>
    <w:rsid w:val="00BB3781"/>
    <w:rsid w:val="00C110AA"/>
    <w:rsid w:val="00D87CD1"/>
    <w:rsid w:val="00DB49AB"/>
    <w:rsid w:val="00F6395C"/>
    <w:rsid w:val="00F64CC2"/>
    <w:rsid w:val="00F842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7888E"/>
  <w15:chartTrackingRefBased/>
  <w15:docId w15:val="{83E388A5-FFA6-49A1-AB2A-833E725A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73A1"/>
    <w:pPr>
      <w:tabs>
        <w:tab w:val="center" w:pos="4153"/>
        <w:tab w:val="right" w:pos="8306"/>
      </w:tabs>
      <w:spacing w:after="0" w:line="240" w:lineRule="auto"/>
    </w:pPr>
  </w:style>
  <w:style w:type="character" w:customStyle="1" w:styleId="a4">
    <w:name w:val="כותרת עליונה תו"/>
    <w:basedOn w:val="a0"/>
    <w:link w:val="a3"/>
    <w:uiPriority w:val="99"/>
    <w:rsid w:val="005D73A1"/>
    <w:rPr>
      <w:noProof/>
    </w:rPr>
  </w:style>
  <w:style w:type="paragraph" w:styleId="a5">
    <w:name w:val="footer"/>
    <w:basedOn w:val="a"/>
    <w:link w:val="a6"/>
    <w:uiPriority w:val="99"/>
    <w:unhideWhenUsed/>
    <w:rsid w:val="005D73A1"/>
    <w:pPr>
      <w:tabs>
        <w:tab w:val="center" w:pos="4153"/>
        <w:tab w:val="right" w:pos="8306"/>
      </w:tabs>
      <w:spacing w:after="0" w:line="240" w:lineRule="auto"/>
    </w:pPr>
  </w:style>
  <w:style w:type="character" w:customStyle="1" w:styleId="a6">
    <w:name w:val="כותרת תחתונה תו"/>
    <w:basedOn w:val="a0"/>
    <w:link w:val="a5"/>
    <w:uiPriority w:val="99"/>
    <w:rsid w:val="005D73A1"/>
    <w:rPr>
      <w:noProof/>
    </w:rPr>
  </w:style>
  <w:style w:type="paragraph" w:styleId="a7">
    <w:name w:val="footnote text"/>
    <w:basedOn w:val="a"/>
    <w:link w:val="a8"/>
    <w:uiPriority w:val="99"/>
    <w:semiHidden/>
    <w:unhideWhenUsed/>
    <w:rsid w:val="009930F9"/>
    <w:pPr>
      <w:spacing w:after="0" w:line="240" w:lineRule="auto"/>
    </w:pPr>
    <w:rPr>
      <w:sz w:val="20"/>
      <w:szCs w:val="20"/>
    </w:rPr>
  </w:style>
  <w:style w:type="character" w:customStyle="1" w:styleId="a8">
    <w:name w:val="טקסט הערת שוליים תו"/>
    <w:basedOn w:val="a0"/>
    <w:link w:val="a7"/>
    <w:uiPriority w:val="99"/>
    <w:semiHidden/>
    <w:rsid w:val="009930F9"/>
    <w:rPr>
      <w:noProof/>
      <w:sz w:val="20"/>
      <w:szCs w:val="20"/>
    </w:rPr>
  </w:style>
  <w:style w:type="character" w:styleId="a9">
    <w:name w:val="footnote reference"/>
    <w:basedOn w:val="a0"/>
    <w:uiPriority w:val="99"/>
    <w:semiHidden/>
    <w:unhideWhenUsed/>
    <w:rsid w:val="009930F9"/>
    <w:rPr>
      <w:vertAlign w:val="superscript"/>
    </w:rPr>
  </w:style>
  <w:style w:type="paragraph" w:styleId="aa">
    <w:name w:val="List Paragraph"/>
    <w:basedOn w:val="a"/>
    <w:uiPriority w:val="34"/>
    <w:qFormat/>
    <w:rsid w:val="000F65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BBD37-7B1E-4410-8555-7C3E1042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1341</TotalTime>
  <Pages>5</Pages>
  <Words>1645</Words>
  <Characters>8229</Characters>
  <Application>Microsoft Office Word</Application>
  <DocSecurity>0</DocSecurity>
  <Lines>68</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יעקב פלג</dc:creator>
  <cp:keywords/>
  <dc:description/>
  <cp:lastModifiedBy>יעקב פלג</cp:lastModifiedBy>
  <cp:revision>8</cp:revision>
  <dcterms:created xsi:type="dcterms:W3CDTF">2023-12-19T16:01:00Z</dcterms:created>
  <dcterms:modified xsi:type="dcterms:W3CDTF">2023-12-23T17:08:00Z</dcterms:modified>
</cp:coreProperties>
</file>