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854C24">
      <w:pPr>
        <w:rPr>
          <w:rtl/>
        </w:rPr>
      </w:pPr>
    </w:p>
    <w:p w:rsidR="00762971" w:rsidRDefault="00762971">
      <w:pPr>
        <w:rPr>
          <w:b/>
          <w:bCs/>
          <w:sz w:val="32"/>
          <w:szCs w:val="32"/>
          <w:rtl/>
        </w:rPr>
      </w:pPr>
      <w:r>
        <w:rPr>
          <w:rFonts w:hint="cs"/>
          <w:rtl/>
        </w:rPr>
        <w:t xml:space="preserve">                          </w:t>
      </w:r>
      <w:r>
        <w:rPr>
          <w:rFonts w:hint="cs"/>
          <w:b/>
          <w:bCs/>
          <w:sz w:val="32"/>
          <w:szCs w:val="32"/>
          <w:rtl/>
        </w:rPr>
        <w:t xml:space="preserve">נדרה בליל שבת ....- דף </w:t>
      </w:r>
      <w:proofErr w:type="spellStart"/>
      <w:r>
        <w:rPr>
          <w:rFonts w:hint="cs"/>
          <w:b/>
          <w:bCs/>
          <w:sz w:val="32"/>
          <w:szCs w:val="32"/>
          <w:rtl/>
        </w:rPr>
        <w:t>עו</w:t>
      </w:r>
      <w:proofErr w:type="spellEnd"/>
      <w:r>
        <w:rPr>
          <w:rFonts w:hint="cs"/>
          <w:b/>
          <w:bCs/>
          <w:sz w:val="32"/>
          <w:szCs w:val="32"/>
          <w:rtl/>
        </w:rPr>
        <w:t xml:space="preserve"> עמוד ב</w:t>
      </w:r>
    </w:p>
    <w:p w:rsidR="006F724D" w:rsidRDefault="006F724D" w:rsidP="006F724D">
      <w:pPr>
        <w:rPr>
          <w:sz w:val="24"/>
          <w:szCs w:val="24"/>
          <w:rtl/>
        </w:rPr>
      </w:pPr>
      <w:r>
        <w:rPr>
          <w:rFonts w:hint="cs"/>
          <w:sz w:val="24"/>
          <w:szCs w:val="24"/>
          <w:rtl/>
        </w:rPr>
        <w:t xml:space="preserve">המשנה פוסקת כי הפרת נדרים כל היום. כדוגמא אומרת המשנה כי אם </w:t>
      </w:r>
      <w:proofErr w:type="spellStart"/>
      <w:r>
        <w:rPr>
          <w:rFonts w:hint="cs"/>
          <w:sz w:val="24"/>
          <w:szCs w:val="24"/>
          <w:rtl/>
        </w:rPr>
        <w:t>אשה</w:t>
      </w:r>
      <w:proofErr w:type="spellEnd"/>
      <w:r>
        <w:rPr>
          <w:rFonts w:hint="cs"/>
          <w:sz w:val="24"/>
          <w:szCs w:val="24"/>
          <w:rtl/>
        </w:rPr>
        <w:t xml:space="preserve"> נדרה </w:t>
      </w:r>
      <w:r>
        <w:rPr>
          <w:rFonts w:hint="cs"/>
          <w:b/>
          <w:bCs/>
          <w:sz w:val="24"/>
          <w:szCs w:val="24"/>
          <w:rtl/>
        </w:rPr>
        <w:t xml:space="preserve">בליל שבת </w:t>
      </w:r>
      <w:r>
        <w:rPr>
          <w:rFonts w:hint="cs"/>
          <w:sz w:val="24"/>
          <w:szCs w:val="24"/>
          <w:rtl/>
        </w:rPr>
        <w:t xml:space="preserve"> יכול הבעל להפר את הנדר בליל שבת וביומו עד צאת השבת ואם נדרה בשבת סמוך לחשיכה , יכול הבעל להפר </w:t>
      </w:r>
      <w:proofErr w:type="spellStart"/>
      <w:r>
        <w:rPr>
          <w:rFonts w:hint="cs"/>
          <w:sz w:val="24"/>
          <w:szCs w:val="24"/>
          <w:rtl/>
        </w:rPr>
        <w:t>מיידית</w:t>
      </w:r>
      <w:proofErr w:type="spellEnd"/>
      <w:r>
        <w:rPr>
          <w:rFonts w:hint="cs"/>
          <w:sz w:val="24"/>
          <w:szCs w:val="24"/>
          <w:rtl/>
        </w:rPr>
        <w:t>.  המפרשים דנים בשאלה מדוע המשנה הדגימה דווקא על ידי נדר בשבת  ולא כל יום אחר?</w:t>
      </w:r>
    </w:p>
    <w:p w:rsidR="006F724D" w:rsidRDefault="006F724D">
      <w:pPr>
        <w:rPr>
          <w:sz w:val="24"/>
          <w:szCs w:val="24"/>
          <w:rtl/>
        </w:rPr>
      </w:pPr>
      <w:r>
        <w:rPr>
          <w:rFonts w:hint="cs"/>
          <w:b/>
          <w:bCs/>
          <w:sz w:val="24"/>
          <w:szCs w:val="24"/>
          <w:rtl/>
        </w:rPr>
        <w:t xml:space="preserve">רבי עובדיה </w:t>
      </w:r>
      <w:proofErr w:type="spellStart"/>
      <w:r>
        <w:rPr>
          <w:rFonts w:hint="cs"/>
          <w:b/>
          <w:bCs/>
          <w:sz w:val="24"/>
          <w:szCs w:val="24"/>
          <w:rtl/>
        </w:rPr>
        <w:t>מברטנורא</w:t>
      </w:r>
      <w:proofErr w:type="spellEnd"/>
      <w:r>
        <w:rPr>
          <w:rFonts w:hint="cs"/>
          <w:b/>
          <w:bCs/>
          <w:sz w:val="24"/>
          <w:szCs w:val="24"/>
          <w:rtl/>
        </w:rPr>
        <w:t xml:space="preserve"> והרמב"ם </w:t>
      </w:r>
      <w:r>
        <w:rPr>
          <w:rFonts w:hint="cs"/>
          <w:sz w:val="24"/>
          <w:szCs w:val="24"/>
          <w:rtl/>
        </w:rPr>
        <w:t>בפירוש המשניות (פ"י, מ"ח) כתבו כי המשנה רצתה על הדרך לפסוק הלכה שמותר לבעל להפר נדרים בשבת, בין הקשורים לשבת ובין אם לא . לכן נקטה המשנה את הדוגמא של ליל שבת</w:t>
      </w:r>
      <w:r>
        <w:rPr>
          <w:rStyle w:val="a5"/>
          <w:sz w:val="24"/>
          <w:szCs w:val="24"/>
          <w:rtl/>
        </w:rPr>
        <w:footnoteReference w:id="1"/>
      </w:r>
      <w:r>
        <w:rPr>
          <w:rFonts w:hint="cs"/>
          <w:sz w:val="24"/>
          <w:szCs w:val="24"/>
          <w:rtl/>
        </w:rPr>
        <w:t xml:space="preserve"> . </w:t>
      </w:r>
    </w:p>
    <w:p w:rsidR="006F724D" w:rsidRDefault="006F724D">
      <w:pPr>
        <w:rPr>
          <w:sz w:val="24"/>
          <w:szCs w:val="24"/>
          <w:rtl/>
        </w:rPr>
      </w:pPr>
      <w:r w:rsidRPr="006F724D">
        <w:rPr>
          <w:rFonts w:hint="cs"/>
          <w:b/>
          <w:bCs/>
          <w:sz w:val="24"/>
          <w:szCs w:val="24"/>
          <w:rtl/>
        </w:rPr>
        <w:t>תוספות יום טוב</w:t>
      </w:r>
      <w:r>
        <w:rPr>
          <w:rFonts w:hint="cs"/>
          <w:sz w:val="24"/>
          <w:szCs w:val="24"/>
          <w:rtl/>
        </w:rPr>
        <w:t xml:space="preserve"> מוסיף כי במקרה השני במשנה הרי ברור שהפרת הנדר אינה צורך השבת שהרי מדובר סמוך לחשיכה (</w:t>
      </w:r>
      <w:r w:rsidR="00320F78">
        <w:rPr>
          <w:rFonts w:hint="cs"/>
          <w:sz w:val="24"/>
          <w:szCs w:val="24"/>
          <w:rtl/>
        </w:rPr>
        <w:t xml:space="preserve">והוא כותב כי היא כבר אכלה והסירה תכשיטיה לקראת תום השבת ) ואם התרנו לבעל להפר, אות היא שבשבת מפירים גם נדרים שאינם צורך השבת (שהרי רק "ביום שמעו" יכול להפר ואם יצאו הכוכבים הרי שאיבד את זכותו להפר). </w:t>
      </w:r>
    </w:p>
    <w:p w:rsidR="00320F78" w:rsidRDefault="00CC59A9" w:rsidP="00CC59A9">
      <w:pPr>
        <w:rPr>
          <w:sz w:val="24"/>
          <w:szCs w:val="24"/>
          <w:rtl/>
        </w:rPr>
      </w:pPr>
      <w:r>
        <w:rPr>
          <w:rFonts w:hint="cs"/>
          <w:b/>
          <w:bCs/>
          <w:sz w:val="24"/>
          <w:szCs w:val="24"/>
          <w:rtl/>
        </w:rPr>
        <w:t xml:space="preserve">רש"י , </w:t>
      </w:r>
      <w:proofErr w:type="spellStart"/>
      <w:r>
        <w:rPr>
          <w:rFonts w:hint="cs"/>
          <w:b/>
          <w:bCs/>
          <w:sz w:val="24"/>
          <w:szCs w:val="24"/>
          <w:rtl/>
        </w:rPr>
        <w:t>הרא"ש</w:t>
      </w:r>
      <w:proofErr w:type="spellEnd"/>
      <w:r>
        <w:rPr>
          <w:rFonts w:hint="cs"/>
          <w:b/>
          <w:bCs/>
          <w:sz w:val="24"/>
          <w:szCs w:val="24"/>
          <w:rtl/>
        </w:rPr>
        <w:t xml:space="preserve"> </w:t>
      </w:r>
      <w:r>
        <w:rPr>
          <w:rFonts w:hint="cs"/>
          <w:sz w:val="24"/>
          <w:szCs w:val="24"/>
          <w:rtl/>
        </w:rPr>
        <w:t xml:space="preserve">וכן מובא </w:t>
      </w:r>
      <w:r w:rsidR="00320F78">
        <w:rPr>
          <w:rFonts w:hint="cs"/>
          <w:sz w:val="24"/>
          <w:szCs w:val="24"/>
          <w:rtl/>
        </w:rPr>
        <w:t xml:space="preserve">בפירוש תוספות חדשים בשם </w:t>
      </w:r>
      <w:proofErr w:type="spellStart"/>
      <w:r w:rsidR="00320F78" w:rsidRPr="00CC59A9">
        <w:rPr>
          <w:rFonts w:hint="cs"/>
          <w:b/>
          <w:bCs/>
          <w:sz w:val="24"/>
          <w:szCs w:val="24"/>
          <w:rtl/>
        </w:rPr>
        <w:t>מהרש"ח</w:t>
      </w:r>
      <w:proofErr w:type="spellEnd"/>
      <w:r w:rsidR="00320F78">
        <w:rPr>
          <w:rStyle w:val="a5"/>
          <w:sz w:val="24"/>
          <w:szCs w:val="24"/>
          <w:rtl/>
        </w:rPr>
        <w:footnoteReference w:id="2"/>
      </w:r>
      <w:r w:rsidR="008A078D">
        <w:rPr>
          <w:rFonts w:hint="cs"/>
          <w:sz w:val="24"/>
          <w:szCs w:val="24"/>
          <w:rtl/>
        </w:rPr>
        <w:t xml:space="preserve"> כי המשנה נקטה ליל שבת כדי לחדש לנו שהלכות נדרים כהלכות שבת , היום הולך אחרי הלילה ולא כמו בקודשים שהלילה הולך אחרי היום ("יום ולילה עד חצות"). </w:t>
      </w:r>
    </w:p>
    <w:p w:rsidR="00CC59A9" w:rsidRDefault="00CC59A9" w:rsidP="00CC59A9">
      <w:pPr>
        <w:rPr>
          <w:sz w:val="24"/>
          <w:szCs w:val="24"/>
          <w:rtl/>
        </w:rPr>
      </w:pPr>
      <w:r>
        <w:rPr>
          <w:rFonts w:hint="cs"/>
          <w:sz w:val="24"/>
          <w:szCs w:val="24"/>
          <w:rtl/>
        </w:rPr>
        <w:t xml:space="preserve">בספר </w:t>
      </w:r>
      <w:r>
        <w:rPr>
          <w:rFonts w:hint="cs"/>
          <w:b/>
          <w:bCs/>
          <w:sz w:val="24"/>
          <w:szCs w:val="24"/>
          <w:rtl/>
        </w:rPr>
        <w:t xml:space="preserve">ידות נדרים </w:t>
      </w:r>
      <w:r>
        <w:rPr>
          <w:rStyle w:val="a5"/>
          <w:b/>
          <w:bCs/>
          <w:sz w:val="24"/>
          <w:szCs w:val="24"/>
          <w:rtl/>
        </w:rPr>
        <w:footnoteReference w:id="3"/>
      </w:r>
      <w:r w:rsidR="006B4F6A">
        <w:rPr>
          <w:rFonts w:hint="cs"/>
          <w:b/>
          <w:bCs/>
          <w:sz w:val="24"/>
          <w:szCs w:val="24"/>
          <w:rtl/>
        </w:rPr>
        <w:t xml:space="preserve"> </w:t>
      </w:r>
      <w:r w:rsidR="006B4F6A">
        <w:rPr>
          <w:rFonts w:hint="cs"/>
          <w:sz w:val="24"/>
          <w:szCs w:val="24"/>
          <w:rtl/>
        </w:rPr>
        <w:t xml:space="preserve">כותב כי החידוש בשבת הוא שלא נאמר כי תוספת שבת כשבת ולכן יכול להפר עד זמן צאת השבת בלוחות , </w:t>
      </w:r>
      <w:proofErr w:type="spellStart"/>
      <w:r w:rsidR="006B4F6A">
        <w:rPr>
          <w:rFonts w:hint="cs"/>
          <w:sz w:val="24"/>
          <w:szCs w:val="24"/>
          <w:rtl/>
        </w:rPr>
        <w:t>קמ"ל</w:t>
      </w:r>
      <w:proofErr w:type="spellEnd"/>
      <w:r w:rsidR="006B4F6A">
        <w:rPr>
          <w:rFonts w:hint="cs"/>
          <w:sz w:val="24"/>
          <w:szCs w:val="24"/>
          <w:rtl/>
        </w:rPr>
        <w:t xml:space="preserve"> שרק עד צאת הכוכבים יכול להפר ולא  אחר כך. </w:t>
      </w:r>
    </w:p>
    <w:p w:rsidR="006B4F6A" w:rsidRDefault="00E560A3" w:rsidP="00CC59A9">
      <w:pPr>
        <w:rPr>
          <w:sz w:val="24"/>
          <w:szCs w:val="24"/>
          <w:rtl/>
        </w:rPr>
      </w:pPr>
      <w:r>
        <w:rPr>
          <w:rFonts w:hint="cs"/>
          <w:sz w:val="24"/>
          <w:szCs w:val="24"/>
          <w:rtl/>
        </w:rPr>
        <w:t>והסבר נוסף כתב בספר שלמי נדרים</w:t>
      </w:r>
      <w:r>
        <w:rPr>
          <w:rStyle w:val="a5"/>
          <w:sz w:val="24"/>
          <w:szCs w:val="24"/>
          <w:rtl/>
        </w:rPr>
        <w:footnoteReference w:id="4"/>
      </w:r>
      <w:r>
        <w:rPr>
          <w:rFonts w:hint="cs"/>
          <w:sz w:val="24"/>
          <w:szCs w:val="24"/>
          <w:rtl/>
        </w:rPr>
        <w:t>. אומנם ההלכה היא שבשבת יכול הבעל להפר את הנדר אך שמא היינו אומרים שאסור לה למשל לאכול מהפרי שממנו נדרה, שהרי בכניסת שבת היה הפרי אסור עליה ובגדר מוקצה  "</w:t>
      </w:r>
      <w:proofErr w:type="spellStart"/>
      <w:r>
        <w:rPr>
          <w:rFonts w:hint="cs"/>
          <w:sz w:val="24"/>
          <w:szCs w:val="24"/>
          <w:rtl/>
        </w:rPr>
        <w:t>ומיגו</w:t>
      </w:r>
      <w:proofErr w:type="spellEnd"/>
      <w:r>
        <w:rPr>
          <w:rFonts w:hint="cs"/>
          <w:sz w:val="24"/>
          <w:szCs w:val="24"/>
          <w:rtl/>
        </w:rPr>
        <w:t xml:space="preserve"> </w:t>
      </w:r>
      <w:proofErr w:type="spellStart"/>
      <w:r>
        <w:rPr>
          <w:rFonts w:hint="cs"/>
          <w:sz w:val="24"/>
          <w:szCs w:val="24"/>
          <w:rtl/>
        </w:rPr>
        <w:t>שאתקצאי</w:t>
      </w:r>
      <w:proofErr w:type="spellEnd"/>
      <w:r>
        <w:rPr>
          <w:rFonts w:hint="cs"/>
          <w:sz w:val="24"/>
          <w:szCs w:val="24"/>
          <w:rtl/>
        </w:rPr>
        <w:t xml:space="preserve"> לבית השמשות </w:t>
      </w:r>
      <w:proofErr w:type="spellStart"/>
      <w:r>
        <w:rPr>
          <w:rFonts w:hint="cs"/>
          <w:sz w:val="24"/>
          <w:szCs w:val="24"/>
          <w:rtl/>
        </w:rPr>
        <w:t>אתקצאי</w:t>
      </w:r>
      <w:proofErr w:type="spellEnd"/>
      <w:r>
        <w:rPr>
          <w:rFonts w:hint="cs"/>
          <w:sz w:val="24"/>
          <w:szCs w:val="24"/>
          <w:rtl/>
        </w:rPr>
        <w:t xml:space="preserve"> לכולא יומא" , לכן חידשה המשנה על הדרך שהיא מותרת </w:t>
      </w:r>
      <w:proofErr w:type="spellStart"/>
      <w:r>
        <w:rPr>
          <w:rFonts w:hint="cs"/>
          <w:sz w:val="24"/>
          <w:szCs w:val="24"/>
          <w:rtl/>
        </w:rPr>
        <w:t>מייד</w:t>
      </w:r>
      <w:proofErr w:type="spellEnd"/>
      <w:r>
        <w:rPr>
          <w:rFonts w:hint="cs"/>
          <w:sz w:val="24"/>
          <w:szCs w:val="24"/>
          <w:rtl/>
        </w:rPr>
        <w:t xml:space="preserve"> </w:t>
      </w:r>
      <w:proofErr w:type="spellStart"/>
      <w:r>
        <w:rPr>
          <w:rFonts w:hint="cs"/>
          <w:sz w:val="24"/>
          <w:szCs w:val="24"/>
          <w:rtl/>
        </w:rPr>
        <w:t>להנות</w:t>
      </w:r>
      <w:proofErr w:type="spellEnd"/>
      <w:r>
        <w:rPr>
          <w:rFonts w:hint="cs"/>
          <w:sz w:val="24"/>
          <w:szCs w:val="24"/>
          <w:rtl/>
        </w:rPr>
        <w:t xml:space="preserve"> מהפרי כאשר הבעל מפר בשבת. </w:t>
      </w:r>
    </w:p>
    <w:p w:rsidR="00B26BA4" w:rsidRDefault="00B26BA4" w:rsidP="00CC59A9">
      <w:pPr>
        <w:rPr>
          <w:sz w:val="24"/>
          <w:szCs w:val="24"/>
          <w:rtl/>
        </w:rPr>
      </w:pPr>
      <w:r>
        <w:rPr>
          <w:rFonts w:hint="cs"/>
          <w:sz w:val="24"/>
          <w:szCs w:val="24"/>
          <w:rtl/>
        </w:rPr>
        <w:t xml:space="preserve">ובקובץ </w:t>
      </w:r>
      <w:r>
        <w:rPr>
          <w:rFonts w:hint="cs"/>
          <w:b/>
          <w:bCs/>
          <w:sz w:val="24"/>
          <w:szCs w:val="24"/>
          <w:rtl/>
        </w:rPr>
        <w:t xml:space="preserve">גיליון הפרשה </w:t>
      </w:r>
      <w:r>
        <w:rPr>
          <w:rFonts w:hint="cs"/>
          <w:sz w:val="24"/>
          <w:szCs w:val="24"/>
          <w:rtl/>
        </w:rPr>
        <w:t>(</w:t>
      </w:r>
      <w:r w:rsidR="00F8649B">
        <w:rPr>
          <w:rFonts w:hint="cs"/>
          <w:sz w:val="24"/>
          <w:szCs w:val="24"/>
          <w:rtl/>
        </w:rPr>
        <w:t xml:space="preserve">גיליון </w:t>
      </w:r>
      <w:proofErr w:type="spellStart"/>
      <w:r w:rsidR="00F8649B">
        <w:rPr>
          <w:rFonts w:hint="cs"/>
          <w:sz w:val="24"/>
          <w:szCs w:val="24"/>
          <w:rtl/>
        </w:rPr>
        <w:t>מז</w:t>
      </w:r>
      <w:proofErr w:type="spellEnd"/>
      <w:r w:rsidR="00F8649B">
        <w:rPr>
          <w:rFonts w:hint="cs"/>
          <w:sz w:val="24"/>
          <w:szCs w:val="24"/>
          <w:rtl/>
        </w:rPr>
        <w:t xml:space="preserve">, שנת תשס"ח) ראיתי הסבר בכיוון ההפוך. החידוש הוא שאפילו אם </w:t>
      </w:r>
      <w:proofErr w:type="spellStart"/>
      <w:r w:rsidR="00F8649B">
        <w:rPr>
          <w:rFonts w:hint="cs"/>
          <w:sz w:val="24"/>
          <w:szCs w:val="24"/>
          <w:rtl/>
        </w:rPr>
        <w:t>האשה</w:t>
      </w:r>
      <w:proofErr w:type="spellEnd"/>
      <w:r w:rsidR="00F8649B">
        <w:rPr>
          <w:rFonts w:hint="cs"/>
          <w:sz w:val="24"/>
          <w:szCs w:val="24"/>
          <w:rtl/>
        </w:rPr>
        <w:t xml:space="preserve"> קיבלה שבת מבעוד יום , הבעל יכול להפר לה רק עד צאת הכוכבים של שבת קודש ולא </w:t>
      </w:r>
      <w:proofErr w:type="spellStart"/>
      <w:r w:rsidR="00F8649B">
        <w:rPr>
          <w:rFonts w:hint="cs"/>
          <w:sz w:val="24"/>
          <w:szCs w:val="24"/>
          <w:rtl/>
        </w:rPr>
        <w:t>אמרינן</w:t>
      </w:r>
      <w:proofErr w:type="spellEnd"/>
      <w:r w:rsidR="00F8649B">
        <w:rPr>
          <w:rFonts w:hint="cs"/>
          <w:sz w:val="24"/>
          <w:szCs w:val="24"/>
          <w:rtl/>
        </w:rPr>
        <w:t xml:space="preserve"> שכיוון שבשבילה התחילה השבת הרי שיכול להפר לה עד מוצאי שבת , מאחר שלא נקבע הדבר אלא לפי הבעל השומע והוא הרי לא קיבל שבת עדיין.</w:t>
      </w:r>
    </w:p>
    <w:p w:rsidR="00F8649B" w:rsidRPr="00B26BA4" w:rsidRDefault="00F8649B" w:rsidP="00CC59A9">
      <w:pPr>
        <w:rPr>
          <w:sz w:val="24"/>
          <w:szCs w:val="24"/>
          <w:rtl/>
        </w:rPr>
      </w:pPr>
      <w:r>
        <w:rPr>
          <w:rFonts w:hint="cs"/>
          <w:sz w:val="24"/>
          <w:szCs w:val="24"/>
          <w:rtl/>
        </w:rPr>
        <w:t xml:space="preserve">ויש לעיין מה הדין לפי זה אם הבעל קיבל  שבת מבעוד יום האם הדבר בשבילו כאילו התחלף יום ואינו יכול להפר או כיוון שלעולם כולו עדיין לא צאת הכוכבים עדיין יכול להפר. </w:t>
      </w:r>
      <w:bookmarkStart w:id="0" w:name="_GoBack"/>
      <w:bookmarkEnd w:id="0"/>
    </w:p>
    <w:p w:rsidR="0095616D" w:rsidRDefault="0095616D" w:rsidP="00CC59A9">
      <w:pPr>
        <w:rPr>
          <w:rFonts w:cs="Guttman Yad" w:hint="cs"/>
          <w:b/>
          <w:bCs/>
          <w:sz w:val="24"/>
          <w:szCs w:val="24"/>
          <w:rtl/>
        </w:rPr>
      </w:pPr>
      <w:r>
        <w:rPr>
          <w:rFonts w:cs="Guttman Yad" w:hint="cs"/>
          <w:b/>
          <w:bCs/>
          <w:sz w:val="24"/>
          <w:szCs w:val="24"/>
          <w:rtl/>
        </w:rPr>
        <w:t>פסק הרמב"ם</w:t>
      </w:r>
    </w:p>
    <w:p w:rsidR="0095616D" w:rsidRDefault="0095616D" w:rsidP="00CC59A9">
      <w:pPr>
        <w:rPr>
          <w:rFonts w:asciiTheme="minorBidi" w:hAnsiTheme="minorBidi"/>
          <w:sz w:val="24"/>
          <w:szCs w:val="24"/>
          <w:rtl/>
        </w:rPr>
      </w:pPr>
      <w:r>
        <w:rPr>
          <w:rFonts w:asciiTheme="minorBidi" w:hAnsiTheme="minorBidi" w:hint="cs"/>
          <w:b/>
          <w:bCs/>
          <w:sz w:val="24"/>
          <w:szCs w:val="24"/>
          <w:rtl/>
        </w:rPr>
        <w:t xml:space="preserve">הרמב"ם </w:t>
      </w:r>
      <w:r>
        <w:rPr>
          <w:rFonts w:asciiTheme="minorBidi" w:hAnsiTheme="minorBidi" w:hint="cs"/>
          <w:sz w:val="24"/>
          <w:szCs w:val="24"/>
          <w:rtl/>
        </w:rPr>
        <w:t xml:space="preserve">(נדרים </w:t>
      </w:r>
      <w:proofErr w:type="spellStart"/>
      <w:r>
        <w:rPr>
          <w:rFonts w:asciiTheme="minorBidi" w:hAnsiTheme="minorBidi" w:hint="cs"/>
          <w:sz w:val="24"/>
          <w:szCs w:val="24"/>
          <w:rtl/>
        </w:rPr>
        <w:t>פ"יב</w:t>
      </w:r>
      <w:proofErr w:type="spellEnd"/>
      <w:r>
        <w:rPr>
          <w:rFonts w:asciiTheme="minorBidi" w:hAnsiTheme="minorBidi" w:hint="cs"/>
          <w:sz w:val="24"/>
          <w:szCs w:val="24"/>
          <w:rtl/>
        </w:rPr>
        <w:t>, ה"טו) שבדרך כלל נאמן מאוד ללשון המשנה והגמרא, פוסק שהפרת נדרים היא עד החשכה של יום הנדר, אך משנה את הדוגמא ובמקום נדרה בשבת כותב הרמב"ם:</w:t>
      </w:r>
    </w:p>
    <w:p w:rsidR="00CC59A9" w:rsidRDefault="0095616D" w:rsidP="0095616D">
      <w:pPr>
        <w:rPr>
          <w:sz w:val="24"/>
          <w:szCs w:val="24"/>
          <w:rtl/>
        </w:rPr>
      </w:pPr>
      <w:r w:rsidRPr="0095616D">
        <w:rPr>
          <w:rFonts w:cs="Arial"/>
          <w:sz w:val="24"/>
          <w:szCs w:val="24"/>
          <w:rtl/>
        </w:rPr>
        <w:lastRenderedPageBreak/>
        <w:t xml:space="preserve">כיצד נדרה </w:t>
      </w:r>
      <w:proofErr w:type="spellStart"/>
      <w:r w:rsidRPr="0095616D">
        <w:rPr>
          <w:rFonts w:cs="Arial"/>
          <w:sz w:val="24"/>
          <w:szCs w:val="24"/>
          <w:rtl/>
        </w:rPr>
        <w:t>בתחלת</w:t>
      </w:r>
      <w:proofErr w:type="spellEnd"/>
      <w:r w:rsidRPr="0095616D">
        <w:rPr>
          <w:rFonts w:cs="Arial"/>
          <w:sz w:val="24"/>
          <w:szCs w:val="24"/>
          <w:rtl/>
        </w:rPr>
        <w:t xml:space="preserve"> ליל שני הרי מפר אותה הלילה וכל יום שני, נדרה ביום שני </w:t>
      </w:r>
      <w:proofErr w:type="spellStart"/>
      <w:r w:rsidRPr="0095616D">
        <w:rPr>
          <w:rFonts w:cs="Arial"/>
          <w:sz w:val="24"/>
          <w:szCs w:val="24"/>
          <w:rtl/>
        </w:rPr>
        <w:t>בתחלת</w:t>
      </w:r>
      <w:proofErr w:type="spellEnd"/>
      <w:r w:rsidRPr="0095616D">
        <w:rPr>
          <w:rFonts w:cs="Arial"/>
          <w:sz w:val="24"/>
          <w:szCs w:val="24"/>
          <w:rtl/>
        </w:rPr>
        <w:t xml:space="preserve"> היום מפר כל אותו היום</w:t>
      </w:r>
    </w:p>
    <w:p w:rsidR="00CC59A9" w:rsidRDefault="0095616D" w:rsidP="00B26BA4">
      <w:pPr>
        <w:rPr>
          <w:sz w:val="24"/>
          <w:szCs w:val="24"/>
          <w:rtl/>
        </w:rPr>
      </w:pPr>
      <w:r>
        <w:rPr>
          <w:rFonts w:hint="cs"/>
          <w:sz w:val="24"/>
          <w:szCs w:val="24"/>
          <w:rtl/>
        </w:rPr>
        <w:t xml:space="preserve">ויש לשאול מדוע שינה הרמב"ם ולא כתב את הדוגמא </w:t>
      </w:r>
      <w:r w:rsidR="00B26BA4">
        <w:rPr>
          <w:rFonts w:hint="cs"/>
          <w:sz w:val="24"/>
          <w:szCs w:val="24"/>
          <w:rtl/>
        </w:rPr>
        <w:t xml:space="preserve">של המשנה כלומר שהיא נדרה בשבת. </w:t>
      </w:r>
    </w:p>
    <w:p w:rsidR="00B26BA4" w:rsidRDefault="00B26BA4" w:rsidP="00B26BA4">
      <w:pPr>
        <w:rPr>
          <w:rFonts w:hint="cs"/>
          <w:sz w:val="24"/>
          <w:szCs w:val="24"/>
          <w:rtl/>
        </w:rPr>
      </w:pPr>
      <w:r>
        <w:rPr>
          <w:rFonts w:hint="cs"/>
          <w:sz w:val="24"/>
          <w:szCs w:val="24"/>
          <w:rtl/>
        </w:rPr>
        <w:t xml:space="preserve">אפשר לומר כי המשנה נקטה דווקא שבת כי  רצתה להכריע  את ההלכה ולפסוק שמפירים נדרים בשבת (כמו שכתב הרמב"ם עצמו בפירוש המשניות), אך הרמב"ם כפוסק הלכה "משוחרר" מהשיקול הזה , כי בפרק הבא הוא ממילא יכתוב שמפירים נדרים בשבת. אך עדיין יש להקשות מדוע הרמב"ם כתב דוגמא דווקא מיום שני. </w:t>
      </w:r>
    </w:p>
    <w:p w:rsidR="00B26BA4" w:rsidRDefault="00B26BA4" w:rsidP="00B26BA4">
      <w:pPr>
        <w:rPr>
          <w:sz w:val="24"/>
          <w:szCs w:val="24"/>
          <w:rtl/>
        </w:rPr>
      </w:pPr>
      <w:r>
        <w:rPr>
          <w:rFonts w:hint="cs"/>
          <w:sz w:val="24"/>
          <w:szCs w:val="24"/>
          <w:rtl/>
        </w:rPr>
        <w:t xml:space="preserve"> </w:t>
      </w:r>
    </w:p>
    <w:p w:rsidR="00B26BA4" w:rsidRPr="00320F78" w:rsidRDefault="00B26BA4" w:rsidP="00B26BA4">
      <w:pPr>
        <w:rPr>
          <w:sz w:val="24"/>
          <w:szCs w:val="24"/>
          <w:rtl/>
        </w:rPr>
      </w:pPr>
    </w:p>
    <w:p w:rsidR="006F724D" w:rsidRDefault="006F724D">
      <w:pPr>
        <w:rPr>
          <w:sz w:val="24"/>
          <w:szCs w:val="24"/>
          <w:rtl/>
        </w:rPr>
      </w:pPr>
    </w:p>
    <w:p w:rsidR="006F724D" w:rsidRPr="006F724D" w:rsidRDefault="006F724D">
      <w:pPr>
        <w:rPr>
          <w:sz w:val="24"/>
          <w:szCs w:val="24"/>
        </w:rPr>
      </w:pPr>
    </w:p>
    <w:sectPr w:rsidR="006F724D" w:rsidRPr="006F724D"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24" w:rsidRDefault="00854C24" w:rsidP="006F724D">
      <w:pPr>
        <w:spacing w:after="0" w:line="240" w:lineRule="auto"/>
      </w:pPr>
      <w:r>
        <w:separator/>
      </w:r>
    </w:p>
  </w:endnote>
  <w:endnote w:type="continuationSeparator" w:id="0">
    <w:p w:rsidR="00854C24" w:rsidRDefault="00854C24" w:rsidP="006F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24" w:rsidRDefault="00854C24" w:rsidP="006F724D">
      <w:pPr>
        <w:spacing w:after="0" w:line="240" w:lineRule="auto"/>
      </w:pPr>
      <w:r>
        <w:separator/>
      </w:r>
    </w:p>
  </w:footnote>
  <w:footnote w:type="continuationSeparator" w:id="0">
    <w:p w:rsidR="00854C24" w:rsidRDefault="00854C24" w:rsidP="006F724D">
      <w:pPr>
        <w:spacing w:after="0" w:line="240" w:lineRule="auto"/>
      </w:pPr>
      <w:r>
        <w:continuationSeparator/>
      </w:r>
    </w:p>
  </w:footnote>
  <w:footnote w:id="1">
    <w:p w:rsidR="006F724D" w:rsidRDefault="006F724D">
      <w:pPr>
        <w:pStyle w:val="a3"/>
        <w:rPr>
          <w:rFonts w:hint="cs"/>
        </w:rPr>
      </w:pPr>
      <w:r>
        <w:rPr>
          <w:rStyle w:val="a5"/>
        </w:rPr>
        <w:footnoteRef/>
      </w:r>
      <w:r>
        <w:rPr>
          <w:rtl/>
        </w:rPr>
        <w:t xml:space="preserve"> </w:t>
      </w:r>
      <w:r>
        <w:rPr>
          <w:rFonts w:hint="cs"/>
          <w:rtl/>
        </w:rPr>
        <w:t xml:space="preserve">הרמב"ם מסביר לאחר מכן כיצד היא ההפרה בשבת שלא תהיה כדרך שמפיר בחול. </w:t>
      </w:r>
    </w:p>
  </w:footnote>
  <w:footnote w:id="2">
    <w:p w:rsidR="00320F78" w:rsidRDefault="00320F78">
      <w:pPr>
        <w:pStyle w:val="a3"/>
        <w:rPr>
          <w:rFonts w:hint="cs"/>
        </w:rPr>
      </w:pPr>
      <w:r>
        <w:rPr>
          <w:rStyle w:val="a5"/>
        </w:rPr>
        <w:footnoteRef/>
      </w:r>
      <w:r>
        <w:rPr>
          <w:rtl/>
        </w:rPr>
        <w:t xml:space="preserve"> </w:t>
      </w:r>
      <w:r>
        <w:rPr>
          <w:rFonts w:hint="cs"/>
          <w:rtl/>
        </w:rPr>
        <w:t xml:space="preserve">רבי שמשון  </w:t>
      </w:r>
      <w:proofErr w:type="spellStart"/>
      <w:r>
        <w:rPr>
          <w:rFonts w:hint="cs"/>
          <w:rtl/>
        </w:rPr>
        <w:t>בלאך</w:t>
      </w:r>
      <w:proofErr w:type="spellEnd"/>
      <w:r>
        <w:rPr>
          <w:rFonts w:hint="cs"/>
          <w:rtl/>
        </w:rPr>
        <w:t xml:space="preserve"> (חסיד) , מחבר ספר נזירות שמשון, דיין </w:t>
      </w:r>
      <w:proofErr w:type="spellStart"/>
      <w:r>
        <w:rPr>
          <w:rFonts w:hint="cs"/>
          <w:rtl/>
        </w:rPr>
        <w:t>בהמבורג</w:t>
      </w:r>
      <w:proofErr w:type="spellEnd"/>
      <w:r>
        <w:rPr>
          <w:rFonts w:hint="cs"/>
          <w:rtl/>
        </w:rPr>
        <w:t>, נפטר 1737</w:t>
      </w:r>
    </w:p>
  </w:footnote>
  <w:footnote w:id="3">
    <w:p w:rsidR="00CC59A9" w:rsidRDefault="00CC59A9">
      <w:pPr>
        <w:pStyle w:val="a3"/>
        <w:rPr>
          <w:rFonts w:hint="cs"/>
        </w:rPr>
      </w:pPr>
      <w:r>
        <w:rPr>
          <w:rStyle w:val="a5"/>
        </w:rPr>
        <w:footnoteRef/>
      </w:r>
      <w:r>
        <w:rPr>
          <w:rtl/>
        </w:rPr>
        <w:t xml:space="preserve"> </w:t>
      </w:r>
      <w:r>
        <w:rPr>
          <w:rFonts w:hint="cs"/>
          <w:rtl/>
        </w:rPr>
        <w:t>רבי יהודה יודל רוזנברג, רב בפולין ובאחרית ימיו בקנדה, נפטר 1936, ההדיר ספרים רבים של חכמים קדמונים</w:t>
      </w:r>
    </w:p>
  </w:footnote>
  <w:footnote w:id="4">
    <w:p w:rsidR="00E560A3" w:rsidRDefault="00E560A3">
      <w:pPr>
        <w:pStyle w:val="a3"/>
        <w:rPr>
          <w:rFonts w:hint="cs"/>
        </w:rPr>
      </w:pPr>
      <w:r>
        <w:rPr>
          <w:rStyle w:val="a5"/>
        </w:rPr>
        <w:footnoteRef/>
      </w:r>
      <w:r>
        <w:rPr>
          <w:rtl/>
        </w:rPr>
        <w:t xml:space="preserve"> </w:t>
      </w:r>
      <w:r>
        <w:rPr>
          <w:rFonts w:hint="cs"/>
          <w:rtl/>
        </w:rPr>
        <w:t xml:space="preserve">רבי </w:t>
      </w:r>
      <w:proofErr w:type="spellStart"/>
      <w:r>
        <w:rPr>
          <w:rFonts w:hint="cs"/>
          <w:rtl/>
        </w:rPr>
        <w:t>אלכנסדר</w:t>
      </w:r>
      <w:proofErr w:type="spellEnd"/>
      <w:r>
        <w:rPr>
          <w:rFonts w:hint="cs"/>
          <w:rtl/>
        </w:rPr>
        <w:t xml:space="preserve"> </w:t>
      </w:r>
      <w:proofErr w:type="spellStart"/>
      <w:r>
        <w:rPr>
          <w:rFonts w:hint="cs"/>
          <w:rtl/>
        </w:rPr>
        <w:t>סנדר</w:t>
      </w:r>
      <w:proofErr w:type="spellEnd"/>
      <w:r>
        <w:rPr>
          <w:rFonts w:hint="cs"/>
          <w:rtl/>
        </w:rPr>
        <w:t xml:space="preserve"> קפלן, רב העיר </w:t>
      </w:r>
      <w:proofErr w:type="spellStart"/>
      <w:r>
        <w:rPr>
          <w:rFonts w:hint="cs"/>
          <w:rtl/>
        </w:rPr>
        <w:t>קופישוק</w:t>
      </w:r>
      <w:proofErr w:type="spellEnd"/>
      <w:r>
        <w:rPr>
          <w:rFonts w:hint="cs"/>
          <w:rtl/>
        </w:rPr>
        <w:t xml:space="preserve"> כארבעים שנה. נפטר 1884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71"/>
    <w:rsid w:val="00320F78"/>
    <w:rsid w:val="006B4F6A"/>
    <w:rsid w:val="006F724D"/>
    <w:rsid w:val="00762971"/>
    <w:rsid w:val="00854C24"/>
    <w:rsid w:val="008A078D"/>
    <w:rsid w:val="00905C59"/>
    <w:rsid w:val="0095616D"/>
    <w:rsid w:val="00B26BA4"/>
    <w:rsid w:val="00BB545D"/>
    <w:rsid w:val="00CC59A9"/>
    <w:rsid w:val="00E560A3"/>
    <w:rsid w:val="00F86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EECF"/>
  <w15:chartTrackingRefBased/>
  <w15:docId w15:val="{ADE5843D-487C-43FB-ACF3-C299EF24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724D"/>
    <w:pPr>
      <w:spacing w:after="0" w:line="240" w:lineRule="auto"/>
    </w:pPr>
    <w:rPr>
      <w:sz w:val="20"/>
      <w:szCs w:val="20"/>
    </w:rPr>
  </w:style>
  <w:style w:type="character" w:customStyle="1" w:styleId="a4">
    <w:name w:val="טקסט הערת שוליים תו"/>
    <w:basedOn w:val="a0"/>
    <w:link w:val="a3"/>
    <w:uiPriority w:val="99"/>
    <w:semiHidden/>
    <w:rsid w:val="006F724D"/>
    <w:rPr>
      <w:sz w:val="20"/>
      <w:szCs w:val="20"/>
    </w:rPr>
  </w:style>
  <w:style w:type="character" w:styleId="a5">
    <w:name w:val="footnote reference"/>
    <w:basedOn w:val="a0"/>
    <w:uiPriority w:val="99"/>
    <w:semiHidden/>
    <w:unhideWhenUsed/>
    <w:rsid w:val="006F7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291D-8766-4798-BC68-EA12D009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425</Words>
  <Characters>2128</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2024-01-25T18:08:00Z</dcterms:created>
  <dcterms:modified xsi:type="dcterms:W3CDTF">2024-01-25T19:14:00Z</dcterms:modified>
</cp:coreProperties>
</file>