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8226" w14:textId="0215B552" w:rsidR="00B21B5C" w:rsidRPr="00B21B5C" w:rsidRDefault="00B21B5C" w:rsidP="00B21B5C">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Pr="00B21B5C">
        <w:rPr>
          <w:rFonts w:asciiTheme="majorBidi" w:hAnsiTheme="majorBidi" w:cstheme="majorBidi"/>
          <w:sz w:val="24"/>
          <w:szCs w:val="24"/>
          <w:rtl/>
        </w:rPr>
        <w:t xml:space="preserve"> מסכת בבא מציעא דף סא עמוד ב</w:t>
      </w:r>
    </w:p>
    <w:p w14:paraId="316FEF79" w14:textId="53E64CB3" w:rsidR="00A82CF4" w:rsidRDefault="00B21B5C" w:rsidP="00B21B5C">
      <w:pPr>
        <w:spacing w:after="0" w:line="360" w:lineRule="auto"/>
        <w:rPr>
          <w:rFonts w:asciiTheme="majorBidi" w:hAnsiTheme="majorBidi" w:cstheme="majorBidi"/>
          <w:sz w:val="24"/>
          <w:szCs w:val="24"/>
          <w:rtl/>
        </w:rPr>
      </w:pPr>
      <w:r w:rsidRPr="00B21B5C">
        <w:rPr>
          <w:rFonts w:asciiTheme="majorBidi" w:hAnsiTheme="majorBidi" w:cstheme="majorBidi"/>
          <w:sz w:val="24"/>
          <w:szCs w:val="24"/>
          <w:rtl/>
        </w:rPr>
        <w:t>אמר ליה רב יימר לרב אשי: לאו דכתב רחמנא במשקלות למה לי? - אמר ליה: לטומן משקלותיו במלח. - היינו גזל מעליא הוא! - לעבור עליו משעת עשייה. תנו רבנן: לא תעשו עול במשפט במדה במשקל ובמשורה. במדה - זו מדידת קרקע, שלא ימדוד לאחד בימות החמה ולאחד בימות הגשמים. במשקל - שלא יטמין משקלותיו במלח, ובמשורה - שלא ירתיח. והלא דברים קל וחומר: ומה משורה, שהיא אחד משלשים וששה</w:t>
      </w:r>
      <w:r>
        <w:rPr>
          <w:rFonts w:asciiTheme="majorBidi" w:hAnsiTheme="majorBidi" w:cstheme="majorBidi" w:hint="cs"/>
          <w:sz w:val="24"/>
          <w:szCs w:val="24"/>
          <w:rtl/>
        </w:rPr>
        <w:t xml:space="preserve"> </w:t>
      </w:r>
      <w:r w:rsidRPr="00B21B5C">
        <w:rPr>
          <w:rFonts w:asciiTheme="majorBidi" w:hAnsiTheme="majorBidi" w:cstheme="majorBidi"/>
          <w:sz w:val="24"/>
          <w:szCs w:val="24"/>
          <w:rtl/>
        </w:rPr>
        <w:t>בלוג, הקפידה עליו תורה - קל וחומר להין, וחצי הין, ושלישית ההין, ורביעית ההין, ולוג, וחצי לוג, ורביעית הלוג.</w:t>
      </w:r>
    </w:p>
    <w:p w14:paraId="3E553265" w14:textId="3F31FB8E" w:rsidR="00873190" w:rsidRPr="0077646C" w:rsidRDefault="00DE2256" w:rsidP="0077646C">
      <w:pPr>
        <w:pStyle w:val="a9"/>
        <w:numPr>
          <w:ilvl w:val="0"/>
          <w:numId w:val="2"/>
        </w:numPr>
        <w:spacing w:after="0" w:line="360" w:lineRule="auto"/>
        <w:rPr>
          <w:rFonts w:asciiTheme="majorBidi" w:hAnsiTheme="majorBidi" w:cstheme="majorBidi"/>
          <w:b/>
          <w:bCs/>
          <w:sz w:val="24"/>
          <w:szCs w:val="24"/>
          <w:rtl/>
        </w:rPr>
      </w:pPr>
      <w:r w:rsidRPr="0077646C">
        <w:rPr>
          <w:rFonts w:asciiTheme="majorBidi" w:hAnsiTheme="majorBidi" w:cstheme="majorBidi" w:hint="cs"/>
          <w:b/>
          <w:bCs/>
          <w:sz w:val="24"/>
          <w:szCs w:val="24"/>
          <w:rtl/>
        </w:rPr>
        <w:t>הטמנה במלח</w:t>
      </w:r>
    </w:p>
    <w:p w14:paraId="412019F7" w14:textId="751052FC" w:rsidR="00873190" w:rsidRPr="00450E1F" w:rsidRDefault="00DE2256" w:rsidP="00DE2256">
      <w:pPr>
        <w:spacing w:after="0" w:line="360" w:lineRule="auto"/>
        <w:rPr>
          <w:rFonts w:ascii="David" w:hAnsi="David" w:cs="David"/>
          <w:sz w:val="24"/>
          <w:szCs w:val="24"/>
          <w:rtl/>
        </w:rPr>
      </w:pPr>
      <w:r>
        <w:rPr>
          <w:rFonts w:asciiTheme="majorBidi" w:hAnsiTheme="majorBidi" w:cs="Times New Roman" w:hint="cs"/>
          <w:sz w:val="24"/>
          <w:szCs w:val="24"/>
          <w:rtl/>
        </w:rPr>
        <w:t>כתב</w:t>
      </w:r>
      <w:r w:rsidR="00873190" w:rsidRPr="00873190">
        <w:rPr>
          <w:rFonts w:asciiTheme="majorBidi" w:hAnsiTheme="majorBidi" w:cs="Times New Roman"/>
          <w:sz w:val="24"/>
          <w:szCs w:val="24"/>
          <w:rtl/>
        </w:rPr>
        <w:t xml:space="preserve"> הרשב"</w:t>
      </w:r>
      <w:r>
        <w:rPr>
          <w:rFonts w:asciiTheme="majorBidi" w:hAnsiTheme="majorBidi" w:cs="Times New Roman" w:hint="cs"/>
          <w:sz w:val="24"/>
          <w:szCs w:val="24"/>
          <w:rtl/>
        </w:rPr>
        <w:t>א:</w:t>
      </w:r>
      <w:r>
        <w:rPr>
          <w:rFonts w:asciiTheme="majorBidi" w:hAnsiTheme="majorBidi" w:cstheme="majorBidi" w:hint="cs"/>
          <w:sz w:val="24"/>
          <w:szCs w:val="24"/>
          <w:rtl/>
        </w:rPr>
        <w:t xml:space="preserve"> "</w:t>
      </w:r>
      <w:r w:rsidR="00873190" w:rsidRPr="00873190">
        <w:rPr>
          <w:rFonts w:ascii="David" w:hAnsi="David" w:cs="David"/>
          <w:sz w:val="24"/>
          <w:szCs w:val="24"/>
          <w:rtl/>
        </w:rPr>
        <w:t xml:space="preserve">פרש"י ז"ל שהמלח מכביד את המשקולת, ולפי פירושו הזהיר הכתוב כאן </w:t>
      </w:r>
      <w:r w:rsidR="00873190" w:rsidRPr="00A57D81">
        <w:rPr>
          <w:rFonts w:ascii="David" w:hAnsi="David" w:cs="David"/>
          <w:b/>
          <w:bCs/>
          <w:sz w:val="24"/>
          <w:szCs w:val="24"/>
          <w:rtl/>
        </w:rPr>
        <w:t xml:space="preserve">ללוקח </w:t>
      </w:r>
      <w:r w:rsidR="00873190" w:rsidRPr="00873190">
        <w:rPr>
          <w:rFonts w:ascii="David" w:hAnsi="David" w:cs="David"/>
          <w:sz w:val="24"/>
          <w:szCs w:val="24"/>
          <w:rtl/>
        </w:rPr>
        <w:t>כשישקול לעצמו לא יטמין משקלותיו במלח, ואינו מחוור</w:t>
      </w:r>
      <w:r w:rsidR="0077646C">
        <w:rPr>
          <w:rFonts w:ascii="David" w:hAnsi="David" w:cs="David" w:hint="cs"/>
          <w:sz w:val="24"/>
          <w:szCs w:val="24"/>
          <w:rtl/>
        </w:rPr>
        <w:t>,</w:t>
      </w:r>
      <w:r w:rsidR="00873190" w:rsidRPr="00873190">
        <w:rPr>
          <w:rFonts w:ascii="David" w:hAnsi="David" w:cs="David"/>
          <w:sz w:val="24"/>
          <w:szCs w:val="24"/>
          <w:rtl/>
        </w:rPr>
        <w:t xml:space="preserve"> דפשטיה דקרא למוכר הוא דמזהר</w:t>
      </w:r>
      <w:r w:rsidR="0077646C">
        <w:rPr>
          <w:rFonts w:ascii="David" w:hAnsi="David" w:cs="David" w:hint="cs"/>
          <w:sz w:val="24"/>
          <w:szCs w:val="24"/>
          <w:rtl/>
        </w:rPr>
        <w:t>.</w:t>
      </w:r>
      <w:r w:rsidR="00873190" w:rsidRPr="00873190">
        <w:rPr>
          <w:rFonts w:ascii="David" w:hAnsi="David" w:cs="David"/>
          <w:sz w:val="24"/>
          <w:szCs w:val="24"/>
          <w:rtl/>
        </w:rPr>
        <w:t xml:space="preserve"> אלא נראין דברי ר"ת דפירש שהמלח שואב כח המשקולת ומקילן, והכי איתא בתוספתא דתניא</w:t>
      </w:r>
      <w:r w:rsidR="0077646C">
        <w:rPr>
          <w:rFonts w:ascii="David" w:hAnsi="David" w:cs="David" w:hint="cs"/>
          <w:sz w:val="24"/>
          <w:szCs w:val="24"/>
          <w:rtl/>
        </w:rPr>
        <w:t>:</w:t>
      </w:r>
      <w:r w:rsidR="00873190" w:rsidRPr="00873190">
        <w:rPr>
          <w:rFonts w:ascii="David" w:hAnsi="David" w:cs="David"/>
          <w:sz w:val="24"/>
          <w:szCs w:val="24"/>
          <w:rtl/>
        </w:rPr>
        <w:t xml:space="preserve"> לא יטמין משקלותיו במלח שהמלח שואב את המדה</w:t>
      </w:r>
      <w:r>
        <w:rPr>
          <w:rFonts w:ascii="David" w:hAnsi="David" w:cs="David" w:hint="cs"/>
          <w:sz w:val="24"/>
          <w:szCs w:val="24"/>
          <w:rtl/>
        </w:rPr>
        <w:t>"</w:t>
      </w:r>
      <w:r w:rsidR="00873190" w:rsidRPr="00873190">
        <w:rPr>
          <w:rFonts w:ascii="David" w:hAnsi="David" w:cs="David"/>
          <w:sz w:val="24"/>
          <w:szCs w:val="24"/>
          <w:rtl/>
        </w:rPr>
        <w:t>.</w:t>
      </w:r>
      <w:r w:rsidR="00450E1F">
        <w:rPr>
          <w:rFonts w:asciiTheme="majorBidi" w:hAnsiTheme="majorBidi" w:cstheme="majorBidi" w:hint="cs"/>
          <w:sz w:val="24"/>
          <w:szCs w:val="24"/>
          <w:rtl/>
        </w:rPr>
        <w:t xml:space="preserve"> הרמב"ם מנמק בדומה לרבינו תם: שמטרת הטמינה היא </w:t>
      </w:r>
      <w:r w:rsidR="00450E1F">
        <w:rPr>
          <w:rFonts w:ascii="David" w:hAnsi="David" w:cs="David" w:hint="cs"/>
          <w:sz w:val="24"/>
          <w:szCs w:val="24"/>
          <w:rtl/>
        </w:rPr>
        <w:t>"כדי שיפחתו</w:t>
      </w:r>
      <w:r w:rsidR="00450E1F">
        <w:rPr>
          <w:rStyle w:val="af0"/>
          <w:rFonts w:ascii="David" w:hAnsi="David" w:cs="David"/>
          <w:sz w:val="24"/>
          <w:szCs w:val="24"/>
          <w:rtl/>
        </w:rPr>
        <w:footnoteReference w:id="1"/>
      </w:r>
      <w:r w:rsidR="00450E1F">
        <w:rPr>
          <w:rFonts w:ascii="David" w:hAnsi="David" w:cs="David" w:hint="cs"/>
          <w:sz w:val="24"/>
          <w:szCs w:val="24"/>
          <w:rtl/>
        </w:rPr>
        <w:t xml:space="preserve">". </w:t>
      </w:r>
      <w:r w:rsidR="00450E1F">
        <w:rPr>
          <w:rFonts w:asciiTheme="majorBidi" w:hAnsiTheme="majorBidi" w:cstheme="majorBidi" w:hint="cs"/>
          <w:sz w:val="24"/>
          <w:szCs w:val="24"/>
          <w:rtl/>
        </w:rPr>
        <w:t>הרמ"ה</w:t>
      </w:r>
      <w:r w:rsidR="00450E1F">
        <w:rPr>
          <w:rStyle w:val="af0"/>
          <w:rFonts w:asciiTheme="majorBidi" w:hAnsiTheme="majorBidi" w:cstheme="majorBidi"/>
          <w:sz w:val="24"/>
          <w:szCs w:val="24"/>
          <w:rtl/>
        </w:rPr>
        <w:footnoteReference w:id="2"/>
      </w:r>
      <w:r w:rsidR="00450E1F">
        <w:rPr>
          <w:rFonts w:asciiTheme="majorBidi" w:hAnsiTheme="majorBidi" w:cstheme="majorBidi" w:hint="cs"/>
          <w:sz w:val="24"/>
          <w:szCs w:val="24"/>
          <w:rtl/>
        </w:rPr>
        <w:t xml:space="preserve"> </w:t>
      </w:r>
      <w:r w:rsidR="00450E1F" w:rsidRPr="00450E1F">
        <w:rPr>
          <w:rFonts w:asciiTheme="majorBidi" w:hAnsiTheme="majorBidi" w:cstheme="majorBidi"/>
          <w:sz w:val="24"/>
          <w:szCs w:val="24"/>
          <w:rtl/>
        </w:rPr>
        <w:t>כותב בדומה לרש"י</w:t>
      </w:r>
      <w:r w:rsidR="00450E1F">
        <w:rPr>
          <w:rFonts w:asciiTheme="majorBidi" w:hAnsiTheme="majorBidi" w:cstheme="majorBidi" w:hint="cs"/>
          <w:sz w:val="24"/>
          <w:szCs w:val="24"/>
          <w:rtl/>
        </w:rPr>
        <w:t xml:space="preserve">, שהמלח גורם למשקלות להחליד ולהוסיף משקל. </w:t>
      </w:r>
      <w:r w:rsidR="00450E1F">
        <w:rPr>
          <w:rFonts w:ascii="David" w:hAnsi="David" w:cs="David" w:hint="cs"/>
          <w:sz w:val="24"/>
          <w:szCs w:val="24"/>
          <w:rtl/>
        </w:rPr>
        <w:t>"הבית יוסף מביא את שני הפירושים, ובשולחן ערוך</w:t>
      </w:r>
      <w:r w:rsidR="00450E1F">
        <w:rPr>
          <w:rStyle w:val="af0"/>
          <w:rFonts w:ascii="David" w:hAnsi="David" w:cs="David"/>
          <w:sz w:val="24"/>
          <w:szCs w:val="24"/>
          <w:rtl/>
        </w:rPr>
        <w:footnoteReference w:id="3"/>
      </w:r>
      <w:r w:rsidR="00450E1F">
        <w:rPr>
          <w:rFonts w:ascii="David" w:hAnsi="David" w:cs="David" w:hint="cs"/>
          <w:sz w:val="24"/>
          <w:szCs w:val="24"/>
          <w:rtl/>
        </w:rPr>
        <w:t xml:space="preserve"> .. סותם את דבריו, מפני ששני הפירושים נכונים להלכה, ונחלקו רק בפירוש הברייתא</w:t>
      </w:r>
      <w:r w:rsidR="00450E1F">
        <w:rPr>
          <w:rStyle w:val="af0"/>
          <w:rFonts w:ascii="David" w:hAnsi="David" w:cs="David"/>
          <w:sz w:val="24"/>
          <w:szCs w:val="24"/>
          <w:rtl/>
        </w:rPr>
        <w:footnoteReference w:id="4"/>
      </w:r>
      <w:r w:rsidR="00450E1F">
        <w:rPr>
          <w:rFonts w:ascii="David" w:hAnsi="David" w:cs="David" w:hint="cs"/>
          <w:sz w:val="24"/>
          <w:szCs w:val="24"/>
          <w:rtl/>
        </w:rPr>
        <w:t>".</w:t>
      </w:r>
    </w:p>
    <w:p w14:paraId="5EE37FD8" w14:textId="33AD2D31" w:rsidR="00A57D81" w:rsidRPr="0077646C" w:rsidRDefault="00A57D81" w:rsidP="0077646C">
      <w:pPr>
        <w:pStyle w:val="a9"/>
        <w:numPr>
          <w:ilvl w:val="0"/>
          <w:numId w:val="2"/>
        </w:numPr>
        <w:spacing w:after="0" w:line="360" w:lineRule="auto"/>
        <w:rPr>
          <w:rFonts w:asciiTheme="majorBidi" w:hAnsiTheme="majorBidi" w:cstheme="majorBidi"/>
          <w:b/>
          <w:bCs/>
          <w:sz w:val="24"/>
          <w:szCs w:val="24"/>
          <w:rtl/>
        </w:rPr>
      </w:pPr>
      <w:r w:rsidRPr="0077646C">
        <w:rPr>
          <w:rFonts w:asciiTheme="majorBidi" w:hAnsiTheme="majorBidi" w:cstheme="majorBidi" w:hint="cs"/>
          <w:b/>
          <w:bCs/>
          <w:sz w:val="24"/>
          <w:szCs w:val="24"/>
          <w:rtl/>
        </w:rPr>
        <w:t>פחות משווה פרוטה</w:t>
      </w:r>
    </w:p>
    <w:p w14:paraId="6E980D36" w14:textId="77777777" w:rsidR="006B6E80" w:rsidRPr="001C1950" w:rsidRDefault="00094EEA" w:rsidP="006B6E80">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כתבו בעלי ה</w:t>
      </w:r>
      <w:r w:rsidR="00F26A2A" w:rsidRPr="00F26A2A">
        <w:rPr>
          <w:rFonts w:asciiTheme="majorBidi" w:hAnsiTheme="majorBidi" w:cs="Times New Roman"/>
          <w:sz w:val="24"/>
          <w:szCs w:val="24"/>
          <w:rtl/>
        </w:rPr>
        <w:t>תוספות</w:t>
      </w:r>
      <w:r>
        <w:rPr>
          <w:rFonts w:asciiTheme="majorBidi" w:hAnsiTheme="majorBidi" w:cs="Times New Roman" w:hint="cs"/>
          <w:sz w:val="24"/>
          <w:szCs w:val="24"/>
          <w:rtl/>
        </w:rPr>
        <w:t>:</w:t>
      </w:r>
      <w:r w:rsidR="00F26A2A" w:rsidRPr="00F26A2A">
        <w:rPr>
          <w:rFonts w:asciiTheme="majorBidi" w:hAnsiTheme="majorBidi" w:cs="Times New Roman"/>
          <w:sz w:val="24"/>
          <w:szCs w:val="24"/>
          <w:rtl/>
        </w:rPr>
        <w:t xml:space="preserve"> </w:t>
      </w:r>
      <w:r>
        <w:rPr>
          <w:rFonts w:ascii="David" w:hAnsi="David" w:cs="David" w:hint="cs"/>
          <w:sz w:val="24"/>
          <w:szCs w:val="24"/>
          <w:rtl/>
        </w:rPr>
        <w:t>"</w:t>
      </w:r>
      <w:r w:rsidR="00F26A2A" w:rsidRPr="00F26A2A">
        <w:rPr>
          <w:rFonts w:ascii="David" w:hAnsi="David" w:cs="David"/>
          <w:sz w:val="24"/>
          <w:szCs w:val="24"/>
          <w:rtl/>
        </w:rPr>
        <w:t>ובמשורה שלא ירתיח</w:t>
      </w:r>
      <w:r>
        <w:rPr>
          <w:rStyle w:val="af0"/>
          <w:rFonts w:ascii="David" w:hAnsi="David" w:cs="David"/>
          <w:sz w:val="24"/>
          <w:szCs w:val="24"/>
          <w:rtl/>
        </w:rPr>
        <w:footnoteReference w:id="5"/>
      </w:r>
      <w:r w:rsidR="00F26A2A" w:rsidRPr="00F26A2A">
        <w:rPr>
          <w:rFonts w:ascii="David" w:hAnsi="David" w:cs="David"/>
          <w:sz w:val="24"/>
          <w:szCs w:val="24"/>
          <w:rtl/>
        </w:rPr>
        <w:t xml:space="preserve"> - וא"ת פשיטא דגזל גמור הוא</w:t>
      </w:r>
      <w:r>
        <w:rPr>
          <w:rFonts w:ascii="David" w:hAnsi="David" w:cs="David" w:hint="cs"/>
          <w:sz w:val="24"/>
          <w:szCs w:val="24"/>
          <w:rtl/>
        </w:rPr>
        <w:t>,</w:t>
      </w:r>
      <w:r w:rsidR="00F26A2A" w:rsidRPr="00F26A2A">
        <w:rPr>
          <w:rFonts w:ascii="David" w:hAnsi="David" w:cs="David"/>
          <w:sz w:val="24"/>
          <w:szCs w:val="24"/>
          <w:rtl/>
        </w:rPr>
        <w:t xml:space="preserve"> תיפוק ליה משום לא תגזול</w:t>
      </w:r>
      <w:r>
        <w:rPr>
          <w:rFonts w:ascii="David" w:hAnsi="David" w:cs="David" w:hint="cs"/>
          <w:sz w:val="24"/>
          <w:szCs w:val="24"/>
          <w:rtl/>
        </w:rPr>
        <w:t>!</w:t>
      </w:r>
      <w:r w:rsidR="00F26A2A" w:rsidRPr="00F26A2A">
        <w:rPr>
          <w:rFonts w:ascii="David" w:hAnsi="David" w:cs="David"/>
          <w:sz w:val="24"/>
          <w:szCs w:val="24"/>
          <w:rtl/>
        </w:rPr>
        <w:t xml:space="preserve"> וי"ל דאתא קרא להתחייב משעת הרתחה ואף על פי שעדיין לא מדד</w:t>
      </w:r>
      <w:r>
        <w:rPr>
          <w:rFonts w:ascii="David" w:hAnsi="David" w:cs="David" w:hint="cs"/>
          <w:sz w:val="24"/>
          <w:szCs w:val="24"/>
          <w:rtl/>
        </w:rPr>
        <w:t>.</w:t>
      </w:r>
      <w:r w:rsidR="00F26A2A" w:rsidRPr="00F26A2A">
        <w:rPr>
          <w:rFonts w:ascii="David" w:hAnsi="David" w:cs="David"/>
          <w:sz w:val="24"/>
          <w:szCs w:val="24"/>
          <w:rtl/>
        </w:rPr>
        <w:t xml:space="preserve"> וכי האי גוונא אמרינן בריש איזהו נשך </w:t>
      </w:r>
      <w:r w:rsidR="00F26A2A" w:rsidRPr="00094EEA">
        <w:rPr>
          <w:rFonts w:ascii="David" w:hAnsi="David" w:cs="David"/>
          <w:sz w:val="18"/>
          <w:szCs w:val="18"/>
          <w:rtl/>
        </w:rPr>
        <w:t>(ב"מ דף סא:)</w:t>
      </w:r>
      <w:r w:rsidR="00F26A2A" w:rsidRPr="00F26A2A">
        <w:rPr>
          <w:rFonts w:ascii="David" w:hAnsi="David" w:cs="David"/>
          <w:sz w:val="24"/>
          <w:szCs w:val="24"/>
          <w:rtl/>
        </w:rPr>
        <w:t xml:space="preserve"> דלאו דכתיב במשקלות ל"ל</w:t>
      </w:r>
      <w:r>
        <w:rPr>
          <w:rFonts w:ascii="David" w:hAnsi="David" w:cs="David" w:hint="cs"/>
          <w:sz w:val="24"/>
          <w:szCs w:val="24"/>
          <w:rtl/>
        </w:rPr>
        <w:t>?</w:t>
      </w:r>
      <w:r w:rsidR="00F26A2A" w:rsidRPr="00F26A2A">
        <w:rPr>
          <w:rFonts w:ascii="David" w:hAnsi="David" w:cs="David"/>
          <w:sz w:val="24"/>
          <w:szCs w:val="24"/>
          <w:rtl/>
        </w:rPr>
        <w:t xml:space="preserve"> לטומן משקלותיו במלח</w:t>
      </w:r>
      <w:r>
        <w:rPr>
          <w:rFonts w:ascii="David" w:hAnsi="David" w:cs="David" w:hint="cs"/>
          <w:sz w:val="24"/>
          <w:szCs w:val="24"/>
          <w:rtl/>
        </w:rPr>
        <w:t xml:space="preserve">. </w:t>
      </w:r>
      <w:r w:rsidR="00F26A2A" w:rsidRPr="00F26A2A">
        <w:rPr>
          <w:rFonts w:ascii="David" w:hAnsi="David" w:cs="David"/>
          <w:sz w:val="24"/>
          <w:szCs w:val="24"/>
          <w:rtl/>
        </w:rPr>
        <w:t>האי גזילה מעלייתא היא</w:t>
      </w:r>
      <w:r>
        <w:rPr>
          <w:rFonts w:ascii="David" w:hAnsi="David" w:cs="David" w:hint="cs"/>
          <w:sz w:val="24"/>
          <w:szCs w:val="24"/>
          <w:rtl/>
        </w:rPr>
        <w:t>?</w:t>
      </w:r>
      <w:r w:rsidR="00F26A2A" w:rsidRPr="00F26A2A">
        <w:rPr>
          <w:rFonts w:ascii="David" w:hAnsi="David" w:cs="David"/>
          <w:sz w:val="24"/>
          <w:szCs w:val="24"/>
          <w:rtl/>
        </w:rPr>
        <w:t xml:space="preserve"> לעבור עליו </w:t>
      </w:r>
      <w:r w:rsidR="00F26A2A" w:rsidRPr="00094EEA">
        <w:rPr>
          <w:rFonts w:ascii="David" w:hAnsi="David" w:cs="David"/>
          <w:b/>
          <w:bCs/>
          <w:sz w:val="24"/>
          <w:szCs w:val="24"/>
          <w:rtl/>
        </w:rPr>
        <w:t>משעת עשייה</w:t>
      </w:r>
      <w:r>
        <w:rPr>
          <w:rStyle w:val="af0"/>
          <w:rFonts w:ascii="David" w:hAnsi="David" w:cs="David"/>
          <w:sz w:val="24"/>
          <w:szCs w:val="24"/>
          <w:rtl/>
        </w:rPr>
        <w:footnoteReference w:id="6"/>
      </w:r>
      <w:r>
        <w:rPr>
          <w:rFonts w:ascii="David" w:hAnsi="David" w:cs="David" w:hint="cs"/>
          <w:sz w:val="24"/>
          <w:szCs w:val="24"/>
          <w:rtl/>
        </w:rPr>
        <w:t>"</w:t>
      </w:r>
      <w:r w:rsidR="00F26A2A" w:rsidRPr="00F26A2A">
        <w:rPr>
          <w:rFonts w:ascii="David" w:hAnsi="David" w:cs="David"/>
          <w:sz w:val="24"/>
          <w:szCs w:val="24"/>
          <w:rtl/>
        </w:rPr>
        <w:t>.</w:t>
      </w:r>
      <w:r>
        <w:rPr>
          <w:rFonts w:asciiTheme="majorBidi" w:hAnsiTheme="majorBidi" w:cstheme="majorBidi" w:hint="cs"/>
          <w:sz w:val="24"/>
          <w:szCs w:val="24"/>
          <w:rtl/>
        </w:rPr>
        <w:t xml:space="preserve"> לפי זה האיסור קיים גם טרם שנגרם נזק ממוני אפילו בפרוטה. </w:t>
      </w:r>
      <w:r w:rsidR="006B6E80" w:rsidRPr="001C1950">
        <w:rPr>
          <w:rFonts w:asciiTheme="majorBidi" w:hAnsiTheme="majorBidi" w:cstheme="majorBidi"/>
          <w:sz w:val="24"/>
          <w:szCs w:val="24"/>
          <w:rtl/>
        </w:rPr>
        <w:t>כתב בשיעורי ר' דוד</w:t>
      </w:r>
      <w:r w:rsidR="006B6E80" w:rsidRPr="001C1950">
        <w:rPr>
          <w:rStyle w:val="af0"/>
          <w:rFonts w:asciiTheme="majorBidi" w:hAnsiTheme="majorBidi" w:cstheme="majorBidi"/>
          <w:sz w:val="24"/>
          <w:szCs w:val="24"/>
          <w:rtl/>
        </w:rPr>
        <w:footnoteReference w:id="7"/>
      </w:r>
      <w:r w:rsidR="006B6E80" w:rsidRPr="001C1950">
        <w:rPr>
          <w:rFonts w:asciiTheme="majorBidi" w:hAnsiTheme="majorBidi" w:cstheme="majorBidi"/>
          <w:sz w:val="24"/>
          <w:szCs w:val="24"/>
          <w:rtl/>
        </w:rPr>
        <w:t xml:space="preserve"> :</w:t>
      </w:r>
    </w:p>
    <w:p w14:paraId="5A3FCE0C" w14:textId="77777777" w:rsidR="006B6E80" w:rsidRPr="00094EEA" w:rsidRDefault="006B6E80" w:rsidP="006B6E80">
      <w:pPr>
        <w:pStyle w:val="a9"/>
        <w:numPr>
          <w:ilvl w:val="0"/>
          <w:numId w:val="1"/>
        </w:numPr>
        <w:spacing w:after="0" w:line="360" w:lineRule="auto"/>
        <w:rPr>
          <w:rFonts w:ascii="David" w:hAnsi="David" w:cs="David"/>
          <w:sz w:val="24"/>
          <w:szCs w:val="24"/>
          <w:rtl/>
        </w:rPr>
      </w:pPr>
      <w:r w:rsidRPr="00094EEA">
        <w:rPr>
          <w:rFonts w:ascii="David" w:hAnsi="David" w:cs="David"/>
          <w:sz w:val="24"/>
          <w:szCs w:val="24"/>
          <w:rtl/>
        </w:rPr>
        <w:t>החינוך (</w:t>
      </w:r>
      <w:r w:rsidRPr="001C1950">
        <w:rPr>
          <w:rFonts w:ascii="David" w:hAnsi="David" w:cs="David"/>
          <w:sz w:val="18"/>
          <w:szCs w:val="18"/>
          <w:rtl/>
        </w:rPr>
        <w:t>מ' רנ"ח)</w:t>
      </w:r>
      <w:r w:rsidRPr="00094EEA">
        <w:rPr>
          <w:rFonts w:ascii="David" w:hAnsi="David" w:cs="David"/>
          <w:sz w:val="24"/>
          <w:szCs w:val="24"/>
          <w:rtl/>
        </w:rPr>
        <w:t xml:space="preserve"> כתב דלאו דמדות ומשקלות עובר אף על פחות משוה פרוטה.</w:t>
      </w:r>
    </w:p>
    <w:p w14:paraId="5CD07EE5" w14:textId="664893A4" w:rsidR="006B6E80" w:rsidRPr="00094EEA" w:rsidRDefault="006B6E80" w:rsidP="006B6E80">
      <w:pPr>
        <w:pStyle w:val="a9"/>
        <w:numPr>
          <w:ilvl w:val="0"/>
          <w:numId w:val="1"/>
        </w:numPr>
        <w:spacing w:after="0" w:line="360" w:lineRule="auto"/>
        <w:rPr>
          <w:rFonts w:ascii="David" w:hAnsi="David" w:cs="David"/>
          <w:sz w:val="24"/>
          <w:szCs w:val="24"/>
          <w:rtl/>
        </w:rPr>
      </w:pPr>
      <w:r w:rsidRPr="00094EEA">
        <w:rPr>
          <w:rFonts w:ascii="David" w:hAnsi="David" w:cs="David"/>
          <w:sz w:val="24"/>
          <w:szCs w:val="24"/>
          <w:rtl/>
        </w:rPr>
        <w:t xml:space="preserve">והמנ"ח שם </w:t>
      </w:r>
      <w:r w:rsidRPr="001C1950">
        <w:rPr>
          <w:rFonts w:ascii="David" w:hAnsi="David" w:cs="David"/>
          <w:sz w:val="18"/>
          <w:szCs w:val="18"/>
          <w:rtl/>
        </w:rPr>
        <w:t>(סק"ב)</w:t>
      </w:r>
      <w:r w:rsidRPr="00094EEA">
        <w:rPr>
          <w:rFonts w:ascii="David" w:hAnsi="David" w:cs="David"/>
          <w:sz w:val="24"/>
          <w:szCs w:val="24"/>
          <w:rtl/>
        </w:rPr>
        <w:t xml:space="preserve"> הקשה עליו, דא"כ מאי פריך הגמ' הכא</w:t>
      </w:r>
      <w:r w:rsidR="0077646C">
        <w:rPr>
          <w:rFonts w:ascii="David" w:hAnsi="David" w:cs="David" w:hint="cs"/>
          <w:sz w:val="24"/>
          <w:szCs w:val="24"/>
          <w:rtl/>
        </w:rPr>
        <w:t>:</w:t>
      </w:r>
      <w:r w:rsidRPr="00094EEA">
        <w:rPr>
          <w:rFonts w:ascii="David" w:hAnsi="David" w:cs="David"/>
          <w:sz w:val="24"/>
          <w:szCs w:val="24"/>
          <w:rtl/>
        </w:rPr>
        <w:t xml:space="preserve"> </w:t>
      </w:r>
      <w:r w:rsidR="0077646C">
        <w:rPr>
          <w:rFonts w:ascii="David" w:hAnsi="David" w:cs="David" w:hint="cs"/>
          <w:sz w:val="24"/>
          <w:szCs w:val="24"/>
          <w:rtl/>
        </w:rPr>
        <w:t>'</w:t>
      </w:r>
      <w:r w:rsidRPr="00094EEA">
        <w:rPr>
          <w:rFonts w:ascii="David" w:hAnsi="David" w:cs="David"/>
          <w:sz w:val="24"/>
          <w:szCs w:val="24"/>
          <w:rtl/>
        </w:rPr>
        <w:t>לאו במשקלות למה לי</w:t>
      </w:r>
      <w:r w:rsidR="0077646C">
        <w:rPr>
          <w:rFonts w:ascii="David" w:hAnsi="David" w:cs="David" w:hint="cs"/>
          <w:sz w:val="24"/>
          <w:szCs w:val="24"/>
          <w:rtl/>
        </w:rPr>
        <w:t>?</w:t>
      </w:r>
      <w:r w:rsidRPr="00094EEA">
        <w:rPr>
          <w:rFonts w:ascii="David" w:hAnsi="David" w:cs="David"/>
          <w:sz w:val="24"/>
          <w:szCs w:val="24"/>
          <w:rtl/>
        </w:rPr>
        <w:t xml:space="preserve"> לילף מגזל ומהנהו</w:t>
      </w:r>
      <w:r w:rsidR="0077646C">
        <w:rPr>
          <w:rFonts w:ascii="David" w:hAnsi="David" w:cs="David" w:hint="cs"/>
          <w:sz w:val="24"/>
          <w:szCs w:val="24"/>
          <w:rtl/>
        </w:rPr>
        <w:t>'</w:t>
      </w:r>
      <w:r w:rsidRPr="00094EEA">
        <w:rPr>
          <w:rFonts w:ascii="David" w:hAnsi="David" w:cs="David"/>
          <w:sz w:val="24"/>
          <w:szCs w:val="24"/>
          <w:rtl/>
        </w:rPr>
        <w:t>, הא גזל וריבית אינו עובר אלא בשוה פרוטה, ושפיר איצטריך קרא במשקלות לחדש דעובר אף בפחות משו"פ.</w:t>
      </w:r>
    </w:p>
    <w:p w14:paraId="45A0FD8B" w14:textId="789218A6" w:rsidR="006B6E80" w:rsidRPr="00094EEA" w:rsidRDefault="006B6E80" w:rsidP="006B6E80">
      <w:pPr>
        <w:pStyle w:val="a9"/>
        <w:numPr>
          <w:ilvl w:val="0"/>
          <w:numId w:val="1"/>
        </w:numPr>
        <w:spacing w:after="0" w:line="360" w:lineRule="auto"/>
        <w:rPr>
          <w:rFonts w:ascii="David" w:hAnsi="David" w:cs="David"/>
          <w:sz w:val="24"/>
          <w:szCs w:val="24"/>
          <w:rtl/>
        </w:rPr>
      </w:pPr>
      <w:r w:rsidRPr="00094EEA">
        <w:rPr>
          <w:rFonts w:ascii="David" w:hAnsi="David" w:cs="David"/>
          <w:sz w:val="24"/>
          <w:szCs w:val="24"/>
          <w:rtl/>
        </w:rPr>
        <w:t>והביא דכן הרי כתבו התוס' בכתובות</w:t>
      </w:r>
      <w:r w:rsidRPr="001C1950">
        <w:rPr>
          <w:rFonts w:ascii="David" w:hAnsi="David" w:cs="David"/>
          <w:sz w:val="18"/>
          <w:szCs w:val="18"/>
          <w:rtl/>
        </w:rPr>
        <w:t xml:space="preserve"> (דף מו א) </w:t>
      </w:r>
      <w:r w:rsidRPr="00094EEA">
        <w:rPr>
          <w:rFonts w:ascii="David" w:hAnsi="David" w:cs="David"/>
          <w:sz w:val="24"/>
          <w:szCs w:val="24"/>
          <w:rtl/>
        </w:rPr>
        <w:t>להוכיח דריבית אינו בפחות משו"פ, מהא דמקשה הגמ' לעיל (</w:t>
      </w:r>
      <w:r w:rsidRPr="0077646C">
        <w:rPr>
          <w:rFonts w:ascii="David" w:hAnsi="David" w:cs="David"/>
          <w:sz w:val="18"/>
          <w:szCs w:val="18"/>
          <w:rtl/>
        </w:rPr>
        <w:t>ע"א)</w:t>
      </w:r>
      <w:r w:rsidRPr="00094EEA">
        <w:rPr>
          <w:rFonts w:ascii="David" w:hAnsi="David" w:cs="David"/>
          <w:sz w:val="24"/>
          <w:szCs w:val="24"/>
          <w:rtl/>
        </w:rPr>
        <w:t xml:space="preserve"> </w:t>
      </w:r>
      <w:r w:rsidR="0077646C">
        <w:rPr>
          <w:rFonts w:ascii="David" w:hAnsi="David" w:cs="David" w:hint="cs"/>
          <w:sz w:val="24"/>
          <w:szCs w:val="24"/>
          <w:rtl/>
        </w:rPr>
        <w:t>'</w:t>
      </w:r>
      <w:r w:rsidRPr="00094EEA">
        <w:rPr>
          <w:rFonts w:ascii="David" w:hAnsi="David" w:cs="David"/>
          <w:sz w:val="24"/>
          <w:szCs w:val="24"/>
          <w:rtl/>
        </w:rPr>
        <w:t>לאו בריבית למה לי</w:t>
      </w:r>
      <w:r w:rsidR="0077646C">
        <w:rPr>
          <w:rFonts w:ascii="David" w:hAnsi="David" w:cs="David" w:hint="cs"/>
          <w:sz w:val="24"/>
          <w:szCs w:val="24"/>
          <w:rtl/>
        </w:rPr>
        <w:t>'</w:t>
      </w:r>
      <w:r w:rsidRPr="00094EEA">
        <w:rPr>
          <w:rFonts w:ascii="David" w:hAnsi="David" w:cs="David"/>
          <w:sz w:val="24"/>
          <w:szCs w:val="24"/>
          <w:rtl/>
        </w:rPr>
        <w:t xml:space="preserve">, ואי ריבית הוי אף בפחות משו"פ, הא שפיר </w:t>
      </w:r>
      <w:r w:rsidRPr="00094EEA">
        <w:rPr>
          <w:rFonts w:ascii="David" w:hAnsi="David" w:cs="David"/>
          <w:sz w:val="24"/>
          <w:szCs w:val="24"/>
          <w:rtl/>
        </w:rPr>
        <w:lastRenderedPageBreak/>
        <w:t>איצטריך לפחות משו"פ, ומוכח דליכא ריבית בפחות מפרוטה.</w:t>
      </w:r>
      <w:r w:rsidRPr="00094EEA">
        <w:rPr>
          <w:rFonts w:ascii="David" w:hAnsi="David" w:cs="David" w:hint="cs"/>
          <w:sz w:val="24"/>
          <w:szCs w:val="24"/>
          <w:rtl/>
        </w:rPr>
        <w:t xml:space="preserve"> </w:t>
      </w:r>
      <w:r w:rsidRPr="00094EEA">
        <w:rPr>
          <w:rFonts w:ascii="David" w:hAnsi="David" w:cs="David"/>
          <w:sz w:val="24"/>
          <w:szCs w:val="24"/>
          <w:rtl/>
        </w:rPr>
        <w:t>וא"כ הרי כמו כן יש להוכיח נמי גבי משקלות דליכא לאו בפחות משו"פ.</w:t>
      </w:r>
    </w:p>
    <w:p w14:paraId="400BC7E5" w14:textId="2E5338F6" w:rsidR="006B6E80" w:rsidRPr="0077646C" w:rsidRDefault="006B6E80" w:rsidP="0077646C">
      <w:pPr>
        <w:pStyle w:val="a9"/>
        <w:numPr>
          <w:ilvl w:val="0"/>
          <w:numId w:val="1"/>
        </w:numPr>
        <w:spacing w:after="0" w:line="360" w:lineRule="auto"/>
        <w:rPr>
          <w:rFonts w:ascii="David" w:hAnsi="David" w:cs="David"/>
          <w:sz w:val="24"/>
          <w:szCs w:val="24"/>
          <w:rtl/>
        </w:rPr>
      </w:pPr>
      <w:r w:rsidRPr="00094EEA">
        <w:rPr>
          <w:rFonts w:ascii="David" w:hAnsi="David" w:cs="David"/>
          <w:sz w:val="24"/>
          <w:szCs w:val="24"/>
          <w:rtl/>
        </w:rPr>
        <w:t>ונראה ליישב</w:t>
      </w:r>
      <w:r w:rsidR="0077646C">
        <w:rPr>
          <w:rFonts w:ascii="David" w:hAnsi="David" w:cs="David" w:hint="cs"/>
          <w:sz w:val="24"/>
          <w:szCs w:val="24"/>
          <w:rtl/>
        </w:rPr>
        <w:t>,</w:t>
      </w:r>
      <w:r w:rsidRPr="00094EEA">
        <w:rPr>
          <w:rFonts w:ascii="David" w:hAnsi="David" w:cs="David"/>
          <w:sz w:val="24"/>
          <w:szCs w:val="24"/>
          <w:rtl/>
        </w:rPr>
        <w:t xml:space="preserve"> דכל מה שכתב החינוך דלאו דמשקלות הוי אף בפחות משו"פ, היינו רק </w:t>
      </w:r>
      <w:r w:rsidRPr="00094EEA">
        <w:rPr>
          <w:rFonts w:ascii="David" w:hAnsi="David" w:cs="David"/>
          <w:b/>
          <w:bCs/>
          <w:sz w:val="24"/>
          <w:szCs w:val="24"/>
          <w:rtl/>
        </w:rPr>
        <w:t>אחר מסקנת הגמ'</w:t>
      </w:r>
      <w:r>
        <w:rPr>
          <w:rFonts w:ascii="David" w:hAnsi="David" w:cs="David" w:hint="cs"/>
          <w:b/>
          <w:bCs/>
          <w:sz w:val="24"/>
          <w:szCs w:val="24"/>
          <w:rtl/>
        </w:rPr>
        <w:t>,</w:t>
      </w:r>
      <w:r w:rsidRPr="00094EEA">
        <w:rPr>
          <w:rFonts w:ascii="David" w:hAnsi="David" w:cs="David"/>
          <w:sz w:val="24"/>
          <w:szCs w:val="24"/>
          <w:rtl/>
        </w:rPr>
        <w:t xml:space="preserve"> דמשני דאיצטריך קרא לטומן משקלותיו במלח לעבור עליו </w:t>
      </w:r>
      <w:r w:rsidRPr="00094EEA">
        <w:rPr>
          <w:rFonts w:ascii="David" w:hAnsi="David" w:cs="David"/>
          <w:b/>
          <w:bCs/>
          <w:sz w:val="24"/>
          <w:szCs w:val="24"/>
          <w:rtl/>
        </w:rPr>
        <w:t>משעת עשיה.</w:t>
      </w:r>
      <w:r w:rsidR="0077646C">
        <w:rPr>
          <w:rFonts w:ascii="David" w:hAnsi="David" w:cs="David" w:hint="cs"/>
          <w:b/>
          <w:bCs/>
          <w:sz w:val="24"/>
          <w:szCs w:val="24"/>
          <w:rtl/>
        </w:rPr>
        <w:t xml:space="preserve"> </w:t>
      </w:r>
      <w:r w:rsidRPr="0077646C">
        <w:rPr>
          <w:rFonts w:ascii="David" w:hAnsi="David" w:cs="David"/>
          <w:sz w:val="24"/>
          <w:szCs w:val="24"/>
          <w:rtl/>
        </w:rPr>
        <w:t>דמזה מוכח דלאו דמשקלות אינו מחמת גזילת הממון, דא"כ אמאי יעבור בשעת עשיה דהא עדיין לא גזל.</w:t>
      </w:r>
      <w:r w:rsidRPr="0077646C">
        <w:rPr>
          <w:rFonts w:ascii="David" w:hAnsi="David" w:cs="David" w:hint="cs"/>
          <w:sz w:val="24"/>
          <w:szCs w:val="24"/>
          <w:rtl/>
        </w:rPr>
        <w:t xml:space="preserve"> </w:t>
      </w:r>
      <w:r w:rsidRPr="0077646C">
        <w:rPr>
          <w:rFonts w:ascii="David" w:hAnsi="David" w:cs="David"/>
          <w:sz w:val="24"/>
          <w:szCs w:val="24"/>
          <w:rtl/>
        </w:rPr>
        <w:t>אלא מוכרח דהאיסור הוי מה דעושה משקל שקר, וא"כ בזה אין שום חילוק בין פרוטה לפחות משו"פ, [דדוקא לגבי ממונות פחות מש"פ לאו ממון הוא, אבל לגבי אי הוי משקל שקר ודאי אין חילוק] ולכן כתב דהלאו הוי אף בפחות משו"פ.</w:t>
      </w:r>
    </w:p>
    <w:p w14:paraId="1F00829F" w14:textId="1C36F5DC" w:rsidR="006B6E80" w:rsidRPr="008C281A" w:rsidRDefault="006B6E80" w:rsidP="006B6E80">
      <w:pPr>
        <w:spacing w:after="0" w:line="360" w:lineRule="auto"/>
        <w:rPr>
          <w:rFonts w:ascii="David" w:hAnsi="David" w:cs="David"/>
          <w:sz w:val="24"/>
          <w:szCs w:val="24"/>
          <w:rtl/>
        </w:rPr>
      </w:pPr>
      <w:r w:rsidRPr="008C281A">
        <w:rPr>
          <w:rFonts w:ascii="David" w:hAnsi="David" w:cs="David"/>
          <w:sz w:val="24"/>
          <w:szCs w:val="24"/>
          <w:rtl/>
        </w:rPr>
        <w:t>ואה"נ ד</w:t>
      </w:r>
      <w:r w:rsidRPr="00094EEA">
        <w:rPr>
          <w:rFonts w:ascii="David" w:hAnsi="David" w:cs="David"/>
          <w:b/>
          <w:bCs/>
          <w:sz w:val="24"/>
          <w:szCs w:val="24"/>
          <w:rtl/>
        </w:rPr>
        <w:t xml:space="preserve">לפי הס"ד </w:t>
      </w:r>
      <w:r w:rsidRPr="008C281A">
        <w:rPr>
          <w:rFonts w:ascii="David" w:hAnsi="David" w:cs="David"/>
          <w:sz w:val="24"/>
          <w:szCs w:val="24"/>
          <w:rtl/>
        </w:rPr>
        <w:t>בגמ' דמקשה ל</w:t>
      </w:r>
      <w:r w:rsidR="0077646C">
        <w:rPr>
          <w:rFonts w:ascii="David" w:hAnsi="David" w:cs="David" w:hint="cs"/>
          <w:sz w:val="24"/>
          <w:szCs w:val="24"/>
          <w:rtl/>
        </w:rPr>
        <w:t>'</w:t>
      </w:r>
      <w:r w:rsidRPr="008C281A">
        <w:rPr>
          <w:rFonts w:ascii="David" w:hAnsi="David" w:cs="David"/>
          <w:sz w:val="24"/>
          <w:szCs w:val="24"/>
          <w:rtl/>
        </w:rPr>
        <w:t>או דמשקלות ל"ל</w:t>
      </w:r>
      <w:r w:rsidR="0077646C">
        <w:rPr>
          <w:rFonts w:ascii="David" w:hAnsi="David" w:cs="David" w:hint="cs"/>
          <w:sz w:val="24"/>
          <w:szCs w:val="24"/>
          <w:rtl/>
        </w:rPr>
        <w:t>?'</w:t>
      </w:r>
      <w:r w:rsidRPr="008C281A">
        <w:rPr>
          <w:rFonts w:ascii="David" w:hAnsi="David" w:cs="David"/>
          <w:sz w:val="24"/>
          <w:szCs w:val="24"/>
          <w:rtl/>
        </w:rPr>
        <w:t xml:space="preserve">, הוה סבר דלאו דמשקלות הוי האיסור מחמת הגזילה כמו כל גזל, ולפי"ז ודאי </w:t>
      </w:r>
      <w:r w:rsidRPr="00094EEA">
        <w:rPr>
          <w:rFonts w:ascii="David" w:hAnsi="David" w:cs="David"/>
          <w:b/>
          <w:bCs/>
          <w:sz w:val="24"/>
          <w:szCs w:val="24"/>
          <w:rtl/>
        </w:rPr>
        <w:t>דהוי האיסור רק בפרוטה</w:t>
      </w:r>
      <w:r w:rsidRPr="008C281A">
        <w:rPr>
          <w:rFonts w:ascii="David" w:hAnsi="David" w:cs="David"/>
          <w:sz w:val="24"/>
          <w:szCs w:val="24"/>
          <w:rtl/>
        </w:rPr>
        <w:t>, דפחות מפרוטה לאו ממון הוא, ולכן פריך שפיר לאו דמשקלות למה לי</w:t>
      </w:r>
      <w:r w:rsidR="0077646C">
        <w:rPr>
          <w:rFonts w:ascii="David" w:hAnsi="David" w:cs="David" w:hint="cs"/>
          <w:sz w:val="24"/>
          <w:szCs w:val="24"/>
          <w:rtl/>
        </w:rPr>
        <w:t>"..</w:t>
      </w:r>
    </w:p>
    <w:p w14:paraId="719FCCD9" w14:textId="77777777" w:rsidR="006B6E80" w:rsidRPr="008C281A" w:rsidRDefault="006B6E80" w:rsidP="006B6E80">
      <w:pPr>
        <w:spacing w:after="0" w:line="360" w:lineRule="auto"/>
        <w:rPr>
          <w:rFonts w:ascii="David" w:hAnsi="David" w:cs="David"/>
          <w:sz w:val="24"/>
          <w:szCs w:val="24"/>
          <w:rtl/>
        </w:rPr>
      </w:pPr>
      <w:r w:rsidRPr="008C281A">
        <w:rPr>
          <w:rFonts w:ascii="David" w:hAnsi="David" w:cs="David"/>
          <w:sz w:val="24"/>
          <w:szCs w:val="24"/>
          <w:rtl/>
        </w:rPr>
        <w:t>מב) בטעמא דאין לוקה בפחות משו"פ, [דהא לא ניתן לתשלומין]</w:t>
      </w:r>
    </w:p>
    <w:p w14:paraId="1A829ECA" w14:textId="77777777" w:rsidR="006B6E80" w:rsidRPr="008C281A" w:rsidRDefault="006B6E80" w:rsidP="006B6E80">
      <w:pPr>
        <w:spacing w:after="0" w:line="360" w:lineRule="auto"/>
        <w:rPr>
          <w:rFonts w:ascii="David" w:hAnsi="David" w:cs="David"/>
          <w:sz w:val="24"/>
          <w:szCs w:val="24"/>
          <w:rtl/>
        </w:rPr>
      </w:pPr>
      <w:r w:rsidRPr="008C281A">
        <w:rPr>
          <w:rFonts w:ascii="David" w:hAnsi="David" w:cs="David"/>
          <w:sz w:val="24"/>
          <w:szCs w:val="24"/>
          <w:rtl/>
        </w:rPr>
        <w:t>והנה המנ"ח שם הקשה עוד על החינוך דא"כ [דלאו דמשקלות הוי אף בפחות משו"פ] אמאי אין לוקין על לאו זה אם שיקר בפחות משו"פ, דהא לא ניתן לתשלומין</w:t>
      </w:r>
      <w:r>
        <w:rPr>
          <w:rFonts w:ascii="David" w:hAnsi="David" w:cs="David" w:hint="cs"/>
          <w:sz w:val="24"/>
          <w:szCs w:val="24"/>
          <w:rtl/>
        </w:rPr>
        <w:t>,</w:t>
      </w:r>
      <w:r w:rsidRPr="008C281A">
        <w:rPr>
          <w:rFonts w:ascii="David" w:hAnsi="David" w:cs="David"/>
          <w:sz w:val="24"/>
          <w:szCs w:val="24"/>
          <w:rtl/>
        </w:rPr>
        <w:t xml:space="preserve"> דפחות משו"פ לאו ממון הוא.</w:t>
      </w:r>
    </w:p>
    <w:p w14:paraId="20126BE6" w14:textId="5A83D28D" w:rsidR="006B6E80" w:rsidRPr="008C281A" w:rsidRDefault="006B6E80" w:rsidP="006B6E80">
      <w:pPr>
        <w:spacing w:after="0" w:line="360" w:lineRule="auto"/>
        <w:rPr>
          <w:rFonts w:ascii="David" w:hAnsi="David" w:cs="David"/>
          <w:sz w:val="24"/>
          <w:szCs w:val="24"/>
          <w:rtl/>
        </w:rPr>
      </w:pPr>
      <w:r w:rsidRPr="008C281A">
        <w:rPr>
          <w:rFonts w:ascii="David" w:hAnsi="David" w:cs="David"/>
          <w:sz w:val="24"/>
          <w:szCs w:val="24"/>
          <w:rtl/>
        </w:rPr>
        <w:t>וא"כ כמו חובל בחבירו בפחות משו"פ דלוקין כיון דאינו משלם, ה"נ יהא חייב מלקות ע"ז, אלא ודאי שוה לגזל דדוקא שו"פ בעינן</w:t>
      </w:r>
      <w:r>
        <w:rPr>
          <w:rStyle w:val="af0"/>
          <w:rFonts w:ascii="David" w:hAnsi="David" w:cs="David"/>
          <w:sz w:val="24"/>
          <w:szCs w:val="24"/>
          <w:rtl/>
        </w:rPr>
        <w:footnoteReference w:id="8"/>
      </w:r>
      <w:r w:rsidR="0077646C">
        <w:rPr>
          <w:rFonts w:ascii="David" w:hAnsi="David" w:cs="David" w:hint="cs"/>
          <w:sz w:val="24"/>
          <w:szCs w:val="24"/>
          <w:rtl/>
        </w:rPr>
        <w:t>".</w:t>
      </w:r>
    </w:p>
    <w:p w14:paraId="1E538663" w14:textId="6BB3E4E3" w:rsidR="006B6E80" w:rsidRDefault="006B6E80" w:rsidP="0077646C">
      <w:pPr>
        <w:spacing w:after="0" w:line="360" w:lineRule="auto"/>
        <w:rPr>
          <w:rFonts w:ascii="David" w:hAnsi="David" w:cs="David"/>
          <w:sz w:val="24"/>
          <w:szCs w:val="24"/>
          <w:rtl/>
        </w:rPr>
      </w:pPr>
      <w:r w:rsidRPr="008C281A">
        <w:rPr>
          <w:rFonts w:ascii="David" w:hAnsi="David" w:cs="David"/>
          <w:sz w:val="24"/>
          <w:szCs w:val="24"/>
          <w:rtl/>
        </w:rPr>
        <w:t xml:space="preserve">ובאבן - האזל </w:t>
      </w:r>
      <w:r w:rsidRPr="001C1950">
        <w:rPr>
          <w:rFonts w:ascii="David" w:hAnsi="David" w:cs="David"/>
          <w:sz w:val="18"/>
          <w:szCs w:val="18"/>
          <w:rtl/>
        </w:rPr>
        <w:t>(פ"ז מהל' גניבה ה"א)</w:t>
      </w:r>
      <w:r w:rsidRPr="008C281A">
        <w:rPr>
          <w:rFonts w:ascii="David" w:hAnsi="David" w:cs="David"/>
          <w:sz w:val="24"/>
          <w:szCs w:val="24"/>
          <w:rtl/>
        </w:rPr>
        <w:t xml:space="preserve"> כתב ליישב קושית המנ"ח, דבמשקלות אף בפחות משו"פ נמי </w:t>
      </w:r>
      <w:r w:rsidRPr="00A944DF">
        <w:rPr>
          <w:rFonts w:ascii="David" w:hAnsi="David" w:cs="David"/>
          <w:b/>
          <w:bCs/>
          <w:sz w:val="24"/>
          <w:szCs w:val="24"/>
          <w:rtl/>
        </w:rPr>
        <w:t>חשיב ניתן לתשלומין</w:t>
      </w:r>
      <w:r w:rsidRPr="008C281A">
        <w:rPr>
          <w:rFonts w:ascii="David" w:hAnsi="David" w:cs="David"/>
          <w:sz w:val="24"/>
          <w:szCs w:val="24"/>
          <w:rtl/>
        </w:rPr>
        <w:t>, ומשום דעיקר האיסור דמשקלות הוא בשעה שמודד או ששוקל, ואז הרי לא עשה עדיין שום מעשה גזילה, דהא עדיין לא נגמר המקח עד שיתן המקח ויקח המעות, וא"כ הרי בשעת המדידה עדיין יכול הוא להוסיף למדה, ובלוקח יכול להוסיף מעות, ולכן שפיר חשיב ניתן לתשלומין אף בפחות משו"פ.</w:t>
      </w:r>
      <w:r>
        <w:rPr>
          <w:rFonts w:ascii="David" w:hAnsi="David" w:cs="David" w:hint="cs"/>
          <w:sz w:val="24"/>
          <w:szCs w:val="24"/>
          <w:rtl/>
        </w:rPr>
        <w:t xml:space="preserve">.. </w:t>
      </w:r>
      <w:r w:rsidRPr="008C281A">
        <w:rPr>
          <w:rFonts w:ascii="David" w:hAnsi="David" w:cs="David"/>
          <w:sz w:val="24"/>
          <w:szCs w:val="24"/>
          <w:rtl/>
        </w:rPr>
        <w:t>לאו הניתן לתשלומין</w:t>
      </w:r>
      <w:r w:rsidR="00A669DB">
        <w:rPr>
          <w:rFonts w:ascii="David" w:hAnsi="David" w:cs="David" w:hint="cs"/>
          <w:sz w:val="24"/>
          <w:szCs w:val="24"/>
          <w:rtl/>
        </w:rPr>
        <w:t xml:space="preserve">.. </w:t>
      </w:r>
      <w:r w:rsidRPr="008C281A">
        <w:rPr>
          <w:rFonts w:ascii="David" w:hAnsi="David" w:cs="David"/>
          <w:sz w:val="24"/>
          <w:szCs w:val="24"/>
          <w:rtl/>
        </w:rPr>
        <w:t>הוי כמו לאו הניתן לאזהרת מיתת ב"ד דאין לוקין עליו, משום דהלאו ניתן לאזהרת מיתה ולא ללקות עליו, וכמו כן לאו הניתן לתשלומין</w:t>
      </w:r>
      <w:r>
        <w:rPr>
          <w:rFonts w:ascii="David" w:hAnsi="David" w:cs="David" w:hint="cs"/>
          <w:sz w:val="24"/>
          <w:szCs w:val="24"/>
          <w:rtl/>
        </w:rPr>
        <w:t>,</w:t>
      </w:r>
      <w:r w:rsidRPr="008C281A">
        <w:rPr>
          <w:rFonts w:ascii="David" w:hAnsi="David" w:cs="David"/>
          <w:sz w:val="24"/>
          <w:szCs w:val="24"/>
          <w:rtl/>
        </w:rPr>
        <w:t xml:space="preserve"> לא הוי לאו ללקות עליו.</w:t>
      </w:r>
      <w:r w:rsidR="0077646C">
        <w:rPr>
          <w:rFonts w:ascii="David" w:hAnsi="David" w:cs="David" w:hint="cs"/>
          <w:sz w:val="24"/>
          <w:szCs w:val="24"/>
          <w:rtl/>
        </w:rPr>
        <w:t xml:space="preserve"> </w:t>
      </w:r>
      <w:r w:rsidRPr="008C281A">
        <w:rPr>
          <w:rFonts w:ascii="David" w:hAnsi="David" w:cs="David"/>
          <w:sz w:val="24"/>
          <w:szCs w:val="24"/>
          <w:rtl/>
        </w:rPr>
        <w:t xml:space="preserve">והוכיח כן מלשון הרמב"ם </w:t>
      </w:r>
      <w:r w:rsidRPr="00A944DF">
        <w:rPr>
          <w:rFonts w:ascii="David" w:hAnsi="David" w:cs="David"/>
          <w:sz w:val="18"/>
          <w:szCs w:val="18"/>
          <w:rtl/>
        </w:rPr>
        <w:t>(פי"ח מסנהדרין ה"ב)</w:t>
      </w:r>
      <w:r w:rsidRPr="008C281A">
        <w:rPr>
          <w:rFonts w:ascii="David" w:hAnsi="David" w:cs="David"/>
          <w:sz w:val="24"/>
          <w:szCs w:val="24"/>
          <w:rtl/>
        </w:rPr>
        <w:t xml:space="preserve"> שכתב וכל לאו שניתן לאזהרת מיתת ב"ד אין לוקין עליו, וכל לאו שניתן לתשלומין כגון לא תגנוב ולא תגזול אין לוקין עליו</w:t>
      </w:r>
      <w:r>
        <w:rPr>
          <w:rFonts w:ascii="David" w:hAnsi="David" w:cs="David" w:hint="cs"/>
          <w:sz w:val="24"/>
          <w:szCs w:val="24"/>
          <w:rtl/>
        </w:rPr>
        <w:t>..</w:t>
      </w:r>
      <w:r w:rsidR="0077646C">
        <w:rPr>
          <w:rFonts w:ascii="David" w:hAnsi="David" w:cs="David" w:hint="cs"/>
          <w:sz w:val="24"/>
          <w:szCs w:val="24"/>
          <w:rtl/>
        </w:rPr>
        <w:t xml:space="preserve"> </w:t>
      </w:r>
      <w:r w:rsidRPr="008C281A">
        <w:rPr>
          <w:rFonts w:ascii="David" w:hAnsi="David" w:cs="David"/>
          <w:sz w:val="24"/>
          <w:szCs w:val="24"/>
          <w:rtl/>
        </w:rPr>
        <w:t>הרי מוכח בדבריו דדוקא בלאו הניתק לעשה תלוי בקיימו לעשה</w:t>
      </w:r>
      <w:r>
        <w:rPr>
          <w:rFonts w:ascii="David" w:hAnsi="David" w:cs="David" w:hint="cs"/>
          <w:sz w:val="24"/>
          <w:szCs w:val="24"/>
          <w:rtl/>
        </w:rPr>
        <w:t xml:space="preserve">.. </w:t>
      </w:r>
      <w:r w:rsidRPr="008C281A">
        <w:rPr>
          <w:rFonts w:ascii="David" w:hAnsi="David" w:cs="David"/>
          <w:sz w:val="24"/>
          <w:szCs w:val="24"/>
          <w:rtl/>
        </w:rPr>
        <w:t>אבל בלאו הניתן לתשלומין אינו תלוי כלל בקיום התשלומין, דבכל גווני לא לקי כיון דעיקר הלאו ניתן לתשלומין ולא למלקות</w:t>
      </w:r>
      <w:r>
        <w:rPr>
          <w:rFonts w:ascii="David" w:hAnsi="David" w:cs="David" w:hint="cs"/>
          <w:sz w:val="24"/>
          <w:szCs w:val="24"/>
          <w:rtl/>
        </w:rPr>
        <w:t xml:space="preserve">.. </w:t>
      </w:r>
      <w:r w:rsidRPr="008C281A">
        <w:rPr>
          <w:rFonts w:ascii="David" w:hAnsi="David" w:cs="David"/>
          <w:sz w:val="24"/>
          <w:szCs w:val="24"/>
          <w:rtl/>
        </w:rPr>
        <w:t>עיקר הלאו דמשקלות הוי משום היזק ממון וכל מה דפטור ממלקות אינו משום כדי רשעתו, דהא באמת הוי רק רשעה אחת, אלא דפטור ממלקות רק משום דהוי לאו הניתן לתשלומין, א"כ אפי' היכא דליכא תשלומין בפועל כגון בפחות משו"פ, נמי אינו לוקה, דעכ"פ עיקר הלאו בא לתשלומין</w:t>
      </w:r>
      <w:r>
        <w:rPr>
          <w:rFonts w:ascii="David" w:hAnsi="David" w:cs="David" w:hint="cs"/>
          <w:sz w:val="24"/>
          <w:szCs w:val="24"/>
          <w:rtl/>
        </w:rPr>
        <w:t>".</w:t>
      </w:r>
    </w:p>
    <w:p w14:paraId="05573A4B" w14:textId="77777777" w:rsidR="006B6E80" w:rsidRPr="00A944DF" w:rsidRDefault="006B6E80" w:rsidP="006B6E80">
      <w:pPr>
        <w:spacing w:after="0" w:line="360" w:lineRule="auto"/>
        <w:rPr>
          <w:rFonts w:asciiTheme="majorBidi" w:hAnsiTheme="majorBidi" w:cstheme="majorBidi"/>
          <w:sz w:val="24"/>
          <w:szCs w:val="24"/>
          <w:rtl/>
        </w:rPr>
      </w:pPr>
      <w:r w:rsidRPr="00A944DF">
        <w:rPr>
          <w:rFonts w:asciiTheme="majorBidi" w:hAnsiTheme="majorBidi" w:cstheme="majorBidi"/>
          <w:sz w:val="24"/>
          <w:szCs w:val="24"/>
          <w:rtl/>
        </w:rPr>
        <w:t xml:space="preserve">לעומת זאת בחשוקי חמד הביא את דברי הנצי"ב: </w:t>
      </w:r>
    </w:p>
    <w:p w14:paraId="7E63F6CE" w14:textId="77777777" w:rsidR="006B6E80" w:rsidRDefault="006B6E80" w:rsidP="006B6E80">
      <w:pPr>
        <w:spacing w:after="0" w:line="360" w:lineRule="auto"/>
        <w:rPr>
          <w:rFonts w:ascii="David" w:hAnsi="David" w:cs="David"/>
          <w:sz w:val="24"/>
          <w:szCs w:val="24"/>
          <w:rtl/>
        </w:rPr>
      </w:pPr>
      <w:r>
        <w:rPr>
          <w:rFonts w:ascii="David" w:hAnsi="David" w:cs="David" w:hint="cs"/>
          <w:sz w:val="24"/>
          <w:szCs w:val="24"/>
          <w:rtl/>
        </w:rPr>
        <w:t xml:space="preserve">"לא </w:t>
      </w:r>
      <w:r w:rsidRPr="008C281A">
        <w:rPr>
          <w:rFonts w:ascii="David" w:hAnsi="David" w:cs="David"/>
          <w:sz w:val="24"/>
          <w:szCs w:val="24"/>
          <w:rtl/>
        </w:rPr>
        <w:t xml:space="preserve">תעשו עול במשפט במדה במשקל ובמשורה </w:t>
      </w:r>
      <w:r w:rsidRPr="00A944DF">
        <w:rPr>
          <w:rFonts w:ascii="David" w:hAnsi="David" w:cs="David"/>
          <w:sz w:val="18"/>
          <w:szCs w:val="18"/>
          <w:rtl/>
        </w:rPr>
        <w:t>(ויקרא יט לה)</w:t>
      </w:r>
      <w:r>
        <w:rPr>
          <w:rFonts w:ascii="David" w:hAnsi="David" w:cs="David" w:hint="cs"/>
          <w:sz w:val="24"/>
          <w:szCs w:val="24"/>
          <w:rtl/>
        </w:rPr>
        <w:t>.</w:t>
      </w:r>
      <w:r w:rsidRPr="008C281A">
        <w:rPr>
          <w:rFonts w:ascii="David" w:hAnsi="David" w:cs="David"/>
          <w:sz w:val="24"/>
          <w:szCs w:val="24"/>
          <w:rtl/>
        </w:rPr>
        <w:t xml:space="preserve"> וכתב שם הנצי"ב דמשונה עוול זה משאר עוולות שבתורה, דכל עול אינו אסור אלא באופן שאין הנעשק מתרצה לאותו עוול, משא"כ עוול דמדות ומשקולות דאפילו המתאנה אינו מקפיד אסור, עכ"ל. ולדבריו אין כל דרך לקנות בחנות בלי להחטיאו, כי </w:t>
      </w:r>
      <w:r w:rsidRPr="00851D18">
        <w:rPr>
          <w:rFonts w:ascii="David" w:hAnsi="David" w:cs="David"/>
          <w:b/>
          <w:bCs/>
          <w:sz w:val="24"/>
          <w:szCs w:val="24"/>
          <w:rtl/>
        </w:rPr>
        <w:t>אפילו ימחול לו</w:t>
      </w:r>
      <w:r w:rsidRPr="008C281A">
        <w:rPr>
          <w:rFonts w:ascii="David" w:hAnsi="David" w:cs="David"/>
          <w:sz w:val="24"/>
          <w:szCs w:val="24"/>
          <w:rtl/>
        </w:rPr>
        <w:t>, לא מהני והוא עונו ישא על ראשו</w:t>
      </w:r>
      <w:r>
        <w:rPr>
          <w:rFonts w:ascii="David" w:hAnsi="David" w:cs="David" w:hint="cs"/>
          <w:sz w:val="24"/>
          <w:szCs w:val="24"/>
          <w:rtl/>
        </w:rPr>
        <w:t>"</w:t>
      </w:r>
      <w:r w:rsidRPr="008C281A">
        <w:rPr>
          <w:rFonts w:ascii="David" w:hAnsi="David" w:cs="David"/>
          <w:sz w:val="24"/>
          <w:szCs w:val="24"/>
          <w:rtl/>
        </w:rPr>
        <w:t>.</w:t>
      </w:r>
    </w:p>
    <w:p w14:paraId="291B4076" w14:textId="07536341" w:rsidR="00A57D81" w:rsidRDefault="006B6E80" w:rsidP="00A669DB">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משמע שאיסור המשקלות המוטעים עצמי, בלי קשר לתשלומים. </w:t>
      </w:r>
    </w:p>
    <w:p w14:paraId="741A1133" w14:textId="3DF7EE91" w:rsidR="00A669DB" w:rsidRDefault="0077646C" w:rsidP="00A669DB">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ג. </w:t>
      </w:r>
      <w:r w:rsidR="00A669DB">
        <w:rPr>
          <w:rFonts w:asciiTheme="majorBidi" w:hAnsiTheme="majorBidi" w:cstheme="majorBidi" w:hint="cs"/>
          <w:b/>
          <w:bCs/>
          <w:sz w:val="24"/>
          <w:szCs w:val="24"/>
          <w:rtl/>
        </w:rPr>
        <w:t>הסוגיה על פי הרב גוסטמן</w:t>
      </w:r>
    </w:p>
    <w:p w14:paraId="259F6FBD" w14:textId="626B97FD" w:rsidR="00A669DB" w:rsidRDefault="00D35D3B" w:rsidP="00D35D3B">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1. </w:t>
      </w:r>
      <w:r w:rsidR="00A669DB">
        <w:rPr>
          <w:rFonts w:asciiTheme="majorBidi" w:hAnsiTheme="majorBidi" w:cstheme="majorBidi" w:hint="cs"/>
          <w:sz w:val="24"/>
          <w:szCs w:val="24"/>
          <w:rtl/>
        </w:rPr>
        <w:t xml:space="preserve">גם הרב גוסטמן סבור, שלפי מסקנת הגמרא ניתן לומר שהחלפנו </w:t>
      </w:r>
      <w:r w:rsidR="0077646C">
        <w:rPr>
          <w:rFonts w:asciiTheme="majorBidi" w:hAnsiTheme="majorBidi" w:cstheme="majorBidi" w:hint="cs"/>
          <w:sz w:val="24"/>
          <w:szCs w:val="24"/>
          <w:rtl/>
        </w:rPr>
        <w:t>את ה</w:t>
      </w:r>
      <w:r w:rsidR="00A669DB">
        <w:rPr>
          <w:rFonts w:asciiTheme="majorBidi" w:hAnsiTheme="majorBidi" w:cstheme="majorBidi" w:hint="cs"/>
          <w:sz w:val="24"/>
          <w:szCs w:val="24"/>
          <w:rtl/>
        </w:rPr>
        <w:t>הבנה באיסור משקלות</w:t>
      </w:r>
      <w:r w:rsidR="0077646C">
        <w:rPr>
          <w:rFonts w:asciiTheme="majorBidi" w:hAnsiTheme="majorBidi" w:cstheme="majorBidi" w:hint="cs"/>
          <w:sz w:val="24"/>
          <w:szCs w:val="24"/>
          <w:rtl/>
        </w:rPr>
        <w:t>,</w:t>
      </w:r>
      <w:r w:rsidR="00A669DB">
        <w:rPr>
          <w:rFonts w:asciiTheme="majorBidi" w:hAnsiTheme="majorBidi" w:cstheme="majorBidi" w:hint="cs"/>
          <w:sz w:val="24"/>
          <w:szCs w:val="24"/>
          <w:rtl/>
        </w:rPr>
        <w:t xml:space="preserve"> מהגדרה של גזל שמחסר ממון בה אין לחייב על פחות מפרוטה, ללאו מיוחד המחייב בכל שיעור. לדעתו החינוך הלך בדרכו של הרמב"ם: </w:t>
      </w:r>
      <w:r w:rsidR="00A669DB" w:rsidRPr="00A669DB">
        <w:rPr>
          <w:rFonts w:ascii="David" w:hAnsi="David" w:cs="David"/>
          <w:sz w:val="24"/>
          <w:szCs w:val="24"/>
          <w:rtl/>
        </w:rPr>
        <w:t xml:space="preserve">"אין טומנין את המשקלות במלח כדי שיפחתו, ולא ירתיח במדת הלח בעת שמודד, </w:t>
      </w:r>
      <w:r w:rsidR="00A669DB" w:rsidRPr="00A669DB">
        <w:rPr>
          <w:rFonts w:ascii="David" w:hAnsi="David" w:cs="David"/>
          <w:b/>
          <w:bCs/>
          <w:sz w:val="24"/>
          <w:szCs w:val="24"/>
          <w:rtl/>
        </w:rPr>
        <w:t>ואפילו היתה המדה קטנה ביותר</w:t>
      </w:r>
      <w:r w:rsidR="00A669DB" w:rsidRPr="00A669DB">
        <w:rPr>
          <w:rFonts w:ascii="David" w:hAnsi="David" w:cs="David"/>
          <w:sz w:val="24"/>
          <w:szCs w:val="24"/>
          <w:rtl/>
        </w:rPr>
        <w:t>, שהרי התורה הקפידה על המדות בכל שהוא שנ' ובמשורה והיא מדה קטנה אחד משלשה ושלשים בלוג</w:t>
      </w:r>
      <w:r w:rsidR="00A669DB" w:rsidRPr="00A669DB">
        <w:rPr>
          <w:rStyle w:val="af0"/>
          <w:rFonts w:ascii="David" w:hAnsi="David" w:cs="David"/>
          <w:sz w:val="24"/>
          <w:szCs w:val="24"/>
          <w:rtl/>
        </w:rPr>
        <w:footnoteReference w:id="9"/>
      </w:r>
      <w:r w:rsidR="00A669DB">
        <w:rPr>
          <w:rFonts w:ascii="David" w:hAnsi="David" w:cs="David" w:hint="cs"/>
          <w:sz w:val="24"/>
          <w:szCs w:val="24"/>
          <w:rtl/>
        </w:rPr>
        <w:t>"</w:t>
      </w:r>
      <w:r w:rsidR="00A669DB" w:rsidRPr="00A669DB">
        <w:rPr>
          <w:rFonts w:ascii="David" w:hAnsi="David" w:cs="David"/>
          <w:sz w:val="24"/>
          <w:szCs w:val="24"/>
          <w:rtl/>
        </w:rPr>
        <w:t>.</w:t>
      </w:r>
      <w:r>
        <w:rPr>
          <w:rFonts w:asciiTheme="majorBidi" w:hAnsiTheme="majorBidi" w:cstheme="majorBidi" w:hint="cs"/>
          <w:sz w:val="24"/>
          <w:szCs w:val="24"/>
          <w:rtl/>
        </w:rPr>
        <w:t xml:space="preserve"> מקור להתבוננות זו הביא </w:t>
      </w:r>
      <w:r w:rsidRPr="00D35D3B">
        <w:rPr>
          <w:rFonts w:asciiTheme="majorBidi" w:hAnsiTheme="majorBidi" w:cs="Times New Roman"/>
          <w:sz w:val="24"/>
          <w:szCs w:val="24"/>
          <w:rtl/>
        </w:rPr>
        <w:t xml:space="preserve">ספר החינוך </w:t>
      </w:r>
      <w:r>
        <w:rPr>
          <w:rFonts w:asciiTheme="majorBidi" w:hAnsiTheme="majorBidi" w:cs="Times New Roman" w:hint="cs"/>
          <w:sz w:val="24"/>
          <w:szCs w:val="24"/>
          <w:rtl/>
        </w:rPr>
        <w:t xml:space="preserve">מתורת כהנים: </w:t>
      </w:r>
      <w:r w:rsidRPr="00D35D3B">
        <w:rPr>
          <w:rFonts w:ascii="David" w:hAnsi="David" w:cs="David"/>
          <w:sz w:val="24"/>
          <w:szCs w:val="24"/>
          <w:rtl/>
        </w:rPr>
        <w:t>"המשפט השנוי כאן, הוא המדה והמשקל והמשורה.</w:t>
      </w:r>
      <w:r w:rsidR="0077646C">
        <w:rPr>
          <w:rFonts w:ascii="David" w:hAnsi="David" w:cs="David" w:hint="cs"/>
          <w:sz w:val="24"/>
          <w:szCs w:val="24"/>
          <w:rtl/>
        </w:rPr>
        <w:t>.</w:t>
      </w:r>
      <w:r w:rsidRPr="00D35D3B">
        <w:rPr>
          <w:rFonts w:ascii="David" w:hAnsi="David" w:cs="David"/>
          <w:sz w:val="24"/>
          <w:szCs w:val="24"/>
          <w:rtl/>
        </w:rPr>
        <w:t xml:space="preserve"> הזכיר הכתוב בכאן משפט, שהמודד נקרא </w:t>
      </w:r>
      <w:r w:rsidRPr="0077646C">
        <w:rPr>
          <w:rFonts w:ascii="David" w:hAnsi="David" w:cs="David"/>
          <w:b/>
          <w:bCs/>
          <w:sz w:val="24"/>
          <w:szCs w:val="24"/>
          <w:rtl/>
        </w:rPr>
        <w:t>דיין</w:t>
      </w:r>
      <w:r w:rsidRPr="00D35D3B">
        <w:rPr>
          <w:rFonts w:ascii="David" w:hAnsi="David" w:cs="David"/>
          <w:sz w:val="24"/>
          <w:szCs w:val="24"/>
          <w:rtl/>
        </w:rPr>
        <w:t>, ואם שקר במדה הרי הוא כמקלקל את הדין".</w:t>
      </w:r>
    </w:p>
    <w:p w14:paraId="0BF52513" w14:textId="5BDDEF0A" w:rsidR="00D35D3B" w:rsidRPr="00D35D3B" w:rsidRDefault="00D35D3B" w:rsidP="00D35D3B">
      <w:pPr>
        <w:spacing w:after="0" w:line="360" w:lineRule="auto"/>
        <w:rPr>
          <w:rFonts w:ascii="David" w:hAnsi="David" w:cs="David"/>
          <w:sz w:val="24"/>
          <w:szCs w:val="24"/>
          <w:rtl/>
        </w:rPr>
      </w:pPr>
      <w:r w:rsidRPr="00D35D3B">
        <w:rPr>
          <w:rFonts w:ascii="David" w:hAnsi="David" w:cs="David"/>
          <w:sz w:val="24"/>
          <w:szCs w:val="24"/>
          <w:rtl/>
        </w:rPr>
        <w:t xml:space="preserve">"הרי דמה שאומר על מדה קטנה שהיא גדולה, הוא </w:t>
      </w:r>
      <w:r w:rsidRPr="00D35D3B">
        <w:rPr>
          <w:rFonts w:ascii="David" w:hAnsi="David" w:cs="David"/>
          <w:b/>
          <w:bCs/>
          <w:sz w:val="24"/>
          <w:szCs w:val="24"/>
          <w:rtl/>
        </w:rPr>
        <w:t xml:space="preserve">פוסק בזה דין </w:t>
      </w:r>
      <w:r w:rsidRPr="00D35D3B">
        <w:rPr>
          <w:rFonts w:ascii="David" w:hAnsi="David" w:cs="David"/>
          <w:sz w:val="24"/>
          <w:szCs w:val="24"/>
          <w:rtl/>
        </w:rPr>
        <w:t>עול, שבאמת היא מידה קטנה והוא פוסק שזה מדה גדולה. ואיזה שייכות שיעור פרוטה לכאן</w:t>
      </w:r>
      <w:r>
        <w:rPr>
          <w:rFonts w:ascii="David" w:hAnsi="David" w:cs="David" w:hint="cs"/>
          <w:sz w:val="24"/>
          <w:szCs w:val="24"/>
          <w:rtl/>
        </w:rPr>
        <w:t>... והסמ"ג</w:t>
      </w:r>
      <w:r>
        <w:rPr>
          <w:rStyle w:val="af0"/>
          <w:rFonts w:ascii="David" w:hAnsi="David" w:cs="David"/>
          <w:sz w:val="24"/>
          <w:szCs w:val="24"/>
          <w:rtl/>
        </w:rPr>
        <w:footnoteReference w:id="10"/>
      </w:r>
      <w:r>
        <w:rPr>
          <w:rFonts w:ascii="David" w:hAnsi="David" w:cs="David" w:hint="cs"/>
          <w:sz w:val="24"/>
          <w:szCs w:val="24"/>
          <w:rtl/>
        </w:rPr>
        <w:t xml:space="preserve"> סובר, דנהי דמשקלות מטעם דיין, ומהאי טעמא עובר משעת עשייה, </w:t>
      </w:r>
      <w:r w:rsidR="00D526AC">
        <w:rPr>
          <w:rFonts w:ascii="David" w:hAnsi="David" w:cs="David" w:hint="cs"/>
          <w:sz w:val="24"/>
          <w:szCs w:val="24"/>
          <w:rtl/>
        </w:rPr>
        <w:t xml:space="preserve">וכן במרתיח עובר משעת הרתחה.. אפילו הכי לעניין שיעור </w:t>
      </w:r>
      <w:r w:rsidR="00D526AC">
        <w:rPr>
          <w:rFonts w:ascii="David" w:hAnsi="David" w:cs="David"/>
          <w:sz w:val="24"/>
          <w:szCs w:val="24"/>
          <w:rtl/>
        </w:rPr>
        <w:t>–</w:t>
      </w:r>
      <w:r w:rsidR="00D526AC">
        <w:rPr>
          <w:rFonts w:ascii="David" w:hAnsi="David" w:cs="David" w:hint="cs"/>
          <w:sz w:val="24"/>
          <w:szCs w:val="24"/>
          <w:rtl/>
        </w:rPr>
        <w:t xml:space="preserve"> דין ממון נאמר בו, ואינו עובר אלא בפרוטה, ואולי גם זהו מהלכה למשה מסיני הנאמר בשיעורים</w:t>
      </w:r>
      <w:r>
        <w:rPr>
          <w:rStyle w:val="af0"/>
          <w:rFonts w:ascii="David" w:hAnsi="David" w:cs="David"/>
          <w:sz w:val="24"/>
          <w:szCs w:val="24"/>
          <w:rtl/>
        </w:rPr>
        <w:footnoteReference w:id="11"/>
      </w:r>
      <w:r w:rsidR="00D526AC">
        <w:rPr>
          <w:rFonts w:ascii="David" w:hAnsi="David" w:cs="David" w:hint="cs"/>
          <w:sz w:val="24"/>
          <w:szCs w:val="24"/>
          <w:rtl/>
        </w:rPr>
        <w:t>"</w:t>
      </w:r>
      <w:r w:rsidRPr="00D35D3B">
        <w:rPr>
          <w:rFonts w:ascii="David" w:hAnsi="David" w:cs="David"/>
          <w:sz w:val="24"/>
          <w:szCs w:val="24"/>
          <w:rtl/>
        </w:rPr>
        <w:t xml:space="preserve">. </w:t>
      </w:r>
    </w:p>
    <w:p w14:paraId="24E91BBD" w14:textId="667720BD" w:rsidR="00873190" w:rsidRPr="0077646C" w:rsidRDefault="0077646C" w:rsidP="0077646C">
      <w:pPr>
        <w:spacing w:after="0" w:line="360" w:lineRule="auto"/>
        <w:rPr>
          <w:rFonts w:ascii="David" w:hAnsi="David" w:cs="David"/>
          <w:sz w:val="24"/>
          <w:szCs w:val="24"/>
          <w:rtl/>
        </w:rPr>
      </w:pPr>
      <w:r>
        <w:rPr>
          <w:rFonts w:asciiTheme="majorBidi" w:hAnsiTheme="majorBidi" w:cstheme="majorBidi" w:hint="cs"/>
          <w:b/>
          <w:bCs/>
          <w:sz w:val="24"/>
          <w:szCs w:val="24"/>
          <w:rtl/>
        </w:rPr>
        <w:t>ד.</w:t>
      </w:r>
      <w:r w:rsidR="00873190" w:rsidRPr="0077646C">
        <w:rPr>
          <w:rFonts w:asciiTheme="majorBidi" w:hAnsiTheme="majorBidi" w:cstheme="majorBidi"/>
          <w:b/>
          <w:bCs/>
          <w:sz w:val="24"/>
          <w:szCs w:val="24"/>
          <w:rtl/>
        </w:rPr>
        <w:t>ימות החמה וימות הגשמים</w:t>
      </w:r>
      <w:r w:rsidR="00880557" w:rsidRPr="0077646C">
        <w:rPr>
          <w:rFonts w:asciiTheme="majorBidi" w:hAnsiTheme="majorBidi" w:cstheme="majorBidi" w:hint="cs"/>
          <w:b/>
          <w:bCs/>
          <w:sz w:val="24"/>
          <w:szCs w:val="24"/>
          <w:rtl/>
        </w:rPr>
        <w:t xml:space="preserve"> </w:t>
      </w:r>
      <w:r w:rsidR="00873190" w:rsidRPr="0077646C">
        <w:rPr>
          <w:rFonts w:ascii="David" w:hAnsi="David" w:cs="David"/>
          <w:sz w:val="24"/>
          <w:szCs w:val="24"/>
          <w:rtl/>
        </w:rPr>
        <w:t xml:space="preserve"> </w:t>
      </w:r>
      <w:r w:rsidR="00880557" w:rsidRPr="0077646C">
        <w:rPr>
          <w:rFonts w:asciiTheme="majorBidi" w:hAnsiTheme="majorBidi" w:cs="Times New Roman" w:hint="cs"/>
          <w:sz w:val="24"/>
          <w:szCs w:val="24"/>
          <w:rtl/>
        </w:rPr>
        <w:t>כתב</w:t>
      </w:r>
      <w:r w:rsidR="00880557" w:rsidRPr="0077646C">
        <w:rPr>
          <w:rFonts w:asciiTheme="majorBidi" w:hAnsiTheme="majorBidi" w:cs="Times New Roman"/>
          <w:sz w:val="24"/>
          <w:szCs w:val="24"/>
          <w:rtl/>
        </w:rPr>
        <w:t xml:space="preserve"> הרשב"</w:t>
      </w:r>
      <w:r w:rsidR="00880557" w:rsidRPr="0077646C">
        <w:rPr>
          <w:rFonts w:asciiTheme="majorBidi" w:hAnsiTheme="majorBidi" w:cs="Times New Roman" w:hint="cs"/>
          <w:sz w:val="24"/>
          <w:szCs w:val="24"/>
          <w:rtl/>
        </w:rPr>
        <w:t>א:</w:t>
      </w:r>
      <w:r w:rsidR="00880557" w:rsidRPr="0077646C">
        <w:rPr>
          <w:rFonts w:asciiTheme="majorBidi" w:hAnsiTheme="majorBidi" w:cstheme="majorBidi" w:hint="cs"/>
          <w:sz w:val="24"/>
          <w:szCs w:val="24"/>
          <w:rtl/>
        </w:rPr>
        <w:t xml:space="preserve"> "</w:t>
      </w:r>
      <w:r w:rsidR="00873190" w:rsidRPr="0077646C">
        <w:rPr>
          <w:rFonts w:ascii="David" w:hAnsi="David" w:cs="David"/>
          <w:sz w:val="24"/>
          <w:szCs w:val="24"/>
          <w:rtl/>
        </w:rPr>
        <w:t xml:space="preserve">פרש"י ז"ל שחבל המדה מתייבש בימות החמה ומתקצר ובימות הגשמים מתלחלח ומתארך, ולדבריו דוקא במודד בחבל, וא"כ הו"ל למימר שלא ימדוד </w:t>
      </w:r>
      <w:r w:rsidR="00873190" w:rsidRPr="0077646C">
        <w:rPr>
          <w:rFonts w:ascii="David" w:hAnsi="David" w:cs="David"/>
          <w:b/>
          <w:bCs/>
          <w:sz w:val="24"/>
          <w:szCs w:val="24"/>
          <w:rtl/>
        </w:rPr>
        <w:t>בחבל</w:t>
      </w:r>
      <w:r w:rsidR="00873190" w:rsidRPr="0077646C">
        <w:rPr>
          <w:rFonts w:ascii="David" w:hAnsi="David" w:cs="David"/>
          <w:sz w:val="24"/>
          <w:szCs w:val="24"/>
          <w:rtl/>
        </w:rPr>
        <w:t xml:space="preserve"> לזה בימות החמה ולזה בימות הגשמים, ושמא מפני שדרך הראשונים למדוד בחבל. ור"ח ז"ל פי' שהקרקע מתבקע ומרחיב בשרב ומתקצר בימות הגשמים, ודבר של תימה הוא</w:t>
      </w:r>
      <w:r w:rsidR="00880557" w:rsidRPr="0077646C">
        <w:rPr>
          <w:rFonts w:ascii="David" w:hAnsi="David" w:cs="David" w:hint="cs"/>
          <w:sz w:val="24"/>
          <w:szCs w:val="24"/>
          <w:rtl/>
        </w:rPr>
        <w:t>"</w:t>
      </w:r>
      <w:r w:rsidR="00873190" w:rsidRPr="0077646C">
        <w:rPr>
          <w:rFonts w:ascii="David" w:hAnsi="David" w:cs="David"/>
          <w:sz w:val="24"/>
          <w:szCs w:val="24"/>
          <w:rtl/>
        </w:rPr>
        <w:t>.</w:t>
      </w:r>
    </w:p>
    <w:p w14:paraId="772A3B5F" w14:textId="422B471F" w:rsidR="00880557" w:rsidRPr="00880557" w:rsidRDefault="00880557" w:rsidP="00880557">
      <w:pPr>
        <w:spacing w:after="0" w:line="360" w:lineRule="auto"/>
        <w:rPr>
          <w:rFonts w:asciiTheme="majorBidi" w:hAnsiTheme="majorBidi" w:cstheme="majorBidi"/>
          <w:sz w:val="24"/>
          <w:szCs w:val="24"/>
          <w:rtl/>
        </w:rPr>
      </w:pPr>
      <w:r w:rsidRPr="00880557">
        <w:rPr>
          <w:rFonts w:asciiTheme="majorBidi" w:hAnsiTheme="majorBidi" w:cstheme="majorBidi"/>
          <w:sz w:val="24"/>
          <w:szCs w:val="24"/>
          <w:rtl/>
        </w:rPr>
        <w:t>רש"י מס</w:t>
      </w:r>
      <w:r>
        <w:rPr>
          <w:rFonts w:asciiTheme="majorBidi" w:hAnsiTheme="majorBidi" w:cstheme="majorBidi" w:hint="cs"/>
          <w:sz w:val="24"/>
          <w:szCs w:val="24"/>
          <w:rtl/>
        </w:rPr>
        <w:t>ביר, שהאיסור מופנה למודד:</w:t>
      </w:r>
    </w:p>
    <w:p w14:paraId="725BB1C0" w14:textId="77777777" w:rsidR="00A57D81" w:rsidRDefault="00880557" w:rsidP="00A57D81">
      <w:pPr>
        <w:spacing w:after="0" w:line="360" w:lineRule="auto"/>
        <w:rPr>
          <w:rFonts w:asciiTheme="majorBidi" w:hAnsiTheme="majorBidi" w:cs="Times New Roman"/>
          <w:sz w:val="24"/>
          <w:szCs w:val="24"/>
          <w:rtl/>
        </w:rPr>
      </w:pPr>
      <w:r>
        <w:rPr>
          <w:rFonts w:ascii="David" w:hAnsi="David" w:cs="David" w:hint="cs"/>
          <w:sz w:val="24"/>
          <w:szCs w:val="24"/>
          <w:rtl/>
        </w:rPr>
        <w:t>"</w:t>
      </w:r>
      <w:r w:rsidRPr="00880557">
        <w:rPr>
          <w:rFonts w:ascii="David" w:hAnsi="David" w:cs="David"/>
          <w:sz w:val="24"/>
          <w:szCs w:val="24"/>
          <w:rtl/>
        </w:rPr>
        <w:t>אחין הבאין לחלוק את השדה לא ימדוד המודד לאחד בימות החמה ולאחד בימות הגשמים באותו החבל</w:t>
      </w:r>
      <w:r>
        <w:rPr>
          <w:rFonts w:ascii="David" w:hAnsi="David" w:cs="David" w:hint="cs"/>
          <w:sz w:val="24"/>
          <w:szCs w:val="24"/>
          <w:rtl/>
        </w:rPr>
        <w:t xml:space="preserve">". "וכוונתו, דאי אאחד מן האחים </w:t>
      </w:r>
      <w:r>
        <w:rPr>
          <w:rFonts w:ascii="David" w:hAnsi="David" w:cs="David"/>
          <w:sz w:val="24"/>
          <w:szCs w:val="24"/>
          <w:rtl/>
        </w:rPr>
        <w:t>–</w:t>
      </w:r>
      <w:r>
        <w:rPr>
          <w:rFonts w:ascii="David" w:hAnsi="David" w:cs="David" w:hint="cs"/>
          <w:sz w:val="24"/>
          <w:szCs w:val="24"/>
          <w:rtl/>
        </w:rPr>
        <w:t xml:space="preserve"> תיפוק ליה מטעם גזל. והכא לא שייך לעבור משעת עשייה, דהוא אינו עושה כלום, אלא שכך דרכו של חבל</w:t>
      </w:r>
      <w:r>
        <w:rPr>
          <w:rStyle w:val="af0"/>
          <w:rFonts w:ascii="David" w:hAnsi="David" w:cs="David"/>
          <w:sz w:val="24"/>
          <w:szCs w:val="24"/>
          <w:rtl/>
        </w:rPr>
        <w:footnoteReference w:id="12"/>
      </w:r>
      <w:r>
        <w:rPr>
          <w:rFonts w:ascii="David" w:hAnsi="David" w:cs="David" w:hint="cs"/>
          <w:sz w:val="24"/>
          <w:szCs w:val="24"/>
          <w:rtl/>
        </w:rPr>
        <w:t xml:space="preserve">". </w:t>
      </w:r>
      <w:r w:rsidR="00A57D81">
        <w:rPr>
          <w:rFonts w:asciiTheme="majorBidi" w:hAnsiTheme="majorBidi" w:cstheme="majorBidi" w:hint="cs"/>
          <w:sz w:val="24"/>
          <w:szCs w:val="24"/>
          <w:rtl/>
        </w:rPr>
        <w:t xml:space="preserve">אולם הריטב"א כתב: </w:t>
      </w:r>
    </w:p>
    <w:p w14:paraId="4436960D" w14:textId="3A9ABE7C" w:rsidR="00880557" w:rsidRDefault="00A57D81" w:rsidP="00A57D81">
      <w:pPr>
        <w:spacing w:after="0" w:line="360" w:lineRule="auto"/>
        <w:rPr>
          <w:rFonts w:ascii="David" w:hAnsi="David" w:cs="David"/>
          <w:sz w:val="24"/>
          <w:szCs w:val="24"/>
          <w:rtl/>
        </w:rPr>
      </w:pPr>
      <w:r w:rsidRPr="00A57D81">
        <w:rPr>
          <w:rFonts w:ascii="David" w:hAnsi="David" w:cs="David"/>
          <w:sz w:val="24"/>
          <w:szCs w:val="24"/>
          <w:rtl/>
        </w:rPr>
        <w:t>"ומלאו דגזל לא אתי. כיון דממילא אתי המיעוט ואותו הריוח. וגבי מרתיח נמי איתי' להאי טעמא. הואיל ודבר מועט הוא אימא לא קפדי בהו אינשי. קמ"ל דגזל הוא וקפדי בהו אינשי</w:t>
      </w:r>
      <w:r w:rsidRPr="00A57D81">
        <w:rPr>
          <w:rStyle w:val="af0"/>
          <w:rFonts w:ascii="David" w:hAnsi="David" w:cs="David"/>
          <w:sz w:val="24"/>
          <w:szCs w:val="24"/>
          <w:rtl/>
        </w:rPr>
        <w:footnoteReference w:id="13"/>
      </w:r>
      <w:r w:rsidRPr="00A57D81">
        <w:rPr>
          <w:rFonts w:ascii="David" w:hAnsi="David" w:cs="David"/>
          <w:sz w:val="24"/>
          <w:szCs w:val="24"/>
          <w:rtl/>
        </w:rPr>
        <w:t>".</w:t>
      </w:r>
    </w:p>
    <w:p w14:paraId="746084AE" w14:textId="0BC22772" w:rsidR="00A57D81" w:rsidRDefault="00A57D81" w:rsidP="00A57D81">
      <w:pPr>
        <w:spacing w:after="0" w:line="360" w:lineRule="auto"/>
        <w:rPr>
          <w:rFonts w:asciiTheme="majorBidi" w:hAnsiTheme="majorBidi" w:cstheme="majorBidi"/>
          <w:sz w:val="24"/>
          <w:szCs w:val="24"/>
          <w:rtl/>
        </w:rPr>
      </w:pPr>
      <w:r>
        <w:rPr>
          <w:rFonts w:asciiTheme="majorBidi" w:hAnsiTheme="majorBidi" w:cstheme="majorBidi" w:hint="cs"/>
          <w:sz w:val="24"/>
          <w:szCs w:val="24"/>
          <w:rtl/>
        </w:rPr>
        <w:t>כיוון שלדעת הריטב"א עקרונית שייך כאן גזל, נראה שהוא מפרש שהאזהרה מכוונת כלפי אחד מאחים, המחלק ביניהם את הירושה. לפי זה היינו מצפים שהגמרא תתנסח: 'לאחד בימות החמה,</w:t>
      </w:r>
      <w:r w:rsidRPr="00A57D81">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ולעצמו </w:t>
      </w:r>
      <w:r>
        <w:rPr>
          <w:rFonts w:asciiTheme="majorBidi" w:hAnsiTheme="majorBidi" w:cstheme="majorBidi" w:hint="cs"/>
          <w:sz w:val="24"/>
          <w:szCs w:val="24"/>
          <w:rtl/>
        </w:rPr>
        <w:t>בימות הגשמים'. נראה שהריטב"א גרס: '</w:t>
      </w:r>
      <w:r>
        <w:rPr>
          <w:rFonts w:asciiTheme="majorBidi" w:hAnsiTheme="majorBidi" w:cstheme="majorBidi" w:hint="cs"/>
          <w:b/>
          <w:bCs/>
          <w:sz w:val="24"/>
          <w:szCs w:val="24"/>
          <w:rtl/>
        </w:rPr>
        <w:t xml:space="preserve">לאחת </w:t>
      </w:r>
      <w:r>
        <w:rPr>
          <w:rFonts w:asciiTheme="majorBidi" w:hAnsiTheme="majorBidi" w:cstheme="majorBidi" w:hint="cs"/>
          <w:sz w:val="24"/>
          <w:szCs w:val="24"/>
          <w:rtl/>
        </w:rPr>
        <w:t xml:space="preserve">בימות החמה ולאחת בימות הגשמים', ומדובר על החלקה. </w:t>
      </w:r>
    </w:p>
    <w:p w14:paraId="4CB6615E" w14:textId="6BA1D218" w:rsidR="00A57D81" w:rsidRPr="00A94271" w:rsidRDefault="00A57D81" w:rsidP="0077646C">
      <w:pPr>
        <w:spacing w:after="0" w:line="360" w:lineRule="auto"/>
        <w:rPr>
          <w:rFonts w:asciiTheme="majorBidi" w:hAnsiTheme="majorBidi" w:cstheme="majorBidi"/>
          <w:sz w:val="24"/>
          <w:szCs w:val="24"/>
          <w:rtl/>
        </w:rPr>
      </w:pPr>
      <w:r>
        <w:rPr>
          <w:rFonts w:ascii="David" w:hAnsi="David" w:cs="David" w:hint="cs"/>
          <w:sz w:val="24"/>
          <w:szCs w:val="24"/>
          <w:rtl/>
        </w:rPr>
        <w:t xml:space="preserve">"והנה לרש"י דקאי אמודד, י"ל דיעבור  גם על פחות משווה פרוטה.. דהמודד נקרא דיין. אבל לריטב"א דקאי אאחד מן האחים ומעם גזל </w:t>
      </w:r>
      <w:r>
        <w:rPr>
          <w:rFonts w:ascii="David" w:hAnsi="David" w:cs="David"/>
          <w:sz w:val="24"/>
          <w:szCs w:val="24"/>
          <w:rtl/>
        </w:rPr>
        <w:t>–</w:t>
      </w:r>
      <w:r>
        <w:rPr>
          <w:rFonts w:ascii="David" w:hAnsi="David" w:cs="David" w:hint="cs"/>
          <w:sz w:val="24"/>
          <w:szCs w:val="24"/>
          <w:rtl/>
        </w:rPr>
        <w:t xml:space="preserve"> שיעורו בפרוטה</w:t>
      </w:r>
      <w:r>
        <w:rPr>
          <w:rStyle w:val="af0"/>
          <w:rFonts w:ascii="David" w:hAnsi="David" w:cs="David"/>
          <w:sz w:val="24"/>
          <w:szCs w:val="24"/>
          <w:rtl/>
        </w:rPr>
        <w:footnoteReference w:id="14"/>
      </w:r>
      <w:r>
        <w:rPr>
          <w:rFonts w:ascii="David" w:hAnsi="David" w:cs="David" w:hint="cs"/>
          <w:sz w:val="24"/>
          <w:szCs w:val="24"/>
          <w:rtl/>
        </w:rPr>
        <w:t>".</w:t>
      </w:r>
      <w:r w:rsidR="00A94271">
        <w:rPr>
          <w:rFonts w:ascii="David" w:hAnsi="David" w:cs="David" w:hint="cs"/>
          <w:sz w:val="24"/>
          <w:szCs w:val="24"/>
          <w:rtl/>
        </w:rPr>
        <w:t xml:space="preserve"> </w:t>
      </w:r>
      <w:r w:rsidR="00A94271">
        <w:rPr>
          <w:rFonts w:asciiTheme="majorBidi" w:hAnsiTheme="majorBidi" w:cstheme="majorBidi" w:hint="cs"/>
          <w:sz w:val="24"/>
          <w:szCs w:val="24"/>
          <w:rtl/>
        </w:rPr>
        <w:t>מסכם הרב גוסטמן</w:t>
      </w:r>
      <w:r w:rsidR="00A94271">
        <w:rPr>
          <w:rStyle w:val="af0"/>
          <w:rFonts w:asciiTheme="majorBidi" w:hAnsiTheme="majorBidi" w:cstheme="majorBidi"/>
          <w:sz w:val="24"/>
          <w:szCs w:val="24"/>
          <w:rtl/>
        </w:rPr>
        <w:footnoteReference w:id="15"/>
      </w:r>
      <w:r w:rsidR="00A94271">
        <w:rPr>
          <w:rFonts w:asciiTheme="majorBidi" w:hAnsiTheme="majorBidi" w:cstheme="majorBidi" w:hint="cs"/>
          <w:sz w:val="24"/>
          <w:szCs w:val="24"/>
          <w:rtl/>
        </w:rPr>
        <w:t>:</w:t>
      </w:r>
    </w:p>
    <w:p w14:paraId="28246191" w14:textId="682E07A5" w:rsidR="0077646C" w:rsidRPr="0077646C" w:rsidRDefault="00A94271" w:rsidP="0077646C">
      <w:pPr>
        <w:spacing w:after="0" w:line="360" w:lineRule="auto"/>
        <w:rPr>
          <w:rFonts w:ascii="David" w:hAnsi="David" w:cs="David"/>
          <w:sz w:val="24"/>
          <w:szCs w:val="24"/>
          <w:rtl/>
        </w:rPr>
      </w:pPr>
      <w:r>
        <w:rPr>
          <w:rFonts w:ascii="David" w:hAnsi="David" w:cs="David" w:hint="cs"/>
          <w:sz w:val="24"/>
          <w:szCs w:val="24"/>
          <w:rtl/>
        </w:rPr>
        <w:lastRenderedPageBreak/>
        <w:t>"א. שיטת חינוך טור ורמב"ם, דבין במשקל חסר בין במרתיח, עובר משעת עשייה והרתחה, ושיעורו בכלשהו. ב.שיטת הסמ"ג, דנהי דעובר משעת עשייה והרתחה, מגין דיין ועוול במשפט, אפילו הכי שיעורו בפרוטה. ג. שיטת ריטב"א דבמשקל חסר עובר משעת עשייה ושיעורו בכל שהוא, אבל במרתיח אינו עובר משעת הרתחה ושיעורו בפרוטה</w:t>
      </w:r>
      <w:r>
        <w:rPr>
          <w:rStyle w:val="af0"/>
          <w:rFonts w:ascii="David" w:hAnsi="David" w:cs="David"/>
          <w:sz w:val="24"/>
          <w:szCs w:val="24"/>
          <w:rtl/>
        </w:rPr>
        <w:footnoteReference w:id="16"/>
      </w:r>
      <w:r>
        <w:rPr>
          <w:rFonts w:ascii="David" w:hAnsi="David" w:cs="David" w:hint="cs"/>
          <w:sz w:val="24"/>
          <w:szCs w:val="24"/>
          <w:rtl/>
        </w:rPr>
        <w:t>".</w:t>
      </w:r>
    </w:p>
    <w:p w14:paraId="6029672C" w14:textId="2E49A32D" w:rsidR="00873190" w:rsidRDefault="00094EEA" w:rsidP="00873190">
      <w:pPr>
        <w:spacing w:after="0" w:line="360" w:lineRule="auto"/>
        <w:rPr>
          <w:rFonts w:asciiTheme="majorBidi" w:hAnsiTheme="majorBidi" w:cstheme="majorBidi"/>
          <w:b/>
          <w:bCs/>
          <w:sz w:val="24"/>
          <w:szCs w:val="24"/>
          <w:rtl/>
        </w:rPr>
      </w:pPr>
      <w:r>
        <w:rPr>
          <w:rFonts w:ascii="David" w:hAnsi="David" w:cs="David" w:hint="cs"/>
          <w:sz w:val="24"/>
          <w:szCs w:val="24"/>
          <w:rtl/>
        </w:rPr>
        <w:t xml:space="preserve"> </w:t>
      </w:r>
      <w:r w:rsidR="0077646C">
        <w:rPr>
          <w:rFonts w:asciiTheme="majorBidi" w:hAnsiTheme="majorBidi" w:cstheme="majorBidi" w:hint="cs"/>
          <w:b/>
          <w:bCs/>
          <w:sz w:val="24"/>
          <w:szCs w:val="24"/>
          <w:rtl/>
        </w:rPr>
        <w:t xml:space="preserve">ה. </w:t>
      </w:r>
      <w:r w:rsidR="006B6E80">
        <w:rPr>
          <w:rFonts w:asciiTheme="majorBidi" w:hAnsiTheme="majorBidi" w:cstheme="majorBidi" w:hint="cs"/>
          <w:b/>
          <w:bCs/>
          <w:sz w:val="24"/>
          <w:szCs w:val="24"/>
          <w:rtl/>
        </w:rPr>
        <w:t>מרתיח</w:t>
      </w:r>
    </w:p>
    <w:p w14:paraId="06527624" w14:textId="302132A4" w:rsidR="00A669DB" w:rsidRPr="00A669DB" w:rsidRDefault="00A669DB" w:rsidP="00873190">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כמה הצעות בהבנת איסור מרתיח: </w:t>
      </w:r>
    </w:p>
    <w:p w14:paraId="292121C8" w14:textId="194CF10A" w:rsidR="00873190" w:rsidRPr="00A739A8" w:rsidRDefault="00A669DB" w:rsidP="00873190">
      <w:pPr>
        <w:spacing w:after="0" w:line="360" w:lineRule="auto"/>
        <w:rPr>
          <w:rFonts w:ascii="David" w:hAnsi="David" w:cs="David"/>
          <w:sz w:val="24"/>
          <w:szCs w:val="24"/>
          <w:rtl/>
        </w:rPr>
      </w:pPr>
      <w:r w:rsidRPr="00A739A8">
        <w:rPr>
          <w:rFonts w:ascii="David" w:hAnsi="David" w:cs="David"/>
          <w:sz w:val="24"/>
          <w:szCs w:val="24"/>
          <w:rtl/>
        </w:rPr>
        <w:t>"</w:t>
      </w:r>
      <w:r w:rsidR="00873190" w:rsidRPr="00A739A8">
        <w:rPr>
          <w:rFonts w:ascii="David" w:hAnsi="David" w:cs="David"/>
          <w:sz w:val="24"/>
          <w:szCs w:val="24"/>
          <w:rtl/>
        </w:rPr>
        <w:t>מצאתי בשטה בשם רבינו תם שלא ירתיח</w:t>
      </w:r>
      <w:r w:rsidRPr="00A739A8">
        <w:rPr>
          <w:rFonts w:ascii="David" w:hAnsi="David" w:cs="David"/>
          <w:sz w:val="24"/>
          <w:szCs w:val="24"/>
          <w:rtl/>
        </w:rPr>
        <w:t>-</w:t>
      </w:r>
      <w:r w:rsidR="00873190" w:rsidRPr="00A739A8">
        <w:rPr>
          <w:rFonts w:ascii="David" w:hAnsi="David" w:cs="David"/>
          <w:sz w:val="24"/>
          <w:szCs w:val="24"/>
          <w:rtl/>
        </w:rPr>
        <w:t xml:space="preserve"> פירוש שלא יחמם וימכור בלח אלא ימכרנו צונן לפי שכשהוא חם הוא מוסיף במדה</w:t>
      </w:r>
      <w:r w:rsidRPr="00A739A8">
        <w:rPr>
          <w:rStyle w:val="af0"/>
          <w:rFonts w:ascii="David" w:hAnsi="David" w:cs="David"/>
          <w:sz w:val="24"/>
          <w:szCs w:val="24"/>
          <w:rtl/>
        </w:rPr>
        <w:footnoteReference w:id="17"/>
      </w:r>
      <w:r w:rsidRPr="00A739A8">
        <w:rPr>
          <w:rFonts w:ascii="David" w:hAnsi="David" w:cs="David"/>
          <w:sz w:val="24"/>
          <w:szCs w:val="24"/>
          <w:rtl/>
        </w:rPr>
        <w:t>"</w:t>
      </w:r>
      <w:r w:rsidR="00873190" w:rsidRPr="00A739A8">
        <w:rPr>
          <w:rFonts w:ascii="David" w:hAnsi="David" w:cs="David"/>
          <w:sz w:val="24"/>
          <w:szCs w:val="24"/>
          <w:rtl/>
        </w:rPr>
        <w:t>.</w:t>
      </w:r>
    </w:p>
    <w:p w14:paraId="2C41AE86" w14:textId="1294E0B6" w:rsidR="000544F5" w:rsidRDefault="00A669DB" w:rsidP="000544F5">
      <w:pPr>
        <w:spacing w:after="0" w:line="360" w:lineRule="auto"/>
        <w:rPr>
          <w:rFonts w:ascii="David" w:hAnsi="David" w:cs="David"/>
          <w:sz w:val="24"/>
          <w:szCs w:val="24"/>
          <w:rtl/>
        </w:rPr>
      </w:pPr>
      <w:r>
        <w:rPr>
          <w:rFonts w:ascii="David" w:hAnsi="David" w:cs="David" w:hint="cs"/>
          <w:sz w:val="24"/>
          <w:szCs w:val="24"/>
          <w:rtl/>
        </w:rPr>
        <w:t>"</w:t>
      </w:r>
      <w:r w:rsidR="000544F5" w:rsidRPr="000544F5">
        <w:rPr>
          <w:rFonts w:ascii="David" w:hAnsi="David" w:cs="David"/>
          <w:sz w:val="24"/>
          <w:szCs w:val="24"/>
          <w:rtl/>
        </w:rPr>
        <w:t>כשמודד השמן או היין לא יערה בכח במדה, מפני שנעשו המשקין כמרתיחין, ותתראה עכשיו המדה מלאה, ולאחר שינוחו המשקין פוחתת המדה</w:t>
      </w:r>
      <w:r>
        <w:rPr>
          <w:rStyle w:val="af0"/>
          <w:rFonts w:ascii="David" w:hAnsi="David" w:cs="David"/>
          <w:sz w:val="24"/>
          <w:szCs w:val="24"/>
          <w:rtl/>
        </w:rPr>
        <w:footnoteReference w:id="18"/>
      </w:r>
      <w:r>
        <w:rPr>
          <w:rFonts w:ascii="David" w:hAnsi="David" w:cs="David" w:hint="cs"/>
          <w:sz w:val="24"/>
          <w:szCs w:val="24"/>
          <w:rtl/>
        </w:rPr>
        <w:t>".</w:t>
      </w:r>
    </w:p>
    <w:p w14:paraId="2F2F12AF" w14:textId="7E4FB3CB" w:rsidR="000544F5" w:rsidRPr="00A669DB" w:rsidRDefault="00A669DB" w:rsidP="00A669DB">
      <w:pPr>
        <w:spacing w:after="0" w:line="360" w:lineRule="auto"/>
        <w:rPr>
          <w:rFonts w:asciiTheme="majorBidi" w:hAnsiTheme="majorBidi" w:cstheme="majorBidi"/>
          <w:sz w:val="24"/>
          <w:szCs w:val="24"/>
          <w:rtl/>
        </w:rPr>
      </w:pPr>
      <w:r>
        <w:rPr>
          <w:rFonts w:asciiTheme="majorBidi" w:hAnsiTheme="majorBidi" w:cstheme="majorBidi" w:hint="cs"/>
          <w:sz w:val="24"/>
          <w:szCs w:val="24"/>
          <w:rtl/>
        </w:rPr>
        <w:t>מבאר</w:t>
      </w:r>
      <w:r w:rsidR="000544F5" w:rsidRPr="00A669DB">
        <w:rPr>
          <w:rFonts w:asciiTheme="majorBidi" w:hAnsiTheme="majorBidi" w:cstheme="majorBidi"/>
          <w:sz w:val="24"/>
          <w:szCs w:val="24"/>
          <w:rtl/>
        </w:rPr>
        <w:t xml:space="preserve"> המהר"ל</w:t>
      </w:r>
      <w:r>
        <w:rPr>
          <w:rFonts w:asciiTheme="majorBidi" w:hAnsiTheme="majorBidi" w:cstheme="majorBidi" w:hint="cs"/>
          <w:sz w:val="24"/>
          <w:szCs w:val="24"/>
          <w:rtl/>
        </w:rPr>
        <w:t xml:space="preserve">: </w:t>
      </w:r>
      <w:r>
        <w:rPr>
          <w:rFonts w:ascii="David" w:hAnsi="David" w:cs="David" w:hint="cs"/>
          <w:sz w:val="24"/>
          <w:szCs w:val="24"/>
          <w:rtl/>
        </w:rPr>
        <w:t>"</w:t>
      </w:r>
      <w:r w:rsidR="000544F5" w:rsidRPr="000544F5">
        <w:rPr>
          <w:rFonts w:ascii="David" w:hAnsi="David" w:cs="David"/>
          <w:sz w:val="24"/>
          <w:szCs w:val="24"/>
          <w:rtl/>
        </w:rPr>
        <w:t>וא"ת פשיטא</w:t>
      </w:r>
      <w:r w:rsidR="00A739A8">
        <w:rPr>
          <w:rFonts w:ascii="David" w:hAnsi="David" w:cs="David" w:hint="cs"/>
          <w:sz w:val="24"/>
          <w:szCs w:val="24"/>
          <w:rtl/>
        </w:rPr>
        <w:t>,</w:t>
      </w:r>
      <w:r w:rsidR="000544F5" w:rsidRPr="000544F5">
        <w:rPr>
          <w:rFonts w:ascii="David" w:hAnsi="David" w:cs="David"/>
          <w:sz w:val="24"/>
          <w:szCs w:val="24"/>
          <w:rtl/>
        </w:rPr>
        <w:t xml:space="preserve"> גזל מעליא הוא</w:t>
      </w:r>
      <w:r w:rsidR="00A739A8">
        <w:rPr>
          <w:rFonts w:ascii="David" w:hAnsi="David" w:cs="David" w:hint="cs"/>
          <w:sz w:val="24"/>
          <w:szCs w:val="24"/>
          <w:rtl/>
        </w:rPr>
        <w:t>?</w:t>
      </w:r>
      <w:r w:rsidR="000544F5" w:rsidRPr="000544F5">
        <w:rPr>
          <w:rFonts w:ascii="David" w:hAnsi="David" w:cs="David"/>
          <w:sz w:val="24"/>
          <w:szCs w:val="24"/>
          <w:rtl/>
        </w:rPr>
        <w:t xml:space="preserve"> ויראה דהוה אמינא כיון שהוא עושה כדרכו ובני אדם קוראים שהמידה מלאה, קמ"ל דלא אמרינן כך. וכך כאשר מודד לאחד בימות החמה ולאחד בימות הגשמים, הוה אמינא כיון שהוא מודד לזה בימות החמה והחבל דרכו שיהיה כך</w:t>
      </w:r>
      <w:r w:rsidR="00A739A8">
        <w:rPr>
          <w:rFonts w:ascii="David" w:hAnsi="David" w:cs="David" w:hint="cs"/>
          <w:sz w:val="24"/>
          <w:szCs w:val="24"/>
          <w:rtl/>
        </w:rPr>
        <w:t>,</w:t>
      </w:r>
      <w:r w:rsidR="000544F5" w:rsidRPr="000544F5">
        <w:rPr>
          <w:rFonts w:ascii="David" w:hAnsi="David" w:cs="David"/>
          <w:sz w:val="24"/>
          <w:szCs w:val="24"/>
          <w:rtl/>
        </w:rPr>
        <w:t xml:space="preserve"> וכן לשני בימות הגשמים ודרך החבל להיות כך הוה אמינא דשרי, קמ"ל</w:t>
      </w:r>
      <w:r>
        <w:rPr>
          <w:rFonts w:ascii="David" w:hAnsi="David" w:cs="David" w:hint="cs"/>
          <w:sz w:val="24"/>
          <w:szCs w:val="24"/>
          <w:rtl/>
        </w:rPr>
        <w:t>"</w:t>
      </w:r>
      <w:r w:rsidR="000544F5" w:rsidRPr="000544F5">
        <w:rPr>
          <w:rFonts w:ascii="David" w:hAnsi="David" w:cs="David"/>
          <w:sz w:val="24"/>
          <w:szCs w:val="24"/>
          <w:rtl/>
        </w:rPr>
        <w:t>.</w:t>
      </w:r>
    </w:p>
    <w:p w14:paraId="64FB9B00" w14:textId="528D4554" w:rsidR="000544F5" w:rsidRDefault="00A669DB" w:rsidP="000544F5">
      <w:pPr>
        <w:spacing w:after="0" w:line="360" w:lineRule="auto"/>
        <w:rPr>
          <w:rFonts w:ascii="David" w:hAnsi="David" w:cs="David"/>
          <w:sz w:val="24"/>
          <w:szCs w:val="24"/>
          <w:rtl/>
        </w:rPr>
      </w:pPr>
      <w:r>
        <w:rPr>
          <w:rFonts w:ascii="David" w:hAnsi="David" w:cs="David" w:hint="cs"/>
          <w:sz w:val="24"/>
          <w:szCs w:val="24"/>
          <w:rtl/>
        </w:rPr>
        <w:t xml:space="preserve"> </w:t>
      </w:r>
    </w:p>
    <w:sectPr w:rsidR="000544F5" w:rsidSect="00580DF7">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F211" w14:textId="77777777" w:rsidR="00580DF7" w:rsidRDefault="00580DF7" w:rsidP="00880557">
      <w:pPr>
        <w:spacing w:after="0" w:line="240" w:lineRule="auto"/>
      </w:pPr>
      <w:r>
        <w:separator/>
      </w:r>
    </w:p>
  </w:endnote>
  <w:endnote w:type="continuationSeparator" w:id="0">
    <w:p w14:paraId="2D43644F" w14:textId="77777777" w:rsidR="00580DF7" w:rsidRDefault="00580DF7" w:rsidP="0088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DE33" w14:textId="77777777" w:rsidR="00580DF7" w:rsidRDefault="00580DF7" w:rsidP="00880557">
      <w:pPr>
        <w:spacing w:after="0" w:line="240" w:lineRule="auto"/>
      </w:pPr>
      <w:r>
        <w:separator/>
      </w:r>
    </w:p>
  </w:footnote>
  <w:footnote w:type="continuationSeparator" w:id="0">
    <w:p w14:paraId="66676AF4" w14:textId="77777777" w:rsidR="00580DF7" w:rsidRDefault="00580DF7" w:rsidP="00880557">
      <w:pPr>
        <w:spacing w:after="0" w:line="240" w:lineRule="auto"/>
      </w:pPr>
      <w:r>
        <w:continuationSeparator/>
      </w:r>
    </w:p>
  </w:footnote>
  <w:footnote w:id="1">
    <w:p w14:paraId="0C61501E" w14:textId="7E07C503" w:rsidR="00450E1F" w:rsidRPr="0077646C" w:rsidRDefault="00450E1F" w:rsidP="0077646C">
      <w:pPr>
        <w:pStyle w:val="ae"/>
        <w:spacing w:line="360" w:lineRule="auto"/>
        <w:rPr>
          <w:rFonts w:asciiTheme="majorBidi" w:hAnsiTheme="majorBidi" w:cstheme="majorBidi"/>
          <w:rtl/>
        </w:rPr>
      </w:pPr>
      <w:r w:rsidRPr="0077646C">
        <w:rPr>
          <w:rStyle w:val="af0"/>
          <w:rFonts w:asciiTheme="majorBidi" w:hAnsiTheme="majorBidi" w:cstheme="majorBidi"/>
        </w:rPr>
        <w:footnoteRef/>
      </w:r>
      <w:r w:rsidRPr="0077646C">
        <w:rPr>
          <w:rFonts w:asciiTheme="majorBidi" w:hAnsiTheme="majorBidi" w:cstheme="majorBidi"/>
          <w:rtl/>
        </w:rPr>
        <w:t xml:space="preserve"> רמב"ם הלכות גניבה פרק ח הלכה ז.</w:t>
      </w:r>
    </w:p>
  </w:footnote>
  <w:footnote w:id="2">
    <w:p w14:paraId="25AC2946" w14:textId="0FE0F522" w:rsidR="00450E1F" w:rsidRPr="0077646C" w:rsidRDefault="00450E1F" w:rsidP="0077646C">
      <w:pPr>
        <w:pStyle w:val="ae"/>
        <w:spacing w:line="360" w:lineRule="auto"/>
        <w:rPr>
          <w:rFonts w:asciiTheme="majorBidi" w:hAnsiTheme="majorBidi" w:cstheme="majorBidi"/>
        </w:rPr>
      </w:pPr>
      <w:r w:rsidRPr="0077646C">
        <w:rPr>
          <w:rStyle w:val="af0"/>
          <w:rFonts w:asciiTheme="majorBidi" w:hAnsiTheme="majorBidi" w:cstheme="majorBidi"/>
        </w:rPr>
        <w:footnoteRef/>
      </w:r>
      <w:r w:rsidRPr="0077646C">
        <w:rPr>
          <w:rFonts w:asciiTheme="majorBidi" w:hAnsiTheme="majorBidi" w:cstheme="majorBidi"/>
          <w:rtl/>
        </w:rPr>
        <w:t xml:space="preserve"> סימן קמא </w:t>
      </w:r>
    </w:p>
  </w:footnote>
  <w:footnote w:id="3">
    <w:p w14:paraId="4324232F" w14:textId="1C87AA1F" w:rsidR="00450E1F" w:rsidRPr="0077646C" w:rsidRDefault="00450E1F" w:rsidP="0077646C">
      <w:pPr>
        <w:pStyle w:val="ae"/>
        <w:spacing w:line="360" w:lineRule="auto"/>
        <w:rPr>
          <w:rFonts w:asciiTheme="majorBidi" w:hAnsiTheme="majorBidi" w:cstheme="majorBidi"/>
        </w:rPr>
      </w:pPr>
      <w:r w:rsidRPr="0077646C">
        <w:rPr>
          <w:rStyle w:val="af0"/>
          <w:rFonts w:asciiTheme="majorBidi" w:hAnsiTheme="majorBidi" w:cstheme="majorBidi"/>
        </w:rPr>
        <w:footnoteRef/>
      </w:r>
      <w:r w:rsidRPr="0077646C">
        <w:rPr>
          <w:rFonts w:asciiTheme="majorBidi" w:hAnsiTheme="majorBidi" w:cstheme="majorBidi"/>
          <w:rtl/>
        </w:rPr>
        <w:t xml:space="preserve"> חושן משפט סימן רלא סעיף יא.</w:t>
      </w:r>
    </w:p>
  </w:footnote>
  <w:footnote w:id="4">
    <w:p w14:paraId="01CDC57D" w14:textId="5C54C424" w:rsidR="00450E1F" w:rsidRPr="0077646C" w:rsidRDefault="00450E1F" w:rsidP="0077646C">
      <w:pPr>
        <w:pStyle w:val="ae"/>
        <w:spacing w:line="360" w:lineRule="auto"/>
        <w:rPr>
          <w:rFonts w:asciiTheme="majorBidi" w:hAnsiTheme="majorBidi" w:cstheme="majorBidi"/>
        </w:rPr>
      </w:pPr>
      <w:r w:rsidRPr="0077646C">
        <w:rPr>
          <w:rStyle w:val="af0"/>
          <w:rFonts w:asciiTheme="majorBidi" w:hAnsiTheme="majorBidi" w:cstheme="majorBidi"/>
        </w:rPr>
        <w:footnoteRef/>
      </w:r>
      <w:r w:rsidRPr="0077646C">
        <w:rPr>
          <w:rFonts w:asciiTheme="majorBidi" w:hAnsiTheme="majorBidi" w:cstheme="majorBidi"/>
          <w:rtl/>
        </w:rPr>
        <w:t xml:space="preserve"> בירור הלכה למסכת בבא בתרא,  דף פט עמוד ב ציון י.</w:t>
      </w:r>
    </w:p>
  </w:footnote>
  <w:footnote w:id="5">
    <w:p w14:paraId="2FA1B9D2" w14:textId="034F5DE2" w:rsidR="00094EEA" w:rsidRPr="0077646C" w:rsidRDefault="00094EEA" w:rsidP="0077646C">
      <w:pPr>
        <w:pStyle w:val="ae"/>
        <w:rPr>
          <w:rFonts w:asciiTheme="majorBidi" w:hAnsiTheme="majorBidi" w:cstheme="majorBidi"/>
        </w:rPr>
      </w:pPr>
      <w:r w:rsidRPr="0077646C">
        <w:rPr>
          <w:rStyle w:val="af0"/>
          <w:rFonts w:asciiTheme="majorBidi" w:hAnsiTheme="majorBidi" w:cstheme="majorBidi"/>
        </w:rPr>
        <w:footnoteRef/>
      </w:r>
      <w:r w:rsidRPr="0077646C">
        <w:rPr>
          <w:rFonts w:asciiTheme="majorBidi" w:hAnsiTheme="majorBidi" w:cstheme="majorBidi"/>
          <w:rtl/>
        </w:rPr>
        <w:t xml:space="preserve"> </w:t>
      </w:r>
      <w:r w:rsidRPr="0077646C">
        <w:rPr>
          <w:rFonts w:ascii="David" w:hAnsi="David" w:cs="David"/>
          <w:rtl/>
        </w:rPr>
        <w:t>"בשם רבינו תם, שלא ירתיח- פירוש שלא יחמם וימכור בלח אלא ימכרנו צונן. לפי שכשהוא חם הוא מוסיף במדה"</w:t>
      </w:r>
      <w:r w:rsidRPr="0077646C">
        <w:rPr>
          <w:rFonts w:asciiTheme="majorBidi" w:hAnsiTheme="majorBidi" w:cstheme="majorBidi"/>
          <w:rtl/>
        </w:rPr>
        <w:t xml:space="preserve"> (שיטה מקובצת).</w:t>
      </w:r>
    </w:p>
  </w:footnote>
  <w:footnote w:id="6">
    <w:p w14:paraId="5C562553" w14:textId="361BD228" w:rsidR="00094EEA" w:rsidRPr="0077646C" w:rsidRDefault="00094EEA" w:rsidP="0077646C">
      <w:pPr>
        <w:pStyle w:val="ae"/>
        <w:spacing w:line="360" w:lineRule="auto"/>
        <w:rPr>
          <w:rFonts w:asciiTheme="majorBidi" w:hAnsiTheme="majorBidi" w:cstheme="majorBidi"/>
        </w:rPr>
      </w:pPr>
      <w:r w:rsidRPr="0077646C">
        <w:rPr>
          <w:rStyle w:val="af0"/>
          <w:rFonts w:asciiTheme="majorBidi" w:hAnsiTheme="majorBidi" w:cstheme="majorBidi"/>
        </w:rPr>
        <w:footnoteRef/>
      </w:r>
      <w:r w:rsidRPr="0077646C">
        <w:rPr>
          <w:rFonts w:asciiTheme="majorBidi" w:hAnsiTheme="majorBidi" w:cstheme="majorBidi"/>
          <w:rtl/>
        </w:rPr>
        <w:t xml:space="preserve"> מסכת בבא בתרא דף פט עמוד ב.</w:t>
      </w:r>
    </w:p>
  </w:footnote>
  <w:footnote w:id="7">
    <w:p w14:paraId="4E59E0D8" w14:textId="77777777" w:rsidR="006B6E80" w:rsidRPr="0077646C" w:rsidRDefault="006B6E80" w:rsidP="0077646C">
      <w:pPr>
        <w:pStyle w:val="ae"/>
        <w:spacing w:line="360" w:lineRule="auto"/>
        <w:rPr>
          <w:rFonts w:asciiTheme="majorBidi" w:hAnsiTheme="majorBidi" w:cstheme="majorBidi"/>
        </w:rPr>
      </w:pPr>
      <w:r w:rsidRPr="0077646C">
        <w:rPr>
          <w:rStyle w:val="af0"/>
          <w:rFonts w:asciiTheme="majorBidi" w:hAnsiTheme="majorBidi" w:cstheme="majorBidi"/>
        </w:rPr>
        <w:footnoteRef/>
      </w:r>
      <w:r w:rsidRPr="0077646C">
        <w:rPr>
          <w:rFonts w:asciiTheme="majorBidi" w:hAnsiTheme="majorBidi" w:cstheme="majorBidi"/>
          <w:rtl/>
        </w:rPr>
        <w:t xml:space="preserve"> אות מא.</w:t>
      </w:r>
    </w:p>
  </w:footnote>
  <w:footnote w:id="8">
    <w:p w14:paraId="69139CF3" w14:textId="77777777" w:rsidR="006B6E80" w:rsidRPr="0077646C" w:rsidRDefault="006B6E80" w:rsidP="0077646C">
      <w:pPr>
        <w:spacing w:after="0" w:line="240" w:lineRule="auto"/>
        <w:rPr>
          <w:rFonts w:ascii="David" w:hAnsi="David" w:cs="David"/>
          <w:sz w:val="20"/>
          <w:szCs w:val="20"/>
          <w:rtl/>
        </w:rPr>
      </w:pPr>
      <w:r w:rsidRPr="0077646C">
        <w:rPr>
          <w:rStyle w:val="af0"/>
          <w:sz w:val="20"/>
          <w:szCs w:val="20"/>
        </w:rPr>
        <w:footnoteRef/>
      </w:r>
      <w:r w:rsidRPr="0077646C">
        <w:rPr>
          <w:sz w:val="20"/>
          <w:szCs w:val="20"/>
          <w:rtl/>
        </w:rPr>
        <w:t xml:space="preserve"> </w:t>
      </w:r>
      <w:r w:rsidRPr="0077646C">
        <w:rPr>
          <w:rFonts w:ascii="David" w:hAnsi="David" w:cs="David"/>
          <w:sz w:val="20"/>
          <w:szCs w:val="20"/>
          <w:rtl/>
        </w:rPr>
        <w:t>[א"ה, לכאורה לפמש"נ (ס"ק הקודם) צ"ב</w:t>
      </w:r>
      <w:r w:rsidRPr="0077646C">
        <w:rPr>
          <w:rFonts w:ascii="David" w:hAnsi="David" w:cs="David" w:hint="cs"/>
          <w:sz w:val="20"/>
          <w:szCs w:val="20"/>
          <w:rtl/>
        </w:rPr>
        <w:t xml:space="preserve">, </w:t>
      </w:r>
      <w:r w:rsidRPr="0077646C">
        <w:rPr>
          <w:rFonts w:ascii="David" w:hAnsi="David" w:cs="David"/>
          <w:sz w:val="20"/>
          <w:szCs w:val="20"/>
          <w:rtl/>
        </w:rPr>
        <w:t>מ"ט קשה רק בשיקר בפחות משו"פ, דהא אפי' בשיקר ביותר משו"פ נמי קשה מ"ט לא ילקה, דלפמש"נ הרי הלאו אינו הגזילה, רק מה ששיקר במשקל ומה שייך בזה ניתן לתשלומין, וצ"ת].</w:t>
      </w:r>
    </w:p>
    <w:p w14:paraId="3079185B" w14:textId="77777777" w:rsidR="006B6E80" w:rsidRDefault="006B6E80" w:rsidP="006B6E80">
      <w:pPr>
        <w:pStyle w:val="ae"/>
      </w:pPr>
    </w:p>
  </w:footnote>
  <w:footnote w:id="9">
    <w:p w14:paraId="293CAF7B" w14:textId="44D22D12" w:rsidR="00A669DB" w:rsidRPr="0077646C" w:rsidRDefault="00A669DB" w:rsidP="0077646C">
      <w:pPr>
        <w:pStyle w:val="ae"/>
        <w:spacing w:line="360" w:lineRule="auto"/>
        <w:rPr>
          <w:rFonts w:asciiTheme="majorBidi" w:hAnsiTheme="majorBidi" w:cstheme="majorBidi"/>
        </w:rPr>
      </w:pPr>
      <w:r w:rsidRPr="0077646C">
        <w:rPr>
          <w:rStyle w:val="af0"/>
          <w:rFonts w:asciiTheme="majorBidi" w:hAnsiTheme="majorBidi" w:cstheme="majorBidi"/>
        </w:rPr>
        <w:footnoteRef/>
      </w:r>
      <w:r w:rsidRPr="0077646C">
        <w:rPr>
          <w:rFonts w:asciiTheme="majorBidi" w:hAnsiTheme="majorBidi" w:cstheme="majorBidi"/>
          <w:rtl/>
        </w:rPr>
        <w:t xml:space="preserve"> רמב"ם הלכות גניבה פרק ח הלכה ז.</w:t>
      </w:r>
    </w:p>
  </w:footnote>
  <w:footnote w:id="10">
    <w:p w14:paraId="1A7A8CCE" w14:textId="7A5F3C77" w:rsidR="00D35D3B" w:rsidRPr="0077646C" w:rsidRDefault="00D35D3B" w:rsidP="0077646C">
      <w:pPr>
        <w:pStyle w:val="ae"/>
        <w:spacing w:line="360" w:lineRule="auto"/>
        <w:rPr>
          <w:rFonts w:asciiTheme="majorBidi" w:hAnsiTheme="majorBidi" w:cstheme="majorBidi"/>
        </w:rPr>
      </w:pPr>
      <w:r w:rsidRPr="0077646C">
        <w:rPr>
          <w:rStyle w:val="af0"/>
          <w:rFonts w:asciiTheme="majorBidi" w:hAnsiTheme="majorBidi" w:cstheme="majorBidi"/>
        </w:rPr>
        <w:footnoteRef/>
      </w:r>
      <w:r w:rsidRPr="0077646C">
        <w:rPr>
          <w:rFonts w:asciiTheme="majorBidi" w:hAnsiTheme="majorBidi" w:cstheme="majorBidi"/>
          <w:rtl/>
        </w:rPr>
        <w:t xml:space="preserve"> </w:t>
      </w:r>
      <w:r w:rsidR="00D526AC" w:rsidRPr="0077646C">
        <w:rPr>
          <w:rFonts w:asciiTheme="majorBidi" w:hAnsiTheme="majorBidi" w:cstheme="majorBidi"/>
          <w:rtl/>
        </w:rPr>
        <w:t xml:space="preserve">ל"ת קנב. </w:t>
      </w:r>
      <w:r w:rsidRPr="0077646C">
        <w:rPr>
          <w:rFonts w:asciiTheme="majorBidi" w:hAnsiTheme="majorBidi" w:cstheme="majorBidi"/>
          <w:rtl/>
        </w:rPr>
        <w:t xml:space="preserve">מובא במנחת חינוך </w:t>
      </w:r>
    </w:p>
  </w:footnote>
  <w:footnote w:id="11">
    <w:p w14:paraId="62C23681" w14:textId="29E5ABD0" w:rsidR="00D35D3B" w:rsidRPr="0077646C" w:rsidRDefault="00D35D3B" w:rsidP="0077646C">
      <w:pPr>
        <w:pStyle w:val="ae"/>
        <w:spacing w:line="360" w:lineRule="auto"/>
        <w:rPr>
          <w:rFonts w:asciiTheme="majorBidi" w:hAnsiTheme="majorBidi" w:cstheme="majorBidi"/>
        </w:rPr>
      </w:pPr>
      <w:r w:rsidRPr="0077646C">
        <w:rPr>
          <w:rStyle w:val="af0"/>
          <w:rFonts w:asciiTheme="majorBidi" w:hAnsiTheme="majorBidi" w:cstheme="majorBidi"/>
        </w:rPr>
        <w:footnoteRef/>
      </w:r>
      <w:r w:rsidRPr="0077646C">
        <w:rPr>
          <w:rFonts w:asciiTheme="majorBidi" w:hAnsiTheme="majorBidi" w:cstheme="majorBidi"/>
          <w:rtl/>
        </w:rPr>
        <w:t xml:space="preserve"> הרב גוסטמן , קונטרסי שיעורים שיעור כה סוף אות א. </w:t>
      </w:r>
    </w:p>
  </w:footnote>
  <w:footnote w:id="12">
    <w:p w14:paraId="637C4842" w14:textId="43514AE8" w:rsidR="00880557" w:rsidRPr="0077646C" w:rsidRDefault="00880557" w:rsidP="0077646C">
      <w:pPr>
        <w:pStyle w:val="ae"/>
        <w:spacing w:line="360" w:lineRule="auto"/>
        <w:rPr>
          <w:rFonts w:asciiTheme="majorBidi" w:hAnsiTheme="majorBidi" w:cstheme="majorBidi"/>
          <w:rtl/>
        </w:rPr>
      </w:pPr>
      <w:r w:rsidRPr="0077646C">
        <w:rPr>
          <w:rStyle w:val="af0"/>
          <w:rFonts w:asciiTheme="majorBidi" w:hAnsiTheme="majorBidi" w:cstheme="majorBidi"/>
        </w:rPr>
        <w:footnoteRef/>
      </w:r>
      <w:r w:rsidRPr="0077646C">
        <w:rPr>
          <w:rFonts w:asciiTheme="majorBidi" w:hAnsiTheme="majorBidi" w:cstheme="majorBidi"/>
          <w:rtl/>
        </w:rPr>
        <w:t xml:space="preserve"> הרב גוסטמן , </w:t>
      </w:r>
      <w:r w:rsidR="0077646C">
        <w:rPr>
          <w:rFonts w:asciiTheme="majorBidi" w:hAnsiTheme="majorBidi" w:cstheme="majorBidi" w:hint="cs"/>
          <w:rtl/>
        </w:rPr>
        <w:t>שם</w:t>
      </w:r>
      <w:r w:rsidRPr="0077646C">
        <w:rPr>
          <w:rFonts w:asciiTheme="majorBidi" w:hAnsiTheme="majorBidi" w:cstheme="majorBidi"/>
          <w:rtl/>
        </w:rPr>
        <w:t xml:space="preserve"> אות </w:t>
      </w:r>
      <w:r w:rsidR="00A57D81" w:rsidRPr="0077646C">
        <w:rPr>
          <w:rFonts w:asciiTheme="majorBidi" w:hAnsiTheme="majorBidi" w:cstheme="majorBidi"/>
          <w:rtl/>
        </w:rPr>
        <w:t>ג</w:t>
      </w:r>
      <w:r w:rsidRPr="0077646C">
        <w:rPr>
          <w:rFonts w:asciiTheme="majorBidi" w:hAnsiTheme="majorBidi" w:cstheme="majorBidi"/>
          <w:rtl/>
        </w:rPr>
        <w:t>.</w:t>
      </w:r>
    </w:p>
  </w:footnote>
  <w:footnote w:id="13">
    <w:p w14:paraId="5CB3AC85" w14:textId="37C3D09D" w:rsidR="00A57D81" w:rsidRPr="0077646C" w:rsidRDefault="00A57D81" w:rsidP="0077646C">
      <w:pPr>
        <w:spacing w:after="0" w:line="360" w:lineRule="auto"/>
        <w:rPr>
          <w:rFonts w:asciiTheme="majorBidi" w:hAnsiTheme="majorBidi" w:cstheme="majorBidi"/>
          <w:sz w:val="20"/>
          <w:szCs w:val="20"/>
          <w:rtl/>
        </w:rPr>
      </w:pPr>
      <w:r w:rsidRPr="0077646C">
        <w:rPr>
          <w:rStyle w:val="af0"/>
          <w:rFonts w:asciiTheme="majorBidi" w:hAnsiTheme="majorBidi" w:cstheme="majorBidi"/>
          <w:sz w:val="20"/>
          <w:szCs w:val="20"/>
        </w:rPr>
        <w:footnoteRef/>
      </w:r>
      <w:r w:rsidRPr="0077646C">
        <w:rPr>
          <w:rFonts w:asciiTheme="majorBidi" w:hAnsiTheme="majorBidi" w:cstheme="majorBidi"/>
          <w:sz w:val="20"/>
          <w:szCs w:val="20"/>
          <w:rtl/>
        </w:rPr>
        <w:t xml:space="preserve"> מובא בביאור על ספר המצוות לרס"ג (הרב פערלא) לאוין ל"ת פז.</w:t>
      </w:r>
    </w:p>
  </w:footnote>
  <w:footnote w:id="14">
    <w:p w14:paraId="78B06114" w14:textId="64E68BD9" w:rsidR="00A57D81" w:rsidRPr="0077646C" w:rsidRDefault="00A57D81" w:rsidP="0077646C">
      <w:pPr>
        <w:pStyle w:val="ae"/>
        <w:spacing w:line="360" w:lineRule="auto"/>
        <w:rPr>
          <w:rFonts w:asciiTheme="majorBidi" w:hAnsiTheme="majorBidi" w:cstheme="majorBidi"/>
          <w:rtl/>
        </w:rPr>
      </w:pPr>
      <w:r w:rsidRPr="0077646C">
        <w:rPr>
          <w:rStyle w:val="af0"/>
          <w:rFonts w:asciiTheme="majorBidi" w:hAnsiTheme="majorBidi" w:cstheme="majorBidi"/>
        </w:rPr>
        <w:footnoteRef/>
      </w:r>
      <w:r w:rsidRPr="0077646C">
        <w:rPr>
          <w:rFonts w:asciiTheme="majorBidi" w:hAnsiTheme="majorBidi" w:cstheme="majorBidi"/>
          <w:rtl/>
        </w:rPr>
        <w:t xml:space="preserve"> הרב גוסטמן שם.</w:t>
      </w:r>
    </w:p>
  </w:footnote>
  <w:footnote w:id="15">
    <w:p w14:paraId="3A05D0F0" w14:textId="3CD2CA1E" w:rsidR="00A94271" w:rsidRPr="00A94271" w:rsidRDefault="00A94271">
      <w:pPr>
        <w:pStyle w:val="ae"/>
        <w:rPr>
          <w:rFonts w:asciiTheme="majorBidi" w:hAnsiTheme="majorBidi" w:cstheme="majorBidi"/>
          <w:rtl/>
        </w:rPr>
      </w:pPr>
      <w:r w:rsidRPr="00A94271">
        <w:rPr>
          <w:rStyle w:val="af0"/>
          <w:rFonts w:asciiTheme="majorBidi" w:hAnsiTheme="majorBidi" w:cstheme="majorBidi"/>
        </w:rPr>
        <w:footnoteRef/>
      </w:r>
      <w:r w:rsidRPr="00A94271">
        <w:rPr>
          <w:rFonts w:asciiTheme="majorBidi" w:hAnsiTheme="majorBidi" w:cstheme="majorBidi"/>
          <w:rtl/>
        </w:rPr>
        <w:t xml:space="preserve"> סוף אות ב. </w:t>
      </w:r>
    </w:p>
  </w:footnote>
  <w:footnote w:id="16">
    <w:p w14:paraId="48E82A05" w14:textId="40BE2925" w:rsidR="00A94271" w:rsidRPr="00A94271" w:rsidRDefault="00A94271" w:rsidP="00A94271">
      <w:pPr>
        <w:pStyle w:val="ae"/>
        <w:spacing w:line="360" w:lineRule="auto"/>
        <w:rPr>
          <w:rFonts w:asciiTheme="majorBidi" w:hAnsiTheme="majorBidi" w:cstheme="majorBidi"/>
        </w:rPr>
      </w:pPr>
      <w:r w:rsidRPr="00A94271">
        <w:rPr>
          <w:rStyle w:val="af0"/>
          <w:rFonts w:asciiTheme="majorBidi" w:hAnsiTheme="majorBidi" w:cstheme="majorBidi"/>
        </w:rPr>
        <w:footnoteRef/>
      </w:r>
      <w:r w:rsidRPr="00A94271">
        <w:rPr>
          <w:rFonts w:asciiTheme="majorBidi" w:hAnsiTheme="majorBidi" w:cstheme="majorBidi"/>
          <w:rtl/>
        </w:rPr>
        <w:t xml:space="preserve">  גם לדעה זו, </w:t>
      </w:r>
      <w:r w:rsidRPr="00A94271">
        <w:rPr>
          <w:rFonts w:ascii="David" w:hAnsi="David" w:cs="David"/>
          <w:rtl/>
        </w:rPr>
        <w:t>"חצי שיעור  אסור מה"ת"</w:t>
      </w:r>
      <w:r w:rsidRPr="00A94271">
        <w:rPr>
          <w:rFonts w:asciiTheme="majorBidi" w:hAnsiTheme="majorBidi" w:cstheme="majorBidi"/>
          <w:rtl/>
        </w:rPr>
        <w:t xml:space="preserve"> (</w:t>
      </w:r>
      <w:r>
        <w:rPr>
          <w:rFonts w:asciiTheme="majorBidi" w:hAnsiTheme="majorBidi" w:cstheme="majorBidi" w:hint="cs"/>
          <w:rtl/>
        </w:rPr>
        <w:t xml:space="preserve">על פי </w:t>
      </w:r>
      <w:r w:rsidRPr="00A94271">
        <w:rPr>
          <w:rFonts w:asciiTheme="majorBidi" w:hAnsiTheme="majorBidi" w:cstheme="majorBidi"/>
          <w:rtl/>
        </w:rPr>
        <w:t>מנחת חינוך מצוה רנח).</w:t>
      </w:r>
    </w:p>
  </w:footnote>
  <w:footnote w:id="17">
    <w:p w14:paraId="5C87BEB6" w14:textId="772BF2FA" w:rsidR="00A669DB" w:rsidRPr="00A94271" w:rsidRDefault="00A669DB" w:rsidP="00A94271">
      <w:pPr>
        <w:spacing w:after="0" w:line="360" w:lineRule="auto"/>
        <w:rPr>
          <w:rFonts w:asciiTheme="majorBidi" w:hAnsiTheme="majorBidi" w:cstheme="majorBidi"/>
          <w:sz w:val="20"/>
          <w:szCs w:val="20"/>
          <w:rtl/>
        </w:rPr>
      </w:pPr>
      <w:r w:rsidRPr="00A94271">
        <w:rPr>
          <w:rStyle w:val="af0"/>
          <w:rFonts w:asciiTheme="majorBidi" w:hAnsiTheme="majorBidi" w:cstheme="majorBidi"/>
          <w:sz w:val="20"/>
          <w:szCs w:val="20"/>
        </w:rPr>
        <w:footnoteRef/>
      </w:r>
      <w:r w:rsidRPr="00A94271">
        <w:rPr>
          <w:rFonts w:asciiTheme="majorBidi" w:hAnsiTheme="majorBidi" w:cstheme="majorBidi"/>
          <w:sz w:val="20"/>
          <w:szCs w:val="20"/>
          <w:rtl/>
        </w:rPr>
        <w:t xml:space="preserve"> שיטה מקובצת.</w:t>
      </w:r>
    </w:p>
  </w:footnote>
  <w:footnote w:id="18">
    <w:p w14:paraId="7B9C003F" w14:textId="4FF7C01F" w:rsidR="00A669DB" w:rsidRPr="00A94271" w:rsidRDefault="00A669DB" w:rsidP="00A94271">
      <w:pPr>
        <w:spacing w:after="0" w:line="360" w:lineRule="auto"/>
        <w:rPr>
          <w:rFonts w:asciiTheme="majorBidi" w:hAnsiTheme="majorBidi" w:cstheme="majorBidi"/>
          <w:sz w:val="20"/>
          <w:szCs w:val="20"/>
          <w:rtl/>
        </w:rPr>
      </w:pPr>
      <w:r w:rsidRPr="00A94271">
        <w:rPr>
          <w:rStyle w:val="af0"/>
          <w:rFonts w:asciiTheme="majorBidi" w:hAnsiTheme="majorBidi" w:cstheme="majorBidi"/>
          <w:sz w:val="20"/>
          <w:szCs w:val="20"/>
        </w:rPr>
        <w:footnoteRef/>
      </w:r>
      <w:r w:rsidRPr="00A94271">
        <w:rPr>
          <w:rFonts w:asciiTheme="majorBidi" w:hAnsiTheme="majorBidi" w:cstheme="majorBidi"/>
          <w:sz w:val="20"/>
          <w:szCs w:val="20"/>
          <w:rtl/>
        </w:rPr>
        <w:t xml:space="preserve"> ר' ברוך הספרדי (בשיטת הקדמונים). </w:t>
      </w:r>
    </w:p>
    <w:p w14:paraId="37BD1412" w14:textId="2AC25B23" w:rsidR="00A669DB" w:rsidRPr="00A94271" w:rsidRDefault="00A669DB" w:rsidP="00A94271">
      <w:pPr>
        <w:pStyle w:val="ae"/>
        <w:spacing w:line="360" w:lineRule="auto"/>
        <w:rPr>
          <w:rFonts w:asciiTheme="majorBidi" w:hAnsiTheme="majorBidi" w:cstheme="majorBidi"/>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46231604"/>
      <w:docPartObj>
        <w:docPartGallery w:val="Page Numbers (Top of Page)"/>
        <w:docPartUnique/>
      </w:docPartObj>
    </w:sdtPr>
    <w:sdtContent>
      <w:p w14:paraId="05C14CA5" w14:textId="403429B2" w:rsidR="00A669DB" w:rsidRDefault="00A669DB">
        <w:pPr>
          <w:pStyle w:val="af1"/>
        </w:pPr>
        <w:r>
          <w:fldChar w:fldCharType="begin"/>
        </w:r>
        <w:r>
          <w:instrText>PAGE   \* MERGEFORMAT</w:instrText>
        </w:r>
        <w:r>
          <w:fldChar w:fldCharType="separate"/>
        </w:r>
        <w:r>
          <w:rPr>
            <w:rtl/>
            <w:lang w:val="he-IL"/>
          </w:rPr>
          <w:t>2</w:t>
        </w:r>
        <w:r>
          <w:fldChar w:fldCharType="end"/>
        </w:r>
      </w:p>
    </w:sdtContent>
  </w:sdt>
  <w:p w14:paraId="20A1474A" w14:textId="77777777" w:rsidR="00A669DB" w:rsidRDefault="00A669D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D17B0"/>
    <w:multiLevelType w:val="hybridMultilevel"/>
    <w:tmpl w:val="C59EB130"/>
    <w:lvl w:ilvl="0" w:tplc="76D8D3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D95E5B"/>
    <w:multiLevelType w:val="hybridMultilevel"/>
    <w:tmpl w:val="76505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915477">
    <w:abstractNumId w:val="1"/>
  </w:num>
  <w:num w:numId="2" w16cid:durableId="88822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5C"/>
    <w:rsid w:val="000544F5"/>
    <w:rsid w:val="00094EEA"/>
    <w:rsid w:val="001C1950"/>
    <w:rsid w:val="00293330"/>
    <w:rsid w:val="003A51A3"/>
    <w:rsid w:val="00444F3B"/>
    <w:rsid w:val="00450E1F"/>
    <w:rsid w:val="00544A9B"/>
    <w:rsid w:val="00580DF7"/>
    <w:rsid w:val="006B6E80"/>
    <w:rsid w:val="0077646C"/>
    <w:rsid w:val="00851D18"/>
    <w:rsid w:val="00873190"/>
    <w:rsid w:val="00880557"/>
    <w:rsid w:val="008A28CD"/>
    <w:rsid w:val="008A4BBE"/>
    <w:rsid w:val="008C281A"/>
    <w:rsid w:val="0093577E"/>
    <w:rsid w:val="00A57D81"/>
    <w:rsid w:val="00A669DB"/>
    <w:rsid w:val="00A705E6"/>
    <w:rsid w:val="00A739A8"/>
    <w:rsid w:val="00A82CF4"/>
    <w:rsid w:val="00A94271"/>
    <w:rsid w:val="00A944DF"/>
    <w:rsid w:val="00B21B5C"/>
    <w:rsid w:val="00B87702"/>
    <w:rsid w:val="00C0605E"/>
    <w:rsid w:val="00D35D3B"/>
    <w:rsid w:val="00D37FBE"/>
    <w:rsid w:val="00D526AC"/>
    <w:rsid w:val="00DB49AB"/>
    <w:rsid w:val="00DE2256"/>
    <w:rsid w:val="00DF643B"/>
    <w:rsid w:val="00E3758D"/>
    <w:rsid w:val="00F26A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B46F"/>
  <w15:docId w15:val="{68989436-5CC3-4D8D-9C73-FA89E2AD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paragraph" w:styleId="1">
    <w:name w:val="heading 1"/>
    <w:basedOn w:val="a"/>
    <w:next w:val="a"/>
    <w:link w:val="10"/>
    <w:uiPriority w:val="9"/>
    <w:qFormat/>
    <w:rsid w:val="00B21B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21B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21B5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21B5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21B5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21B5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21B5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21B5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21B5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21B5C"/>
    <w:rPr>
      <w:rFonts w:asciiTheme="majorHAnsi" w:eastAsiaTheme="majorEastAsia" w:hAnsiTheme="majorHAnsi" w:cstheme="majorBidi"/>
      <w:noProof/>
      <w:color w:val="2F5496" w:themeColor="accent1" w:themeShade="BF"/>
      <w:sz w:val="40"/>
      <w:szCs w:val="40"/>
    </w:rPr>
  </w:style>
  <w:style w:type="character" w:customStyle="1" w:styleId="20">
    <w:name w:val="כותרת 2 תו"/>
    <w:basedOn w:val="a0"/>
    <w:link w:val="2"/>
    <w:uiPriority w:val="9"/>
    <w:semiHidden/>
    <w:rsid w:val="00B21B5C"/>
    <w:rPr>
      <w:rFonts w:asciiTheme="majorHAnsi" w:eastAsiaTheme="majorEastAsia" w:hAnsiTheme="majorHAnsi" w:cstheme="majorBidi"/>
      <w:noProof/>
      <w:color w:val="2F5496" w:themeColor="accent1" w:themeShade="BF"/>
      <w:sz w:val="32"/>
      <w:szCs w:val="32"/>
    </w:rPr>
  </w:style>
  <w:style w:type="character" w:customStyle="1" w:styleId="30">
    <w:name w:val="כותרת 3 תו"/>
    <w:basedOn w:val="a0"/>
    <w:link w:val="3"/>
    <w:uiPriority w:val="9"/>
    <w:semiHidden/>
    <w:rsid w:val="00B21B5C"/>
    <w:rPr>
      <w:rFonts w:eastAsiaTheme="majorEastAsia" w:cstheme="majorBidi"/>
      <w:noProof/>
      <w:color w:val="2F5496" w:themeColor="accent1" w:themeShade="BF"/>
      <w:sz w:val="28"/>
      <w:szCs w:val="28"/>
    </w:rPr>
  </w:style>
  <w:style w:type="character" w:customStyle="1" w:styleId="40">
    <w:name w:val="כותרת 4 תו"/>
    <w:basedOn w:val="a0"/>
    <w:link w:val="4"/>
    <w:uiPriority w:val="9"/>
    <w:semiHidden/>
    <w:rsid w:val="00B21B5C"/>
    <w:rPr>
      <w:rFonts w:eastAsiaTheme="majorEastAsia" w:cstheme="majorBidi"/>
      <w:i/>
      <w:iCs/>
      <w:noProof/>
      <w:color w:val="2F5496" w:themeColor="accent1" w:themeShade="BF"/>
    </w:rPr>
  </w:style>
  <w:style w:type="character" w:customStyle="1" w:styleId="50">
    <w:name w:val="כותרת 5 תו"/>
    <w:basedOn w:val="a0"/>
    <w:link w:val="5"/>
    <w:uiPriority w:val="9"/>
    <w:semiHidden/>
    <w:rsid w:val="00B21B5C"/>
    <w:rPr>
      <w:rFonts w:eastAsiaTheme="majorEastAsia" w:cstheme="majorBidi"/>
      <w:noProof/>
      <w:color w:val="2F5496" w:themeColor="accent1" w:themeShade="BF"/>
    </w:rPr>
  </w:style>
  <w:style w:type="character" w:customStyle="1" w:styleId="60">
    <w:name w:val="כותרת 6 תו"/>
    <w:basedOn w:val="a0"/>
    <w:link w:val="6"/>
    <w:uiPriority w:val="9"/>
    <w:semiHidden/>
    <w:rsid w:val="00B21B5C"/>
    <w:rPr>
      <w:rFonts w:eastAsiaTheme="majorEastAsia" w:cstheme="majorBidi"/>
      <w:i/>
      <w:iCs/>
      <w:noProof/>
      <w:color w:val="595959" w:themeColor="text1" w:themeTint="A6"/>
    </w:rPr>
  </w:style>
  <w:style w:type="character" w:customStyle="1" w:styleId="70">
    <w:name w:val="כותרת 7 תו"/>
    <w:basedOn w:val="a0"/>
    <w:link w:val="7"/>
    <w:uiPriority w:val="9"/>
    <w:semiHidden/>
    <w:rsid w:val="00B21B5C"/>
    <w:rPr>
      <w:rFonts w:eastAsiaTheme="majorEastAsia" w:cstheme="majorBidi"/>
      <w:noProof/>
      <w:color w:val="595959" w:themeColor="text1" w:themeTint="A6"/>
    </w:rPr>
  </w:style>
  <w:style w:type="character" w:customStyle="1" w:styleId="80">
    <w:name w:val="כותרת 8 תו"/>
    <w:basedOn w:val="a0"/>
    <w:link w:val="8"/>
    <w:uiPriority w:val="9"/>
    <w:semiHidden/>
    <w:rsid w:val="00B21B5C"/>
    <w:rPr>
      <w:rFonts w:eastAsiaTheme="majorEastAsia" w:cstheme="majorBidi"/>
      <w:i/>
      <w:iCs/>
      <w:noProof/>
      <w:color w:val="272727" w:themeColor="text1" w:themeTint="D8"/>
    </w:rPr>
  </w:style>
  <w:style w:type="character" w:customStyle="1" w:styleId="90">
    <w:name w:val="כותרת 9 תו"/>
    <w:basedOn w:val="a0"/>
    <w:link w:val="9"/>
    <w:uiPriority w:val="9"/>
    <w:semiHidden/>
    <w:rsid w:val="00B21B5C"/>
    <w:rPr>
      <w:rFonts w:eastAsiaTheme="majorEastAsia" w:cstheme="majorBidi"/>
      <w:noProof/>
      <w:color w:val="272727" w:themeColor="text1" w:themeTint="D8"/>
    </w:rPr>
  </w:style>
  <w:style w:type="paragraph" w:styleId="a3">
    <w:name w:val="Title"/>
    <w:basedOn w:val="a"/>
    <w:next w:val="a"/>
    <w:link w:val="a4"/>
    <w:uiPriority w:val="10"/>
    <w:qFormat/>
    <w:rsid w:val="00B21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21B5C"/>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B21B5C"/>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21B5C"/>
    <w:rPr>
      <w:rFonts w:eastAsiaTheme="majorEastAsia" w:cstheme="majorBidi"/>
      <w:noProof/>
      <w:color w:val="595959" w:themeColor="text1" w:themeTint="A6"/>
      <w:spacing w:val="15"/>
      <w:sz w:val="28"/>
      <w:szCs w:val="28"/>
    </w:rPr>
  </w:style>
  <w:style w:type="paragraph" w:styleId="a7">
    <w:name w:val="Quote"/>
    <w:basedOn w:val="a"/>
    <w:next w:val="a"/>
    <w:link w:val="a8"/>
    <w:uiPriority w:val="29"/>
    <w:qFormat/>
    <w:rsid w:val="00B21B5C"/>
    <w:pPr>
      <w:spacing w:before="160"/>
      <w:jc w:val="center"/>
    </w:pPr>
    <w:rPr>
      <w:i/>
      <w:iCs/>
      <w:color w:val="404040" w:themeColor="text1" w:themeTint="BF"/>
    </w:rPr>
  </w:style>
  <w:style w:type="character" w:customStyle="1" w:styleId="a8">
    <w:name w:val="ציטוט תו"/>
    <w:basedOn w:val="a0"/>
    <w:link w:val="a7"/>
    <w:uiPriority w:val="29"/>
    <w:rsid w:val="00B21B5C"/>
    <w:rPr>
      <w:i/>
      <w:iCs/>
      <w:noProof/>
      <w:color w:val="404040" w:themeColor="text1" w:themeTint="BF"/>
    </w:rPr>
  </w:style>
  <w:style w:type="paragraph" w:styleId="a9">
    <w:name w:val="List Paragraph"/>
    <w:basedOn w:val="a"/>
    <w:uiPriority w:val="34"/>
    <w:qFormat/>
    <w:rsid w:val="00B21B5C"/>
    <w:pPr>
      <w:ind w:left="720"/>
      <w:contextualSpacing/>
    </w:pPr>
  </w:style>
  <w:style w:type="character" w:styleId="aa">
    <w:name w:val="Intense Emphasis"/>
    <w:basedOn w:val="a0"/>
    <w:uiPriority w:val="21"/>
    <w:qFormat/>
    <w:rsid w:val="00B21B5C"/>
    <w:rPr>
      <w:i/>
      <w:iCs/>
      <w:color w:val="2F5496" w:themeColor="accent1" w:themeShade="BF"/>
    </w:rPr>
  </w:style>
  <w:style w:type="paragraph" w:styleId="ab">
    <w:name w:val="Intense Quote"/>
    <w:basedOn w:val="a"/>
    <w:next w:val="a"/>
    <w:link w:val="ac"/>
    <w:uiPriority w:val="30"/>
    <w:qFormat/>
    <w:rsid w:val="00B21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B21B5C"/>
    <w:rPr>
      <w:i/>
      <w:iCs/>
      <w:noProof/>
      <w:color w:val="2F5496" w:themeColor="accent1" w:themeShade="BF"/>
    </w:rPr>
  </w:style>
  <w:style w:type="character" w:styleId="ad">
    <w:name w:val="Intense Reference"/>
    <w:basedOn w:val="a0"/>
    <w:uiPriority w:val="32"/>
    <w:qFormat/>
    <w:rsid w:val="00B21B5C"/>
    <w:rPr>
      <w:b/>
      <w:bCs/>
      <w:smallCaps/>
      <w:color w:val="2F5496" w:themeColor="accent1" w:themeShade="BF"/>
      <w:spacing w:val="5"/>
    </w:rPr>
  </w:style>
  <w:style w:type="paragraph" w:styleId="ae">
    <w:name w:val="footnote text"/>
    <w:basedOn w:val="a"/>
    <w:link w:val="af"/>
    <w:uiPriority w:val="99"/>
    <w:semiHidden/>
    <w:unhideWhenUsed/>
    <w:rsid w:val="00880557"/>
    <w:pPr>
      <w:spacing w:after="0" w:line="240" w:lineRule="auto"/>
    </w:pPr>
    <w:rPr>
      <w:sz w:val="20"/>
      <w:szCs w:val="20"/>
    </w:rPr>
  </w:style>
  <w:style w:type="character" w:customStyle="1" w:styleId="af">
    <w:name w:val="טקסט הערת שוליים תו"/>
    <w:basedOn w:val="a0"/>
    <w:link w:val="ae"/>
    <w:uiPriority w:val="99"/>
    <w:semiHidden/>
    <w:rsid w:val="00880557"/>
    <w:rPr>
      <w:noProof/>
      <w:sz w:val="20"/>
      <w:szCs w:val="20"/>
    </w:rPr>
  </w:style>
  <w:style w:type="character" w:styleId="af0">
    <w:name w:val="footnote reference"/>
    <w:basedOn w:val="a0"/>
    <w:uiPriority w:val="99"/>
    <w:semiHidden/>
    <w:unhideWhenUsed/>
    <w:rsid w:val="00880557"/>
    <w:rPr>
      <w:vertAlign w:val="superscript"/>
    </w:rPr>
  </w:style>
  <w:style w:type="paragraph" w:styleId="af1">
    <w:name w:val="header"/>
    <w:basedOn w:val="a"/>
    <w:link w:val="af2"/>
    <w:uiPriority w:val="99"/>
    <w:unhideWhenUsed/>
    <w:rsid w:val="00A669DB"/>
    <w:pPr>
      <w:tabs>
        <w:tab w:val="center" w:pos="4153"/>
        <w:tab w:val="right" w:pos="8306"/>
      </w:tabs>
      <w:spacing w:after="0" w:line="240" w:lineRule="auto"/>
    </w:pPr>
  </w:style>
  <w:style w:type="character" w:customStyle="1" w:styleId="af2">
    <w:name w:val="כותרת עליונה תו"/>
    <w:basedOn w:val="a0"/>
    <w:link w:val="af1"/>
    <w:uiPriority w:val="99"/>
    <w:rsid w:val="00A669DB"/>
    <w:rPr>
      <w:noProof/>
    </w:rPr>
  </w:style>
  <w:style w:type="paragraph" w:styleId="af3">
    <w:name w:val="footer"/>
    <w:basedOn w:val="a"/>
    <w:link w:val="af4"/>
    <w:uiPriority w:val="99"/>
    <w:unhideWhenUsed/>
    <w:rsid w:val="00A669DB"/>
    <w:pPr>
      <w:tabs>
        <w:tab w:val="center" w:pos="4153"/>
        <w:tab w:val="right" w:pos="8306"/>
      </w:tabs>
      <w:spacing w:after="0" w:line="240" w:lineRule="auto"/>
    </w:pPr>
  </w:style>
  <w:style w:type="character" w:customStyle="1" w:styleId="af4">
    <w:name w:val="כותרת תחתונה תו"/>
    <w:basedOn w:val="a0"/>
    <w:link w:val="af3"/>
    <w:uiPriority w:val="99"/>
    <w:rsid w:val="00A669D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7E727-CF4E-40B9-B6C2-6DE07255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6207</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פלג</dc:creator>
  <cp:keywords/>
  <dc:description/>
  <cp:lastModifiedBy>יעקב פלג</cp:lastModifiedBy>
  <cp:revision>2</cp:revision>
  <dcterms:created xsi:type="dcterms:W3CDTF">2024-04-29T19:58:00Z</dcterms:created>
  <dcterms:modified xsi:type="dcterms:W3CDTF">2024-04-29T19:58:00Z</dcterms:modified>
</cp:coreProperties>
</file>