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FD9C" w14:textId="5A7750B1" w:rsidR="000F26E2" w:rsidRPr="000F26E2" w:rsidRDefault="000F26E2" w:rsidP="000F26E2">
      <w:pPr>
        <w:spacing w:after="0" w:line="360" w:lineRule="auto"/>
        <w:rPr>
          <w:rFonts w:ascii="Narkisim" w:hAnsi="Narkisim" w:cs="Narkisim"/>
        </w:rPr>
      </w:pPr>
      <w:r w:rsidRPr="000F26E2">
        <w:rPr>
          <w:rFonts w:ascii="Narkisim" w:hAnsi="Narkisim" w:cs="Narkisim"/>
          <w:rtl/>
        </w:rPr>
        <w:t xml:space="preserve">'כי יהיה להם דבר </w:t>
      </w:r>
      <w:r w:rsidRPr="000F26E2">
        <w:rPr>
          <w:rFonts w:ascii="Narkisim" w:hAnsi="Narkisim" w:cs="Narkisim"/>
          <w:b/>
          <w:bCs/>
          <w:rtl/>
        </w:rPr>
        <w:t>בא</w:t>
      </w:r>
      <w:r w:rsidRPr="000F26E2">
        <w:rPr>
          <w:rFonts w:ascii="Narkisim" w:hAnsi="Narkisim" w:cs="Narkisim"/>
          <w:rtl/>
        </w:rPr>
        <w:t xml:space="preserve"> אלי ושפטתי בין איש ובין רעהו', אם </w:t>
      </w:r>
      <w:r w:rsidRPr="000F26E2">
        <w:rPr>
          <w:rFonts w:ascii="Narkisim" w:hAnsi="Narkisim" w:cs="Narkisim"/>
          <w:b/>
          <w:bCs/>
          <w:rtl/>
        </w:rPr>
        <w:t>בעבר</w:t>
      </w:r>
      <w:r w:rsidRPr="000F26E2">
        <w:rPr>
          <w:rFonts w:ascii="Narkisim" w:hAnsi="Narkisim" w:cs="Narkisim"/>
          <w:rtl/>
        </w:rPr>
        <w:t xml:space="preserve"> היה לפני דין תורה ופסקתי ביניהם, ואחר כך יבוא לפני דין תורה ואיני פוסק כמו בפעם שעברה, אז 'והודעתי את חוקי האלקים', אז צריך אני להודיעם מאיזה טעם פסקתי כן, כדי שלא יבואו לחשדני</w:t>
      </w:r>
      <w:r>
        <w:rPr>
          <w:rStyle w:val="af0"/>
          <w:rFonts w:ascii="Narkisim" w:hAnsi="Narkisim" w:cs="Narkisim"/>
          <w:rtl/>
        </w:rPr>
        <w:footnoteReference w:id="1"/>
      </w:r>
      <w:r w:rsidRPr="000F26E2">
        <w:rPr>
          <w:rFonts w:ascii="Narkisim" w:hAnsi="Narkisim" w:cs="Narkisim"/>
          <w:rtl/>
        </w:rPr>
        <w:t>.</w:t>
      </w:r>
    </w:p>
    <w:p w14:paraId="4AF36532" w14:textId="77777777" w:rsidR="000F26E2" w:rsidRPr="000F26E2" w:rsidRDefault="000F26E2" w:rsidP="007A3D7C">
      <w:pPr>
        <w:spacing w:after="0" w:line="360" w:lineRule="auto"/>
        <w:rPr>
          <w:rFonts w:asciiTheme="majorBidi" w:hAnsiTheme="majorBidi" w:cstheme="majorBidi"/>
          <w:sz w:val="24"/>
          <w:szCs w:val="24"/>
          <w:rtl/>
        </w:rPr>
      </w:pPr>
    </w:p>
    <w:p w14:paraId="0047A22C" w14:textId="71E074F2" w:rsidR="007A3D7C" w:rsidRPr="007A3D7C" w:rsidRDefault="007A3D7C" w:rsidP="007A3D7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7A3D7C">
        <w:rPr>
          <w:rFonts w:asciiTheme="majorBidi" w:hAnsiTheme="majorBidi" w:cstheme="majorBidi"/>
          <w:sz w:val="24"/>
          <w:szCs w:val="24"/>
          <w:rtl/>
        </w:rPr>
        <w:t xml:space="preserve"> מסכת בבא מציעא דף סט עמוד א</w:t>
      </w:r>
    </w:p>
    <w:p w14:paraId="32992275" w14:textId="77777777" w:rsidR="007A3D7C" w:rsidRDefault="007A3D7C" w:rsidP="007A3D7C">
      <w:pPr>
        <w:spacing w:after="0" w:line="360" w:lineRule="auto"/>
        <w:rPr>
          <w:rFonts w:asciiTheme="majorBidi" w:hAnsiTheme="majorBidi" w:cs="Times New Roman"/>
          <w:sz w:val="24"/>
          <w:szCs w:val="24"/>
          <w:rtl/>
        </w:rPr>
      </w:pPr>
      <w:r w:rsidRPr="007A3D7C">
        <w:rPr>
          <w:rFonts w:asciiTheme="majorBidi" w:hAnsiTheme="majorBidi" w:cstheme="majorBidi"/>
          <w:sz w:val="24"/>
          <w:szCs w:val="24"/>
          <w:rtl/>
        </w:rPr>
        <w:t>הנהו תרי כותאי דעבוד עסקא בהדי הדדי, אזיל חד מנייהו פליג זוזי בלא דעתיה דחבריה. אתו לקמיה דרב פפא, אמר ליה: מאי נפקא מינה? הכי אמר רב נחמן: זוזי כמאן דפליגי דמו. לשנה זבון חמרא בהדי הדדי, קם אידך פליג ליה בלא דעתיה דחבריה. אתו לקמיה דרב פפא. אמר ליה: מאן פלג לך? - אמר ליה: קא חזינא דבתר דידי קא אתי מר. אמר רב פפא:</w:t>
      </w:r>
      <w:r w:rsidRPr="007A3D7C">
        <w:rPr>
          <w:rtl/>
        </w:rPr>
        <w:t xml:space="preserve"> </w:t>
      </w:r>
      <w:r>
        <w:rPr>
          <w:rFonts w:asciiTheme="majorBidi" w:hAnsiTheme="majorBidi" w:cs="Times New Roman" w:hint="cs"/>
          <w:sz w:val="24"/>
          <w:szCs w:val="24"/>
          <w:rtl/>
        </w:rPr>
        <w:t xml:space="preserve">  </w:t>
      </w:r>
    </w:p>
    <w:p w14:paraId="0EB5550F" w14:textId="3D0312E5" w:rsidR="00A82CF4" w:rsidRPr="007A3D7C" w:rsidRDefault="007A3D7C" w:rsidP="007A3D7C">
      <w:pPr>
        <w:spacing w:after="0" w:line="360" w:lineRule="auto"/>
        <w:rPr>
          <w:rFonts w:asciiTheme="majorBidi" w:hAnsiTheme="majorBidi" w:cstheme="majorBidi"/>
          <w:sz w:val="24"/>
          <w:szCs w:val="24"/>
        </w:rPr>
      </w:pPr>
      <w:r w:rsidRPr="007A3D7C">
        <w:rPr>
          <w:rFonts w:asciiTheme="majorBidi" w:hAnsiTheme="majorBidi" w:cs="Times New Roman"/>
          <w:sz w:val="24"/>
          <w:szCs w:val="24"/>
          <w:rtl/>
        </w:rPr>
        <w:t>עמוד ב</w:t>
      </w:r>
      <w:r>
        <w:rPr>
          <w:rFonts w:asciiTheme="majorBidi" w:hAnsiTheme="majorBidi" w:cstheme="majorBidi" w:hint="cs"/>
          <w:sz w:val="24"/>
          <w:szCs w:val="24"/>
          <w:rtl/>
        </w:rPr>
        <w:t xml:space="preserve">  </w:t>
      </w:r>
      <w:r w:rsidRPr="007A3D7C">
        <w:rPr>
          <w:rFonts w:asciiTheme="majorBidi" w:hAnsiTheme="majorBidi" w:cs="Times New Roman"/>
          <w:sz w:val="24"/>
          <w:szCs w:val="24"/>
          <w:rtl/>
        </w:rPr>
        <w:t>כהאי גונא ודאי צריך לאודועיה. זוזי, מי שקיל טבי ושביק חסרי? (- אמר ליה: לא. - אמר ליה</w:t>
      </w:r>
      <w:r w:rsidR="001D2FB9">
        <w:rPr>
          <w:rStyle w:val="af0"/>
          <w:rFonts w:asciiTheme="majorBidi" w:hAnsiTheme="majorBidi" w:cs="Times New Roman"/>
          <w:sz w:val="24"/>
          <w:szCs w:val="24"/>
          <w:rtl/>
        </w:rPr>
        <w:footnoteReference w:id="2"/>
      </w:r>
      <w:r w:rsidRPr="007A3D7C">
        <w:rPr>
          <w:rFonts w:asciiTheme="majorBidi" w:hAnsiTheme="majorBidi" w:cs="Times New Roman"/>
          <w:sz w:val="24"/>
          <w:szCs w:val="24"/>
          <w:rtl/>
        </w:rPr>
        <w:t>): חמרא, כולי עלמא ידעי דאיכא דבסים ואיכא דלא בסים.</w:t>
      </w:r>
    </w:p>
    <w:p w14:paraId="2955032D" w14:textId="162B3154" w:rsidR="007A3D7C" w:rsidRDefault="007A3D7C" w:rsidP="007A3D7C">
      <w:pPr>
        <w:spacing w:after="0" w:line="360" w:lineRule="auto"/>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חובת הדיינים לתת טעם לדבריהם</w:t>
      </w:r>
    </w:p>
    <w:p w14:paraId="6668EDB6" w14:textId="10399821" w:rsidR="000F26E2" w:rsidRPr="005A37B9" w:rsidRDefault="000F26E2" w:rsidP="005A37B9">
      <w:pPr>
        <w:pStyle w:val="a9"/>
        <w:numPr>
          <w:ilvl w:val="0"/>
          <w:numId w:val="1"/>
        </w:numPr>
        <w:spacing w:after="0" w:line="360" w:lineRule="auto"/>
        <w:rPr>
          <w:rFonts w:asciiTheme="majorBidi" w:hAnsiTheme="majorBidi" w:cs="Times New Roman"/>
          <w:b/>
          <w:bCs/>
          <w:sz w:val="24"/>
          <w:szCs w:val="24"/>
          <w:rtl/>
        </w:rPr>
      </w:pPr>
      <w:r w:rsidRPr="005A37B9">
        <w:rPr>
          <w:rFonts w:asciiTheme="majorBidi" w:hAnsiTheme="majorBidi" w:cs="Times New Roman" w:hint="cs"/>
          <w:b/>
          <w:bCs/>
          <w:sz w:val="24"/>
          <w:szCs w:val="24"/>
          <w:rtl/>
        </w:rPr>
        <w:t>המעשה בכותים</w:t>
      </w:r>
    </w:p>
    <w:p w14:paraId="0DDCE77F" w14:textId="77777777" w:rsidR="00ED1547" w:rsidRPr="005C1A9A" w:rsidRDefault="003A4E5E" w:rsidP="00ED1547">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שני כותים פירקו שותפות פעמיים, מבלי ליידע אחד את השני. בפעם הראשונה הייתה זו שותפות ממון ורב פפא אישר את החלוקה. הרי"ד מסביר שתנאי לכך הוא שתמה כל פעילות מסחרית הקשורה בשותפות: "</w:t>
      </w:r>
      <w:r w:rsidRPr="00E25191">
        <w:rPr>
          <w:rFonts w:ascii="David" w:hAnsi="David" w:cs="David"/>
          <w:sz w:val="24"/>
          <w:szCs w:val="24"/>
          <w:rtl/>
        </w:rPr>
        <w:t>מיירי שכבר השלימו שותפותם שהלכו לסחור עד מקום פלוני וחזרו והם עתידים לחלוק כל מה שהרויחו אם יש להם לחלוק זוזים אמרי' זוזי כמאן דפליגי דמו ובלא דעת חבירו יכול ליקח חלקו ולקנות בהם מה שרוצה אבל אם יש להם לחלוק סחורה שהיא צריכה שומא אינו יכול לחלוק בלא דעת חבירו</w:t>
      </w:r>
      <w:r>
        <w:rPr>
          <w:rStyle w:val="af0"/>
          <w:rFonts w:ascii="David" w:hAnsi="David" w:cs="David"/>
          <w:sz w:val="24"/>
          <w:szCs w:val="24"/>
          <w:rtl/>
        </w:rPr>
        <w:footnoteReference w:id="3"/>
      </w:r>
      <w:r>
        <w:rPr>
          <w:rFonts w:ascii="David" w:hAnsi="David" w:cs="David" w:hint="cs"/>
          <w:sz w:val="24"/>
          <w:szCs w:val="24"/>
          <w:rtl/>
        </w:rPr>
        <w:t xml:space="preserve">". </w:t>
      </w:r>
      <w:r>
        <w:rPr>
          <w:rFonts w:asciiTheme="majorBidi" w:hAnsiTheme="majorBidi" w:cs="Times New Roman" w:hint="cs"/>
          <w:sz w:val="24"/>
          <w:szCs w:val="24"/>
          <w:rtl/>
        </w:rPr>
        <w:t xml:space="preserve">ישנה דעה, שגם חלוקה כזו איננה יכולה לצאת אל הפועל אלא בזמנה: </w:t>
      </w:r>
      <w:r w:rsidR="00ED1547">
        <w:rPr>
          <w:rFonts w:ascii="David" w:hAnsi="David" w:cs="David" w:hint="cs"/>
          <w:sz w:val="24"/>
          <w:szCs w:val="24"/>
          <w:rtl/>
        </w:rPr>
        <w:t>"</w:t>
      </w:r>
      <w:r w:rsidR="00ED1547" w:rsidRPr="007A3D7C">
        <w:rPr>
          <w:rFonts w:ascii="David" w:hAnsi="David" w:cs="David"/>
          <w:sz w:val="24"/>
          <w:szCs w:val="24"/>
          <w:rtl/>
        </w:rPr>
        <w:t>זמן החלוקה היא לשנה אחריתי</w:t>
      </w:r>
      <w:r w:rsidR="00ED1547">
        <w:rPr>
          <w:rFonts w:ascii="David" w:hAnsi="David" w:cs="David" w:hint="cs"/>
          <w:sz w:val="24"/>
          <w:szCs w:val="24"/>
          <w:rtl/>
        </w:rPr>
        <w:t>.</w:t>
      </w:r>
      <w:r w:rsidR="00ED1547" w:rsidRPr="007A3D7C">
        <w:rPr>
          <w:rFonts w:ascii="David" w:hAnsi="David" w:cs="David"/>
          <w:sz w:val="24"/>
          <w:szCs w:val="24"/>
          <w:rtl/>
        </w:rPr>
        <w:t xml:space="preserve"> עבד אידך הכי בחמרא אמר רבא מאן פלג לך. ואף על גב דזמן חלוקה היא צריכי תלתא למשמייה לאשווייה חלקיה</w:t>
      </w:r>
      <w:r w:rsidR="00ED1547">
        <w:rPr>
          <w:rFonts w:ascii="David" w:hAnsi="David" w:cs="David" w:hint="cs"/>
          <w:sz w:val="24"/>
          <w:szCs w:val="24"/>
          <w:rtl/>
        </w:rPr>
        <w:t>,</w:t>
      </w:r>
      <w:r w:rsidR="00ED1547" w:rsidRPr="007A3D7C">
        <w:rPr>
          <w:rFonts w:ascii="David" w:hAnsi="David" w:cs="David"/>
          <w:sz w:val="24"/>
          <w:szCs w:val="24"/>
          <w:rtl/>
        </w:rPr>
        <w:t xml:space="preserve"> ואי לאו לאו חלוקה היא</w:t>
      </w:r>
      <w:r w:rsidR="00ED1547">
        <w:rPr>
          <w:rStyle w:val="af0"/>
          <w:rFonts w:ascii="David" w:hAnsi="David" w:cs="David"/>
          <w:sz w:val="24"/>
          <w:szCs w:val="24"/>
          <w:rtl/>
        </w:rPr>
        <w:footnoteReference w:id="4"/>
      </w:r>
      <w:r w:rsidR="00ED1547">
        <w:rPr>
          <w:rFonts w:ascii="David" w:hAnsi="David" w:cs="David" w:hint="cs"/>
          <w:sz w:val="24"/>
          <w:szCs w:val="24"/>
          <w:rtl/>
        </w:rPr>
        <w:t>"</w:t>
      </w:r>
      <w:r w:rsidR="00ED1547" w:rsidRPr="007A3D7C">
        <w:rPr>
          <w:rFonts w:ascii="David" w:hAnsi="David" w:cs="David"/>
          <w:sz w:val="24"/>
          <w:szCs w:val="24"/>
          <w:rtl/>
        </w:rPr>
        <w:t xml:space="preserve">. </w:t>
      </w:r>
      <w:r w:rsidR="00ED1547">
        <w:rPr>
          <w:rFonts w:ascii="David" w:hAnsi="David" w:cs="David" w:hint="cs"/>
          <w:sz w:val="24"/>
          <w:szCs w:val="24"/>
          <w:rtl/>
        </w:rPr>
        <w:t xml:space="preserve"> </w:t>
      </w:r>
    </w:p>
    <w:p w14:paraId="190FC0AA" w14:textId="6EA99C32" w:rsidR="003A4E5E" w:rsidRDefault="003A4E5E" w:rsidP="003A4E5E">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בפעם השניה השותף השני פירק שותפות ביין, ש</w:t>
      </w:r>
      <w:r>
        <w:rPr>
          <w:rFonts w:ascii="David" w:hAnsi="David" w:cs="David" w:hint="cs"/>
          <w:sz w:val="24"/>
          <w:szCs w:val="24"/>
          <w:rtl/>
        </w:rPr>
        <w:t>"</w:t>
      </w:r>
      <w:r w:rsidRPr="00E25191">
        <w:rPr>
          <w:rFonts w:ascii="David" w:hAnsi="David" w:cs="David"/>
          <w:sz w:val="24"/>
          <w:szCs w:val="24"/>
          <w:rtl/>
        </w:rPr>
        <w:t>בא בעל הריב לנקום את נקמתו</w:t>
      </w:r>
      <w:r>
        <w:rPr>
          <w:rStyle w:val="af0"/>
          <w:rFonts w:ascii="David" w:hAnsi="David" w:cs="David"/>
          <w:sz w:val="24"/>
          <w:szCs w:val="24"/>
          <w:rtl/>
        </w:rPr>
        <w:footnoteReference w:id="5"/>
      </w:r>
      <w:r>
        <w:rPr>
          <w:rFonts w:ascii="David" w:hAnsi="David" w:cs="David" w:hint="cs"/>
          <w:sz w:val="24"/>
          <w:szCs w:val="24"/>
          <w:rtl/>
        </w:rPr>
        <w:t xml:space="preserve">". </w:t>
      </w:r>
      <w:r w:rsidRPr="003A4E5E">
        <w:rPr>
          <w:rFonts w:asciiTheme="majorBidi" w:hAnsiTheme="majorBidi" w:cstheme="majorBidi"/>
          <w:sz w:val="24"/>
          <w:szCs w:val="24"/>
          <w:rtl/>
        </w:rPr>
        <w:t>הפעם רב פפא פסק שהחלוקה איננה תקיפה.</w:t>
      </w:r>
      <w:r>
        <w:rPr>
          <w:rFonts w:ascii="David" w:hAnsi="David" w:cs="David" w:hint="cs"/>
          <w:sz w:val="24"/>
          <w:szCs w:val="24"/>
          <w:rtl/>
        </w:rPr>
        <w:t xml:space="preserve"> </w:t>
      </w:r>
      <w:r w:rsidRPr="003A4E5E">
        <w:rPr>
          <w:rFonts w:asciiTheme="majorBidi" w:hAnsiTheme="majorBidi" w:cstheme="majorBidi"/>
          <w:sz w:val="24"/>
          <w:szCs w:val="24"/>
          <w:rtl/>
        </w:rPr>
        <w:t xml:space="preserve">הכותי שהפסיד פעמיים בדין התמרמר, </w:t>
      </w:r>
      <w:r>
        <w:rPr>
          <w:rFonts w:asciiTheme="majorBidi" w:hAnsiTheme="majorBidi" w:cstheme="majorBidi" w:hint="cs"/>
          <w:sz w:val="24"/>
          <w:szCs w:val="24"/>
          <w:rtl/>
        </w:rPr>
        <w:t>וטען שרב פפא פוסק בעקביות נגדו</w:t>
      </w:r>
      <w:r>
        <w:rPr>
          <w:rStyle w:val="af0"/>
          <w:rFonts w:asciiTheme="majorBidi" w:hAnsiTheme="majorBidi" w:cstheme="majorBidi"/>
          <w:sz w:val="24"/>
          <w:szCs w:val="24"/>
          <w:rtl/>
        </w:rPr>
        <w:footnoteReference w:id="6"/>
      </w:r>
      <w:r>
        <w:rPr>
          <w:rFonts w:asciiTheme="majorBidi" w:hAnsiTheme="majorBidi" w:cstheme="majorBidi" w:hint="cs"/>
          <w:sz w:val="24"/>
          <w:szCs w:val="24"/>
          <w:rtl/>
        </w:rPr>
        <w:t>. לפיכך ראה רב פפא חובה לעצמו לנמק את הדין, שחלוקה כספית פשוטה ומדוייקת באופייה, בניגוד לחלוקת יינות שקיים פער איכות ביניהם.</w:t>
      </w:r>
    </w:p>
    <w:p w14:paraId="2D1654BC" w14:textId="26BEE3FB" w:rsidR="00ED1547" w:rsidRPr="005A37B9" w:rsidRDefault="00ED1547" w:rsidP="005A37B9">
      <w:pPr>
        <w:pStyle w:val="a9"/>
        <w:numPr>
          <w:ilvl w:val="0"/>
          <w:numId w:val="1"/>
        </w:numPr>
        <w:spacing w:after="0" w:line="360" w:lineRule="auto"/>
        <w:rPr>
          <w:rFonts w:asciiTheme="majorBidi" w:hAnsiTheme="majorBidi" w:cstheme="majorBidi"/>
          <w:b/>
          <w:bCs/>
          <w:sz w:val="24"/>
          <w:szCs w:val="24"/>
          <w:rtl/>
        </w:rPr>
      </w:pPr>
      <w:r w:rsidRPr="005A37B9">
        <w:rPr>
          <w:rFonts w:asciiTheme="majorBidi" w:hAnsiTheme="majorBidi" w:cstheme="majorBidi" w:hint="cs"/>
          <w:b/>
          <w:bCs/>
          <w:sz w:val="24"/>
          <w:szCs w:val="24"/>
          <w:rtl/>
        </w:rPr>
        <w:t>היחס לסוגיה בסנהדרין</w:t>
      </w:r>
    </w:p>
    <w:p w14:paraId="1C46DE2A" w14:textId="2C61979F" w:rsidR="005C1A9A" w:rsidRPr="000A38C3" w:rsidRDefault="000A38C3" w:rsidP="000A38C3">
      <w:pPr>
        <w:spacing w:after="0" w:line="360" w:lineRule="auto"/>
        <w:rPr>
          <w:rFonts w:asciiTheme="majorBidi" w:hAnsiTheme="majorBidi" w:cstheme="majorBidi"/>
          <w:sz w:val="24"/>
          <w:szCs w:val="24"/>
          <w:rtl/>
        </w:rPr>
      </w:pPr>
      <w:r>
        <w:rPr>
          <w:rFonts w:ascii="David" w:hAnsi="David" w:cs="David" w:hint="cs"/>
          <w:sz w:val="24"/>
          <w:szCs w:val="24"/>
          <w:rtl/>
        </w:rPr>
        <w:t>"</w:t>
      </w:r>
      <w:r w:rsidR="00ED1547" w:rsidRPr="000A38C3">
        <w:rPr>
          <w:rFonts w:ascii="David" w:hAnsi="David" w:cs="David"/>
          <w:sz w:val="24"/>
          <w:szCs w:val="24"/>
          <w:rtl/>
        </w:rPr>
        <w:t>אמר רב ספרא (אמר רבי יוחנן): שנים שנתעצמו בדין, אחד אומר נדון כאן ואחד אומר: נלך למקום הוועד - כופין אותו ודן בעירו</w:t>
      </w:r>
      <w:r w:rsidRPr="000A38C3">
        <w:rPr>
          <w:rFonts w:ascii="David" w:hAnsi="David" w:cs="David"/>
          <w:sz w:val="24"/>
          <w:szCs w:val="24"/>
          <w:rtl/>
        </w:rPr>
        <w:t xml:space="preserve">.. </w:t>
      </w:r>
      <w:r w:rsidR="00ED1547" w:rsidRPr="000A38C3">
        <w:rPr>
          <w:rFonts w:ascii="David" w:hAnsi="David" w:cs="David"/>
          <w:sz w:val="24"/>
          <w:szCs w:val="24"/>
          <w:rtl/>
        </w:rPr>
        <w:t xml:space="preserve">ואם אמר: כתבו ותנו לי מאיזה טעם דנתוני - כותבין </w:t>
      </w:r>
      <w:r w:rsidR="00ED1547" w:rsidRPr="000A38C3">
        <w:rPr>
          <w:rFonts w:ascii="David" w:hAnsi="David" w:cs="David"/>
          <w:sz w:val="24"/>
          <w:szCs w:val="24"/>
          <w:rtl/>
        </w:rPr>
        <w:lastRenderedPageBreak/>
        <w:t>ונותנין לו</w:t>
      </w:r>
      <w:r w:rsidRPr="000A38C3">
        <w:rPr>
          <w:rStyle w:val="af0"/>
          <w:rFonts w:ascii="David" w:hAnsi="David" w:cs="David"/>
          <w:sz w:val="24"/>
          <w:szCs w:val="24"/>
          <w:rtl/>
        </w:rPr>
        <w:footnoteReference w:id="7"/>
      </w:r>
      <w:r>
        <w:rPr>
          <w:rFonts w:ascii="David" w:hAnsi="David" w:cs="David" w:hint="cs"/>
          <w:sz w:val="24"/>
          <w:szCs w:val="24"/>
          <w:rtl/>
        </w:rPr>
        <w:t>"</w:t>
      </w:r>
      <w:r w:rsidR="00ED1547" w:rsidRPr="000A38C3">
        <w:rPr>
          <w:rFonts w:ascii="David" w:hAnsi="David" w:cs="David"/>
          <w:sz w:val="24"/>
          <w:szCs w:val="24"/>
          <w:rtl/>
        </w:rPr>
        <w:t xml:space="preserve">.  </w:t>
      </w:r>
      <w:r>
        <w:rPr>
          <w:rFonts w:ascii="David" w:hAnsi="David" w:cs="David" w:hint="cs"/>
          <w:sz w:val="24"/>
          <w:szCs w:val="24"/>
          <w:rtl/>
        </w:rPr>
        <w:t xml:space="preserve"> </w:t>
      </w:r>
      <w:r>
        <w:rPr>
          <w:rFonts w:asciiTheme="majorBidi" w:hAnsiTheme="majorBidi" w:cstheme="majorBidi" w:hint="cs"/>
          <w:sz w:val="24"/>
          <w:szCs w:val="24"/>
          <w:rtl/>
        </w:rPr>
        <w:t>כתבו בעלי התוספות</w:t>
      </w:r>
      <w:r>
        <w:rPr>
          <w:rStyle w:val="af0"/>
          <w:rFonts w:asciiTheme="majorBidi" w:hAnsiTheme="majorBidi" w:cstheme="majorBidi"/>
          <w:sz w:val="24"/>
          <w:szCs w:val="24"/>
          <w:rtl/>
        </w:rPr>
        <w:footnoteReference w:id="8"/>
      </w:r>
      <w:r>
        <w:rPr>
          <w:rFonts w:asciiTheme="majorBidi" w:hAnsiTheme="majorBidi" w:cstheme="majorBidi" w:hint="cs"/>
          <w:sz w:val="24"/>
          <w:szCs w:val="24"/>
          <w:rtl/>
        </w:rPr>
        <w:t>: "</w:t>
      </w:r>
      <w:r w:rsidR="005C1A9A" w:rsidRPr="005C1A9A">
        <w:rPr>
          <w:rFonts w:ascii="David" w:hAnsi="David" w:cs="David"/>
          <w:sz w:val="24"/>
          <w:szCs w:val="24"/>
          <w:rtl/>
        </w:rPr>
        <w:t xml:space="preserve">דוקא הכא לפי שהיה לו פתחון פה לחשדו קאמר דצריך לאודועיה משום והייתם נקיים מה' ומישראל </w:t>
      </w:r>
      <w:r w:rsidR="005C1A9A" w:rsidRPr="000A38C3">
        <w:rPr>
          <w:rFonts w:ascii="David" w:hAnsi="David" w:cs="David"/>
          <w:sz w:val="18"/>
          <w:szCs w:val="18"/>
          <w:rtl/>
        </w:rPr>
        <w:t>(במדבר לב)</w:t>
      </w:r>
      <w:r w:rsidR="005C1A9A" w:rsidRPr="005C1A9A">
        <w:rPr>
          <w:rFonts w:ascii="David" w:hAnsi="David" w:cs="David"/>
          <w:sz w:val="24"/>
          <w:szCs w:val="24"/>
          <w:rtl/>
        </w:rPr>
        <w:t xml:space="preserve"> אבל בעלמא לא</w:t>
      </w:r>
      <w:r>
        <w:rPr>
          <w:rFonts w:ascii="David" w:hAnsi="David" w:cs="David" w:hint="cs"/>
          <w:sz w:val="24"/>
          <w:szCs w:val="24"/>
          <w:rtl/>
        </w:rPr>
        <w:t xml:space="preserve">". </w:t>
      </w:r>
      <w:r>
        <w:rPr>
          <w:rFonts w:asciiTheme="majorBidi" w:hAnsiTheme="majorBidi" w:cstheme="majorBidi" w:hint="cs"/>
          <w:sz w:val="24"/>
          <w:szCs w:val="24"/>
          <w:rtl/>
        </w:rPr>
        <w:t xml:space="preserve">ובסנהדרין </w:t>
      </w:r>
      <w:r w:rsidR="005C1A9A" w:rsidRPr="005C1A9A">
        <w:rPr>
          <w:rFonts w:ascii="David" w:hAnsi="David" w:cs="David"/>
          <w:sz w:val="24"/>
          <w:szCs w:val="24"/>
          <w:rtl/>
        </w:rPr>
        <w:t xml:space="preserve"> </w:t>
      </w:r>
      <w:r>
        <w:rPr>
          <w:rFonts w:ascii="David" w:hAnsi="David" w:cs="David" w:hint="cs"/>
          <w:sz w:val="24"/>
          <w:szCs w:val="24"/>
          <w:rtl/>
        </w:rPr>
        <w:t>"</w:t>
      </w:r>
      <w:r w:rsidR="005C1A9A" w:rsidRPr="005C1A9A">
        <w:rPr>
          <w:rFonts w:ascii="David" w:hAnsi="David" w:cs="David"/>
          <w:sz w:val="24"/>
          <w:szCs w:val="24"/>
          <w:rtl/>
        </w:rPr>
        <w:t xml:space="preserve">דוקא התם </w:t>
      </w:r>
      <w:r w:rsidR="005C1A9A" w:rsidRPr="000A38C3">
        <w:rPr>
          <w:rFonts w:ascii="David" w:hAnsi="David" w:cs="David"/>
          <w:b/>
          <w:bCs/>
          <w:sz w:val="24"/>
          <w:szCs w:val="24"/>
          <w:rtl/>
        </w:rPr>
        <w:t>דלא רצה לדון אלא על ידי כפייה</w:t>
      </w:r>
      <w:r>
        <w:rPr>
          <w:rFonts w:ascii="David" w:hAnsi="David" w:cs="David" w:hint="cs"/>
          <w:sz w:val="24"/>
          <w:szCs w:val="24"/>
          <w:rtl/>
        </w:rPr>
        <w:t>,</w:t>
      </w:r>
      <w:r w:rsidR="005C1A9A" w:rsidRPr="005C1A9A">
        <w:rPr>
          <w:rFonts w:ascii="David" w:hAnsi="David" w:cs="David"/>
          <w:sz w:val="24"/>
          <w:szCs w:val="24"/>
          <w:rtl/>
        </w:rPr>
        <w:t xml:space="preserve"> אבל אם מדעתו דנו אותו אין כותבין ונותנין לו </w:t>
      </w:r>
    </w:p>
    <w:p w14:paraId="0F0DEA57" w14:textId="17B0D3F8" w:rsidR="00587279" w:rsidRDefault="005C1A9A" w:rsidP="00587279">
      <w:pPr>
        <w:spacing w:after="0" w:line="360" w:lineRule="auto"/>
        <w:rPr>
          <w:rFonts w:ascii="David" w:hAnsi="David" w:cs="David"/>
          <w:sz w:val="24"/>
          <w:szCs w:val="24"/>
          <w:rtl/>
        </w:rPr>
      </w:pPr>
      <w:r w:rsidRPr="005C1A9A">
        <w:rPr>
          <w:rFonts w:ascii="David" w:hAnsi="David" w:cs="David"/>
          <w:sz w:val="24"/>
          <w:szCs w:val="24"/>
          <w:rtl/>
        </w:rPr>
        <w:t>וי"מ דהכא כל כה"ג צריך לאודועיה דלא איירי הודעה מאיזה טעם חייבו אלא היה משיבו כל כה"ג היה לך להודיעו כשחלקת ולא היה לך לחלוק שלא מדעתו</w:t>
      </w:r>
      <w:r w:rsidR="000A38C3">
        <w:rPr>
          <w:rFonts w:ascii="David" w:hAnsi="David" w:cs="David" w:hint="cs"/>
          <w:sz w:val="24"/>
          <w:szCs w:val="24"/>
          <w:rtl/>
        </w:rPr>
        <w:t>"</w:t>
      </w:r>
      <w:r w:rsidRPr="005C1A9A">
        <w:rPr>
          <w:rFonts w:ascii="David" w:hAnsi="David" w:cs="David"/>
          <w:sz w:val="24"/>
          <w:szCs w:val="24"/>
          <w:rtl/>
        </w:rPr>
        <w:t>.</w:t>
      </w:r>
      <w:r w:rsidR="000A38C3">
        <w:rPr>
          <w:rFonts w:ascii="David" w:hAnsi="David" w:cs="David" w:hint="cs"/>
          <w:sz w:val="24"/>
          <w:szCs w:val="24"/>
          <w:rtl/>
        </w:rPr>
        <w:t xml:space="preserve"> </w:t>
      </w:r>
      <w:r w:rsidR="000A38C3">
        <w:rPr>
          <w:rFonts w:asciiTheme="majorBidi" w:hAnsiTheme="majorBidi" w:cstheme="majorBidi" w:hint="cs"/>
          <w:sz w:val="24"/>
          <w:szCs w:val="24"/>
          <w:rtl/>
        </w:rPr>
        <w:t>לפי הפירוש השני, המשפט 'צריך לאודועי', מוסב בכלל אל השותפים, והוא חלק מנימוק הדין ולא הקדמה לו. אולם הגיב הריטב"א</w:t>
      </w:r>
      <w:r w:rsidR="000A38C3">
        <w:rPr>
          <w:rStyle w:val="af0"/>
          <w:rFonts w:asciiTheme="majorBidi" w:hAnsiTheme="majorBidi" w:cstheme="majorBidi"/>
          <w:sz w:val="24"/>
          <w:szCs w:val="24"/>
          <w:rtl/>
        </w:rPr>
        <w:footnoteReference w:id="9"/>
      </w:r>
      <w:r w:rsidR="000A38C3">
        <w:rPr>
          <w:rFonts w:asciiTheme="majorBidi" w:hAnsiTheme="majorBidi" w:cstheme="majorBidi" w:hint="cs"/>
          <w:sz w:val="24"/>
          <w:szCs w:val="24"/>
          <w:rtl/>
        </w:rPr>
        <w:t xml:space="preserve"> לפירוש זה: </w:t>
      </w:r>
      <w:r w:rsidR="000A38C3">
        <w:rPr>
          <w:rFonts w:ascii="David" w:hAnsi="David" w:cs="David" w:hint="cs"/>
          <w:sz w:val="24"/>
          <w:szCs w:val="24"/>
          <w:rtl/>
        </w:rPr>
        <w:t>"</w:t>
      </w:r>
      <w:r w:rsidRPr="005C1A9A">
        <w:rPr>
          <w:rFonts w:ascii="David" w:hAnsi="David" w:cs="David"/>
          <w:sz w:val="24"/>
          <w:szCs w:val="24"/>
          <w:rtl/>
        </w:rPr>
        <w:t>אין לשון הגמרא הולם פי' זה</w:t>
      </w:r>
      <w:r w:rsidR="000A38C3">
        <w:rPr>
          <w:rFonts w:ascii="David" w:hAnsi="David" w:cs="David" w:hint="cs"/>
          <w:sz w:val="24"/>
          <w:szCs w:val="24"/>
          <w:rtl/>
        </w:rPr>
        <w:t>,</w:t>
      </w:r>
      <w:r w:rsidRPr="005C1A9A">
        <w:rPr>
          <w:rFonts w:ascii="David" w:hAnsi="David" w:cs="David"/>
          <w:sz w:val="24"/>
          <w:szCs w:val="24"/>
          <w:rtl/>
        </w:rPr>
        <w:t xml:space="preserve"> דהכי הו"ל לתלמודא למימר</w:t>
      </w:r>
      <w:r w:rsidR="000A38C3">
        <w:rPr>
          <w:rFonts w:ascii="David" w:hAnsi="David" w:cs="David" w:hint="cs"/>
          <w:sz w:val="24"/>
          <w:szCs w:val="24"/>
          <w:rtl/>
        </w:rPr>
        <w:t>:</w:t>
      </w:r>
      <w:r w:rsidRPr="005C1A9A">
        <w:rPr>
          <w:rFonts w:ascii="David" w:hAnsi="David" w:cs="David"/>
          <w:sz w:val="24"/>
          <w:szCs w:val="24"/>
          <w:rtl/>
        </w:rPr>
        <w:t xml:space="preserve"> </w:t>
      </w:r>
      <w:r w:rsidR="000A38C3">
        <w:rPr>
          <w:rFonts w:ascii="David" w:hAnsi="David" w:cs="David" w:hint="cs"/>
          <w:sz w:val="24"/>
          <w:szCs w:val="24"/>
          <w:rtl/>
        </w:rPr>
        <w:t>'</w:t>
      </w:r>
      <w:r w:rsidRPr="005C1A9A">
        <w:rPr>
          <w:rFonts w:ascii="David" w:hAnsi="David" w:cs="David"/>
          <w:sz w:val="24"/>
          <w:szCs w:val="24"/>
          <w:rtl/>
        </w:rPr>
        <w:t>אמר ליה</w:t>
      </w:r>
      <w:r w:rsidR="000A38C3">
        <w:rPr>
          <w:rFonts w:ascii="David" w:hAnsi="David" w:cs="David" w:hint="cs"/>
          <w:sz w:val="24"/>
          <w:szCs w:val="24"/>
          <w:rtl/>
        </w:rPr>
        <w:t>:</w:t>
      </w:r>
      <w:r w:rsidRPr="005C1A9A">
        <w:rPr>
          <w:rFonts w:ascii="David" w:hAnsi="David" w:cs="David"/>
          <w:sz w:val="24"/>
          <w:szCs w:val="24"/>
          <w:rtl/>
        </w:rPr>
        <w:t xml:space="preserve"> כגון הא ודאי צריך לאודועיה</w:t>
      </w:r>
      <w:r w:rsidR="000A38C3">
        <w:rPr>
          <w:rFonts w:ascii="David" w:hAnsi="David" w:cs="David" w:hint="cs"/>
          <w:sz w:val="24"/>
          <w:szCs w:val="24"/>
          <w:rtl/>
        </w:rPr>
        <w:t>,</w:t>
      </w:r>
      <w:r w:rsidRPr="005C1A9A">
        <w:rPr>
          <w:rFonts w:ascii="David" w:hAnsi="David" w:cs="David"/>
          <w:sz w:val="24"/>
          <w:szCs w:val="24"/>
          <w:rtl/>
        </w:rPr>
        <w:t xml:space="preserve"> דחמרא כו"ע ידעי</w:t>
      </w:r>
      <w:r w:rsidR="000A38C3">
        <w:rPr>
          <w:rFonts w:asciiTheme="majorBidi" w:hAnsiTheme="majorBidi" w:cstheme="majorBidi" w:hint="cs"/>
          <w:sz w:val="24"/>
          <w:szCs w:val="24"/>
          <w:rtl/>
        </w:rPr>
        <w:t xml:space="preserve">..'. לפי הפירוש הראשון ישנם שלושה מצבים. בדרך כלל אין כל צורך לנמק, כשכפו אותו לדין יש צורך לנמק, והוא הדין כשיש </w:t>
      </w:r>
      <w:r w:rsidR="000A38C3">
        <w:rPr>
          <w:rFonts w:ascii="David" w:hAnsi="David" w:cs="David" w:hint="cs"/>
          <w:sz w:val="24"/>
          <w:szCs w:val="24"/>
          <w:rtl/>
        </w:rPr>
        <w:t>'</w:t>
      </w:r>
      <w:r w:rsidR="000A38C3" w:rsidRPr="005C1A9A">
        <w:rPr>
          <w:rFonts w:ascii="David" w:hAnsi="David" w:cs="David"/>
          <w:sz w:val="24"/>
          <w:szCs w:val="24"/>
          <w:rtl/>
        </w:rPr>
        <w:t>פתחון פה לחשדו</w:t>
      </w:r>
      <w:r w:rsidR="000A38C3">
        <w:rPr>
          <w:rFonts w:ascii="David" w:hAnsi="David" w:cs="David" w:hint="cs"/>
          <w:sz w:val="24"/>
          <w:szCs w:val="24"/>
          <w:rtl/>
        </w:rPr>
        <w:t xml:space="preserve">', </w:t>
      </w:r>
      <w:r w:rsidR="000A38C3" w:rsidRPr="000A38C3">
        <w:rPr>
          <w:rFonts w:asciiTheme="majorBidi" w:hAnsiTheme="majorBidi" w:cstheme="majorBidi"/>
          <w:sz w:val="24"/>
          <w:szCs w:val="24"/>
          <w:rtl/>
        </w:rPr>
        <w:t xml:space="preserve">מניסוח זה עולה שרב פפא היה מנמק, גם אילולא הביע הכותי תרעומת בקול. </w:t>
      </w:r>
      <w:r w:rsidR="000A38C3">
        <w:rPr>
          <w:rFonts w:asciiTheme="majorBidi" w:hAnsiTheme="majorBidi" w:cstheme="majorBidi" w:hint="cs"/>
          <w:sz w:val="24"/>
          <w:szCs w:val="24"/>
          <w:rtl/>
        </w:rPr>
        <w:t>הרשב"א</w:t>
      </w:r>
      <w:r w:rsidR="000A38C3">
        <w:rPr>
          <w:rStyle w:val="af0"/>
          <w:rFonts w:asciiTheme="majorBidi" w:hAnsiTheme="majorBidi" w:cstheme="majorBidi"/>
          <w:sz w:val="24"/>
          <w:szCs w:val="24"/>
          <w:rtl/>
        </w:rPr>
        <w:footnoteReference w:id="10"/>
      </w:r>
      <w:r w:rsidR="000A38C3">
        <w:rPr>
          <w:rFonts w:asciiTheme="majorBidi" w:hAnsiTheme="majorBidi" w:cstheme="majorBidi" w:hint="cs"/>
          <w:sz w:val="24"/>
          <w:szCs w:val="24"/>
          <w:rtl/>
        </w:rPr>
        <w:t xml:space="preserve"> מביא דעה לפיה אין ראיה שהנידון מרצונו אינו יכול לדרוש שיכתבו לו מאיזה טעם דנוהו, "</w:t>
      </w:r>
      <w:r w:rsidR="000A38C3" w:rsidRPr="005C1A9A">
        <w:rPr>
          <w:rFonts w:ascii="David" w:hAnsi="David" w:cs="David"/>
          <w:sz w:val="24"/>
          <w:szCs w:val="24"/>
          <w:rtl/>
        </w:rPr>
        <w:t>שהרי הוא מתלונן הוה ולא שואל לכתוב לו מאיזה טעם, אלא רב פפא הוא דא"ל מנפשיה כדי לנקות עצמו</w:t>
      </w:r>
      <w:r w:rsidR="000A38C3">
        <w:rPr>
          <w:rFonts w:asciiTheme="majorBidi" w:hAnsiTheme="majorBidi" w:cstheme="majorBidi" w:hint="cs"/>
          <w:sz w:val="24"/>
          <w:szCs w:val="24"/>
          <w:rtl/>
        </w:rPr>
        <w:t>".</w:t>
      </w:r>
      <w:r w:rsidR="00587279">
        <w:rPr>
          <w:rFonts w:asciiTheme="majorBidi" w:hAnsiTheme="majorBidi" w:cstheme="majorBidi" w:hint="cs"/>
          <w:sz w:val="24"/>
          <w:szCs w:val="24"/>
          <w:rtl/>
        </w:rPr>
        <w:t xml:space="preserve"> אולם לדינא מודה הרשב"א לתוספות. בתוספות הרא"ש באמת הציעו: "</w:t>
      </w:r>
      <w:r w:rsidR="00587279" w:rsidRPr="001D2FB9">
        <w:rPr>
          <w:rFonts w:ascii="David" w:hAnsi="David" w:cs="David"/>
          <w:sz w:val="24"/>
          <w:szCs w:val="24"/>
          <w:rtl/>
        </w:rPr>
        <w:t xml:space="preserve">כה"ג צריך לאודועיה </w:t>
      </w:r>
      <w:r w:rsidR="00587279" w:rsidRPr="00587279">
        <w:rPr>
          <w:rFonts w:ascii="David" w:hAnsi="David" w:cs="David"/>
          <w:b/>
          <w:bCs/>
          <w:sz w:val="24"/>
          <w:szCs w:val="24"/>
          <w:rtl/>
        </w:rPr>
        <w:t>אפילו לא ישאל</w:t>
      </w:r>
      <w:r w:rsidR="00587279" w:rsidRPr="001D2FB9">
        <w:rPr>
          <w:rFonts w:ascii="David" w:hAnsi="David" w:cs="David"/>
          <w:sz w:val="24"/>
          <w:szCs w:val="24"/>
          <w:rtl/>
        </w:rPr>
        <w:t xml:space="preserve"> לכתוב לו מאיזה טעם דנתוני כי הכא שלא היה שואל שיודיעוהו</w:t>
      </w:r>
      <w:r w:rsidR="0056552E">
        <w:rPr>
          <w:rFonts w:ascii="David" w:hAnsi="David" w:cs="David" w:hint="cs"/>
          <w:sz w:val="24"/>
          <w:szCs w:val="24"/>
          <w:rtl/>
        </w:rPr>
        <w:t>,</w:t>
      </w:r>
      <w:r w:rsidR="00587279" w:rsidRPr="001D2FB9">
        <w:rPr>
          <w:rFonts w:ascii="David" w:hAnsi="David" w:cs="David"/>
          <w:sz w:val="24"/>
          <w:szCs w:val="24"/>
          <w:rtl/>
        </w:rPr>
        <w:t xml:space="preserve"> אלא קאמר</w:t>
      </w:r>
      <w:r w:rsidR="0056552E">
        <w:rPr>
          <w:rFonts w:ascii="David" w:hAnsi="David" w:cs="David" w:hint="cs"/>
          <w:sz w:val="24"/>
          <w:szCs w:val="24"/>
          <w:rtl/>
        </w:rPr>
        <w:t>:</w:t>
      </w:r>
      <w:r w:rsidR="00587279" w:rsidRPr="001D2FB9">
        <w:rPr>
          <w:rFonts w:ascii="David" w:hAnsi="David" w:cs="David"/>
          <w:sz w:val="24"/>
          <w:szCs w:val="24"/>
          <w:rtl/>
        </w:rPr>
        <w:t xml:space="preserve"> </w:t>
      </w:r>
      <w:r w:rsidR="0056552E">
        <w:rPr>
          <w:rFonts w:ascii="David" w:hAnsi="David" w:cs="David" w:hint="cs"/>
          <w:sz w:val="24"/>
          <w:szCs w:val="24"/>
          <w:rtl/>
        </w:rPr>
        <w:t>'</w:t>
      </w:r>
      <w:r w:rsidR="00587279" w:rsidRPr="001D2FB9">
        <w:rPr>
          <w:rFonts w:ascii="David" w:hAnsi="David" w:cs="David"/>
          <w:sz w:val="24"/>
          <w:szCs w:val="24"/>
          <w:rtl/>
        </w:rPr>
        <w:t>קא חזינא דאבתר דידי קא אזיל מר</w:t>
      </w:r>
      <w:r w:rsidR="0056552E">
        <w:rPr>
          <w:rFonts w:ascii="David" w:hAnsi="David" w:cs="David" w:hint="cs"/>
          <w:sz w:val="24"/>
          <w:szCs w:val="24"/>
          <w:rtl/>
        </w:rPr>
        <w:t>'.</w:t>
      </w:r>
      <w:r w:rsidR="00587279" w:rsidRPr="001D2FB9">
        <w:rPr>
          <w:rFonts w:ascii="David" w:hAnsi="David" w:cs="David"/>
          <w:sz w:val="24"/>
          <w:szCs w:val="24"/>
          <w:rtl/>
        </w:rPr>
        <w:t xml:space="preserve"> אבל בעלמא אם שאל כותבין לו</w:t>
      </w:r>
      <w:r w:rsidR="00587279">
        <w:rPr>
          <w:rStyle w:val="af0"/>
          <w:rFonts w:ascii="David" w:hAnsi="David" w:cs="David"/>
          <w:sz w:val="24"/>
          <w:szCs w:val="24"/>
          <w:rtl/>
        </w:rPr>
        <w:footnoteReference w:id="11"/>
      </w:r>
      <w:r w:rsidR="00587279">
        <w:rPr>
          <w:rFonts w:ascii="David" w:hAnsi="David" w:cs="David" w:hint="cs"/>
          <w:sz w:val="24"/>
          <w:szCs w:val="24"/>
          <w:rtl/>
        </w:rPr>
        <w:t>"</w:t>
      </w:r>
      <w:r w:rsidR="00587279" w:rsidRPr="001D2FB9">
        <w:rPr>
          <w:rFonts w:ascii="David" w:hAnsi="David" w:cs="David"/>
          <w:sz w:val="24"/>
          <w:szCs w:val="24"/>
          <w:rtl/>
        </w:rPr>
        <w:t>.</w:t>
      </w:r>
    </w:p>
    <w:p w14:paraId="254F692D" w14:textId="4C4EFDD1" w:rsidR="00587279" w:rsidRDefault="00587279" w:rsidP="0058727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הרמב"ן</w:t>
      </w:r>
      <w:r>
        <w:rPr>
          <w:rStyle w:val="af0"/>
          <w:rFonts w:asciiTheme="majorBidi" w:hAnsiTheme="majorBidi" w:cstheme="majorBidi"/>
          <w:sz w:val="24"/>
          <w:szCs w:val="24"/>
          <w:rtl/>
        </w:rPr>
        <w:footnoteReference w:id="12"/>
      </w:r>
      <w:r>
        <w:rPr>
          <w:rFonts w:asciiTheme="majorBidi" w:hAnsiTheme="majorBidi" w:cstheme="majorBidi" w:hint="cs"/>
          <w:sz w:val="24"/>
          <w:szCs w:val="24"/>
          <w:rtl/>
        </w:rPr>
        <w:t xml:space="preserve"> מסכים עם דין התוספות, אולם מוסיף ומחלק בין כתיבות שונות בנימוק הדין: </w:t>
      </w:r>
    </w:p>
    <w:p w14:paraId="1B2C82A7" w14:textId="32A5A599" w:rsidR="0085798D" w:rsidRPr="0085798D" w:rsidRDefault="00587279" w:rsidP="0085798D">
      <w:pPr>
        <w:spacing w:after="0" w:line="360" w:lineRule="auto"/>
        <w:rPr>
          <w:rFonts w:asciiTheme="majorBidi" w:hAnsiTheme="majorBidi" w:cstheme="majorBidi"/>
          <w:sz w:val="24"/>
          <w:szCs w:val="24"/>
          <w:rtl/>
        </w:rPr>
      </w:pPr>
      <w:r>
        <w:rPr>
          <w:rFonts w:asciiTheme="majorBidi" w:hAnsiTheme="majorBidi" w:cs="Times New Roman" w:hint="cs"/>
          <w:sz w:val="24"/>
          <w:szCs w:val="24"/>
          <w:rtl/>
        </w:rPr>
        <w:t>"</w:t>
      </w:r>
      <w:r w:rsidRPr="00587279">
        <w:rPr>
          <w:rFonts w:ascii="David" w:hAnsi="David" w:cs="David"/>
          <w:sz w:val="24"/>
          <w:szCs w:val="24"/>
          <w:rtl/>
        </w:rPr>
        <w:t>בעלמא ליצווח ולא משגחינן ביה ולא מודעינן ליה טעמא, אלא אי פקר בבי דינא</w:t>
      </w:r>
      <w:r>
        <w:rPr>
          <w:rFonts w:ascii="David" w:hAnsi="David" w:cs="David" w:hint="cs"/>
          <w:sz w:val="24"/>
          <w:szCs w:val="24"/>
          <w:rtl/>
        </w:rPr>
        <w:t>-</w:t>
      </w:r>
      <w:r w:rsidRPr="00587279">
        <w:rPr>
          <w:rFonts w:ascii="David" w:hAnsi="David" w:cs="David"/>
          <w:sz w:val="24"/>
          <w:szCs w:val="24"/>
          <w:rtl/>
        </w:rPr>
        <w:t xml:space="preserve"> משמת נמי משמתינן ליה, אבל האי כיון שיש מקום חשד מגלינן ליה, ומי שכפאוהו לדון בעירו נמי </w:t>
      </w:r>
      <w:r w:rsidRPr="00587279">
        <w:rPr>
          <w:rFonts w:ascii="David" w:hAnsi="David" w:cs="David"/>
          <w:b/>
          <w:bCs/>
          <w:sz w:val="24"/>
          <w:szCs w:val="24"/>
          <w:rtl/>
        </w:rPr>
        <w:t>אין כותבין לו למה חייבוהו</w:t>
      </w:r>
      <w:r w:rsidRPr="00587279">
        <w:rPr>
          <w:rFonts w:ascii="David" w:hAnsi="David" w:cs="David"/>
          <w:sz w:val="24"/>
          <w:szCs w:val="24"/>
          <w:rtl/>
        </w:rPr>
        <w:t xml:space="preserve"> אלא כותבין לו כך וכך טענו כך וכך השיבו זה וחייבנו אותו בכך וכך</w:t>
      </w:r>
      <w:r w:rsidR="00846BF2">
        <w:rPr>
          <w:rStyle w:val="af0"/>
          <w:rFonts w:ascii="David" w:hAnsi="David" w:cs="David"/>
          <w:sz w:val="24"/>
          <w:szCs w:val="24"/>
          <w:rtl/>
        </w:rPr>
        <w:footnoteReference w:id="13"/>
      </w:r>
      <w:r w:rsidRPr="00587279">
        <w:rPr>
          <w:rFonts w:ascii="David" w:hAnsi="David" w:cs="David"/>
          <w:sz w:val="24"/>
          <w:szCs w:val="24"/>
          <w:rtl/>
        </w:rPr>
        <w:t>, ותלמידי חכמים שבמקום הועד הם ידעו אם כדין נתחייב זה אם לא</w:t>
      </w:r>
      <w:r w:rsidR="00846BF2">
        <w:rPr>
          <w:rStyle w:val="af0"/>
          <w:rFonts w:ascii="David" w:hAnsi="David" w:cs="David"/>
          <w:sz w:val="24"/>
          <w:szCs w:val="24"/>
          <w:rtl/>
        </w:rPr>
        <w:footnoteReference w:id="14"/>
      </w:r>
      <w:r w:rsidRPr="00587279">
        <w:rPr>
          <w:rFonts w:ascii="David" w:hAnsi="David" w:cs="David"/>
          <w:sz w:val="24"/>
          <w:szCs w:val="24"/>
          <w:rtl/>
        </w:rPr>
        <w:t xml:space="preserve">, אבל </w:t>
      </w:r>
      <w:r w:rsidRPr="00587279">
        <w:rPr>
          <w:rFonts w:ascii="David" w:hAnsi="David" w:cs="David"/>
          <w:b/>
          <w:bCs/>
          <w:sz w:val="24"/>
          <w:szCs w:val="24"/>
          <w:rtl/>
        </w:rPr>
        <w:t>לא לכתוב טעמי הדין</w:t>
      </w:r>
      <w:r w:rsidRPr="00587279">
        <w:rPr>
          <w:rFonts w:ascii="David" w:hAnsi="David" w:cs="David"/>
          <w:sz w:val="24"/>
          <w:szCs w:val="24"/>
          <w:rtl/>
        </w:rPr>
        <w:t xml:space="preserve"> כמו שעשה רב פפא לזה מפני החשד</w:t>
      </w:r>
      <w:r>
        <w:rPr>
          <w:rFonts w:ascii="David" w:hAnsi="David" w:cs="David" w:hint="cs"/>
          <w:sz w:val="24"/>
          <w:szCs w:val="24"/>
          <w:rtl/>
        </w:rPr>
        <w:t>".</w:t>
      </w:r>
      <w:r w:rsidR="00154331">
        <w:rPr>
          <w:rFonts w:ascii="David" w:hAnsi="David" w:cs="David" w:hint="cs"/>
          <w:sz w:val="24"/>
          <w:szCs w:val="24"/>
          <w:rtl/>
        </w:rPr>
        <w:t xml:space="preserve"> </w:t>
      </w:r>
      <w:r w:rsidR="00154331" w:rsidRPr="00154331">
        <w:rPr>
          <w:rFonts w:asciiTheme="majorBidi" w:hAnsiTheme="majorBidi" w:cstheme="majorBidi"/>
          <w:sz w:val="24"/>
          <w:szCs w:val="24"/>
          <w:rtl/>
        </w:rPr>
        <w:t>שינוי קל בדברי</w:t>
      </w:r>
      <w:r w:rsidR="00154331">
        <w:rPr>
          <w:rFonts w:ascii="David" w:hAnsi="David" w:cs="David" w:hint="cs"/>
          <w:sz w:val="24"/>
          <w:szCs w:val="24"/>
          <w:rtl/>
        </w:rPr>
        <w:t xml:space="preserve"> </w:t>
      </w:r>
      <w:r w:rsidR="00154331" w:rsidRPr="00154331">
        <w:rPr>
          <w:rFonts w:asciiTheme="majorBidi" w:hAnsiTheme="majorBidi" w:cstheme="majorBidi"/>
          <w:sz w:val="24"/>
          <w:szCs w:val="24"/>
          <w:rtl/>
        </w:rPr>
        <w:t>הריטב"א</w:t>
      </w:r>
      <w:r w:rsidR="00154331">
        <w:rPr>
          <w:rFonts w:asciiTheme="majorBidi" w:hAnsiTheme="majorBidi" w:cstheme="majorBidi" w:hint="cs"/>
          <w:sz w:val="24"/>
          <w:szCs w:val="24"/>
          <w:rtl/>
        </w:rPr>
        <w:t>:</w:t>
      </w:r>
      <w:r w:rsidR="00154331" w:rsidRPr="00154331">
        <w:rPr>
          <w:rFonts w:asciiTheme="majorBidi" w:hAnsiTheme="majorBidi" w:cstheme="majorBidi"/>
          <w:sz w:val="24"/>
          <w:szCs w:val="24"/>
          <w:rtl/>
        </w:rPr>
        <w:t xml:space="preserve"> </w:t>
      </w:r>
      <w:r w:rsidR="00154331" w:rsidRPr="00154331">
        <w:rPr>
          <w:rFonts w:asciiTheme="majorBidi" w:hAnsiTheme="majorBidi" w:cstheme="majorBidi"/>
          <w:sz w:val="24"/>
          <w:szCs w:val="24"/>
          <w:rtl/>
        </w:rPr>
        <w:t xml:space="preserve"> </w:t>
      </w:r>
      <w:r w:rsidR="00154331">
        <w:rPr>
          <w:rFonts w:ascii="David" w:hAnsi="David" w:cs="David" w:hint="cs"/>
          <w:sz w:val="24"/>
          <w:szCs w:val="24"/>
          <w:rtl/>
        </w:rPr>
        <w:t>"</w:t>
      </w:r>
      <w:r w:rsidR="00154331" w:rsidRPr="00154331">
        <w:rPr>
          <w:rFonts w:ascii="David" w:hAnsi="David" w:cs="David"/>
          <w:sz w:val="24"/>
          <w:szCs w:val="24"/>
          <w:rtl/>
        </w:rPr>
        <w:t xml:space="preserve">שיש לזות שפתים יש לו לדיין להודיעם </w:t>
      </w:r>
      <w:r w:rsidR="00154331" w:rsidRPr="00154331">
        <w:rPr>
          <w:rFonts w:ascii="David" w:hAnsi="David" w:cs="David"/>
          <w:b/>
          <w:bCs/>
          <w:sz w:val="24"/>
          <w:szCs w:val="24"/>
          <w:rtl/>
        </w:rPr>
        <w:t>בעל פה</w:t>
      </w:r>
      <w:r w:rsidR="00154331" w:rsidRPr="00154331">
        <w:rPr>
          <w:rFonts w:ascii="David" w:hAnsi="David" w:cs="David"/>
          <w:sz w:val="24"/>
          <w:szCs w:val="24"/>
          <w:rtl/>
        </w:rPr>
        <w:t xml:space="preserve"> טעמו של דין</w:t>
      </w:r>
      <w:r w:rsidR="0056552E">
        <w:rPr>
          <w:rStyle w:val="af0"/>
          <w:rFonts w:ascii="David" w:hAnsi="David" w:cs="David"/>
          <w:sz w:val="24"/>
          <w:szCs w:val="24"/>
          <w:rtl/>
        </w:rPr>
        <w:footnoteReference w:id="15"/>
      </w:r>
      <w:r w:rsidR="00154331">
        <w:rPr>
          <w:rFonts w:ascii="David" w:hAnsi="David" w:cs="David" w:hint="cs"/>
          <w:sz w:val="24"/>
          <w:szCs w:val="24"/>
          <w:rtl/>
        </w:rPr>
        <w:t>".</w:t>
      </w:r>
      <w:r w:rsidR="0085798D">
        <w:rPr>
          <w:rFonts w:asciiTheme="majorBidi" w:hAnsiTheme="majorBidi" w:cstheme="majorBidi" w:hint="cs"/>
          <w:sz w:val="24"/>
          <w:szCs w:val="24"/>
          <w:rtl/>
        </w:rPr>
        <w:t xml:space="preserve"> לדברי הרמב"ן, עולה תירוץ אלטרנטיבי לפער בין הסוגיות: </w:t>
      </w:r>
    </w:p>
    <w:p w14:paraId="1F398F69" w14:textId="7C569740" w:rsidR="00623A54" w:rsidRPr="00623A54" w:rsidRDefault="0085798D" w:rsidP="00623A54">
      <w:pPr>
        <w:spacing w:after="0" w:line="360" w:lineRule="auto"/>
        <w:rPr>
          <w:rFonts w:asciiTheme="majorBidi" w:hAnsiTheme="majorBidi" w:cstheme="majorBidi"/>
          <w:sz w:val="24"/>
          <w:szCs w:val="24"/>
          <w:rtl/>
        </w:rPr>
      </w:pPr>
      <w:r w:rsidRPr="0085798D">
        <w:rPr>
          <w:rFonts w:ascii="David" w:hAnsi="David" w:cs="David"/>
          <w:sz w:val="24"/>
          <w:szCs w:val="24"/>
          <w:rtl/>
        </w:rPr>
        <w:lastRenderedPageBreak/>
        <w:t>"</w:t>
      </w:r>
      <w:r w:rsidRPr="0085798D">
        <w:rPr>
          <w:rFonts w:ascii="David" w:hAnsi="David" w:cs="David"/>
          <w:sz w:val="24"/>
          <w:szCs w:val="24"/>
          <w:rtl/>
        </w:rPr>
        <w:t>התם כותבים הראיה וכאן טעם הדין, וכמו שבאמת באסיפת זקנים</w:t>
      </w:r>
      <w:r w:rsidR="0056552E">
        <w:rPr>
          <w:rStyle w:val="af0"/>
          <w:rFonts w:ascii="David" w:hAnsi="David" w:cs="David"/>
          <w:sz w:val="24"/>
          <w:szCs w:val="24"/>
          <w:rtl/>
        </w:rPr>
        <w:footnoteReference w:id="16"/>
      </w:r>
      <w:r w:rsidRPr="0085798D">
        <w:rPr>
          <w:rFonts w:ascii="David" w:hAnsi="David" w:cs="David"/>
          <w:sz w:val="24"/>
          <w:szCs w:val="24"/>
          <w:rtl/>
        </w:rPr>
        <w:t xml:space="preserve">".  </w:t>
      </w:r>
      <w:r>
        <w:rPr>
          <w:rFonts w:asciiTheme="majorBidi" w:hAnsiTheme="majorBidi" w:cstheme="majorBidi" w:hint="cs"/>
          <w:sz w:val="24"/>
          <w:szCs w:val="24"/>
          <w:rtl/>
        </w:rPr>
        <w:t>אולם בעלי התוספות לא רצו להציע תירוץ זה</w:t>
      </w:r>
      <w:r w:rsidR="00E66B94">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85798D">
        <w:rPr>
          <w:rFonts w:ascii="David" w:hAnsi="David" w:cs="David"/>
          <w:sz w:val="24"/>
          <w:szCs w:val="24"/>
          <w:rtl/>
        </w:rPr>
        <w:t xml:space="preserve">דלשון הגמרא דסנהדרין כתבו לי מאיזה </w:t>
      </w:r>
      <w:r w:rsidRPr="0085798D">
        <w:rPr>
          <w:rFonts w:ascii="David" w:hAnsi="David" w:cs="David"/>
          <w:b/>
          <w:bCs/>
          <w:sz w:val="24"/>
          <w:szCs w:val="24"/>
          <w:rtl/>
        </w:rPr>
        <w:t>טעם</w:t>
      </w:r>
      <w:r w:rsidRPr="0085798D">
        <w:rPr>
          <w:rFonts w:ascii="David" w:hAnsi="David" w:cs="David"/>
          <w:sz w:val="24"/>
          <w:szCs w:val="24"/>
          <w:rtl/>
        </w:rPr>
        <w:t xml:space="preserve"> דנתוני משמע דגם הטעם מודיעין</w:t>
      </w:r>
      <w:r>
        <w:rPr>
          <w:rStyle w:val="af0"/>
          <w:rFonts w:ascii="David" w:hAnsi="David" w:cs="David"/>
          <w:sz w:val="24"/>
          <w:szCs w:val="24"/>
          <w:rtl/>
        </w:rPr>
        <w:footnoteReference w:id="17"/>
      </w:r>
      <w:r>
        <w:rPr>
          <w:rFonts w:asciiTheme="majorBidi" w:hAnsiTheme="majorBidi" w:cstheme="majorBidi" w:hint="cs"/>
          <w:sz w:val="24"/>
          <w:szCs w:val="24"/>
          <w:rtl/>
        </w:rPr>
        <w:t xml:space="preserve">". </w:t>
      </w:r>
      <w:r w:rsidR="00623A54">
        <w:rPr>
          <w:rFonts w:asciiTheme="majorBidi" w:hAnsiTheme="majorBidi" w:cs="Times New Roman" w:hint="cs"/>
          <w:sz w:val="24"/>
          <w:szCs w:val="24"/>
          <w:rtl/>
        </w:rPr>
        <w:t xml:space="preserve"> </w:t>
      </w:r>
      <w:r w:rsidR="00623A54" w:rsidRPr="00623A54">
        <w:rPr>
          <w:rFonts w:asciiTheme="majorBidi" w:hAnsiTheme="majorBidi" w:cs="Times New Roman"/>
          <w:sz w:val="24"/>
          <w:szCs w:val="24"/>
          <w:rtl/>
        </w:rPr>
        <w:t xml:space="preserve"> </w:t>
      </w:r>
      <w:r w:rsidR="00623A54">
        <w:rPr>
          <w:rFonts w:asciiTheme="majorBidi" w:hAnsiTheme="majorBidi" w:cstheme="majorBidi" w:hint="cs"/>
          <w:sz w:val="24"/>
          <w:szCs w:val="24"/>
          <w:rtl/>
        </w:rPr>
        <w:t>הרב יאיר חיים בכרך לא קיבל את החילוק</w:t>
      </w:r>
      <w:r w:rsidR="0056552E">
        <w:rPr>
          <w:rFonts w:asciiTheme="majorBidi" w:hAnsiTheme="majorBidi" w:cstheme="majorBidi" w:hint="cs"/>
          <w:sz w:val="24"/>
          <w:szCs w:val="24"/>
          <w:rtl/>
        </w:rPr>
        <w:t xml:space="preserve"> של הרמב"ן</w:t>
      </w:r>
      <w:r w:rsidR="00623A54">
        <w:rPr>
          <w:rFonts w:asciiTheme="majorBidi" w:hAnsiTheme="majorBidi" w:cstheme="majorBidi" w:hint="cs"/>
          <w:sz w:val="24"/>
          <w:szCs w:val="24"/>
          <w:rtl/>
        </w:rPr>
        <w:t xml:space="preserve">. לדעתו </w:t>
      </w:r>
      <w:r w:rsidR="00623A54" w:rsidRPr="00623A54">
        <w:rPr>
          <w:rFonts w:ascii="David" w:hAnsi="David" w:cs="David"/>
          <w:sz w:val="24"/>
          <w:szCs w:val="24"/>
          <w:rtl/>
        </w:rPr>
        <w:t>"</w:t>
      </w:r>
      <w:r w:rsidR="00623A54" w:rsidRPr="00623A54">
        <w:rPr>
          <w:rFonts w:ascii="David" w:hAnsi="David" w:cs="David"/>
          <w:sz w:val="24"/>
          <w:szCs w:val="24"/>
          <w:rtl/>
        </w:rPr>
        <w:t>היו דרכן לכתוב כל הטענות בפסקיהם</w:t>
      </w:r>
      <w:r w:rsidR="00623A54" w:rsidRPr="00623A54">
        <w:rPr>
          <w:rStyle w:val="af0"/>
          <w:rFonts w:ascii="David" w:hAnsi="David" w:cs="David"/>
          <w:sz w:val="24"/>
          <w:szCs w:val="24"/>
          <w:rtl/>
        </w:rPr>
        <w:footnoteReference w:id="18"/>
      </w:r>
      <w:r w:rsidR="00623A54" w:rsidRPr="00623A54">
        <w:rPr>
          <w:rFonts w:ascii="David" w:hAnsi="David" w:cs="David"/>
          <w:sz w:val="24"/>
          <w:szCs w:val="24"/>
          <w:rtl/>
        </w:rPr>
        <w:t>".</w:t>
      </w:r>
      <w:r w:rsidR="00623A54">
        <w:rPr>
          <w:rFonts w:asciiTheme="majorBidi" w:hAnsiTheme="majorBidi" w:cstheme="majorBidi" w:hint="cs"/>
          <w:sz w:val="24"/>
          <w:szCs w:val="24"/>
          <w:rtl/>
        </w:rPr>
        <w:t xml:space="preserve"> ראיה לכך הוא מביא מן הגמרא: </w:t>
      </w:r>
    </w:p>
    <w:p w14:paraId="7202D552" w14:textId="5A3C352F" w:rsidR="00587279" w:rsidRPr="00623A54" w:rsidRDefault="00623A54" w:rsidP="00623A54">
      <w:pPr>
        <w:spacing w:after="0" w:line="360" w:lineRule="auto"/>
        <w:rPr>
          <w:rFonts w:asciiTheme="majorBidi" w:hAnsiTheme="majorBidi" w:cstheme="majorBidi"/>
          <w:sz w:val="24"/>
          <w:szCs w:val="24"/>
          <w:rtl/>
        </w:rPr>
      </w:pPr>
      <w:r>
        <w:rPr>
          <w:rFonts w:ascii="David" w:hAnsi="David" w:cs="David" w:hint="cs"/>
          <w:sz w:val="24"/>
          <w:szCs w:val="24"/>
          <w:rtl/>
        </w:rPr>
        <w:t>"</w:t>
      </w:r>
      <w:r w:rsidRPr="00623A54">
        <w:rPr>
          <w:rFonts w:ascii="David" w:hAnsi="David" w:cs="David"/>
          <w:sz w:val="24"/>
          <w:szCs w:val="24"/>
          <w:rtl/>
        </w:rPr>
        <w:t xml:space="preserve">אמר להו רבא לרב פפא ולרב הונא בריה דרב יהושע: כי אתי פסקא דדינא דידי לקמייכו וחזיתו ביה </w:t>
      </w:r>
      <w:r w:rsidRPr="00623A54">
        <w:rPr>
          <w:rFonts w:ascii="David" w:hAnsi="David" w:cs="David"/>
          <w:b/>
          <w:bCs/>
          <w:sz w:val="24"/>
          <w:szCs w:val="24"/>
          <w:rtl/>
        </w:rPr>
        <w:t>פירכא</w:t>
      </w:r>
      <w:r w:rsidRPr="00623A54">
        <w:rPr>
          <w:rFonts w:ascii="David" w:hAnsi="David" w:cs="David"/>
          <w:sz w:val="24"/>
          <w:szCs w:val="24"/>
          <w:rtl/>
        </w:rPr>
        <w:t>, לא תקרעוהו עד דאתיתו לקמאי, אי אית לי טעמא אמינא לכו, ואי לא - הדרנא בי; לאחר מיתה, לא מיקרע תקרעוהו ומגמר נמי לא תגמרו מיניה, לא מיקרע תקרעיניה - דאי הואי התם דלמא הוה אמינא לכו טעמא</w:t>
      </w:r>
      <w:r>
        <w:rPr>
          <w:rStyle w:val="af0"/>
          <w:rFonts w:ascii="David" w:hAnsi="David" w:cs="David"/>
          <w:sz w:val="24"/>
          <w:szCs w:val="24"/>
          <w:rtl/>
        </w:rPr>
        <w:footnoteReference w:id="19"/>
      </w:r>
      <w:r>
        <w:rPr>
          <w:rFonts w:ascii="David" w:hAnsi="David" w:cs="David" w:hint="cs"/>
          <w:sz w:val="24"/>
          <w:szCs w:val="24"/>
          <w:rtl/>
        </w:rPr>
        <w:t xml:space="preserve">". </w:t>
      </w:r>
      <w:r>
        <w:rPr>
          <w:rFonts w:asciiTheme="majorBidi" w:hAnsiTheme="majorBidi" w:cstheme="majorBidi" w:hint="cs"/>
          <w:sz w:val="24"/>
          <w:szCs w:val="24"/>
          <w:rtl/>
        </w:rPr>
        <w:t xml:space="preserve">אפשרות ה'פרכא', מורה שנכתבו הנימוקים. </w:t>
      </w:r>
    </w:p>
    <w:p w14:paraId="6C2ABC80" w14:textId="728E9279" w:rsidR="005C1A9A" w:rsidRPr="005A37B9" w:rsidRDefault="00FF0973" w:rsidP="005A37B9">
      <w:pPr>
        <w:pStyle w:val="a9"/>
        <w:numPr>
          <w:ilvl w:val="0"/>
          <w:numId w:val="1"/>
        </w:numPr>
        <w:spacing w:after="0" w:line="360" w:lineRule="auto"/>
        <w:rPr>
          <w:rFonts w:asciiTheme="majorBidi" w:hAnsiTheme="majorBidi" w:cstheme="majorBidi"/>
          <w:b/>
          <w:bCs/>
          <w:sz w:val="24"/>
          <w:szCs w:val="24"/>
          <w:rtl/>
        </w:rPr>
      </w:pPr>
      <w:r w:rsidRPr="005A37B9">
        <w:rPr>
          <w:rFonts w:asciiTheme="majorBidi" w:hAnsiTheme="majorBidi" w:cstheme="majorBidi" w:hint="cs"/>
          <w:b/>
          <w:bCs/>
          <w:sz w:val="24"/>
          <w:szCs w:val="24"/>
          <w:rtl/>
        </w:rPr>
        <w:t>להלכה</w:t>
      </w:r>
    </w:p>
    <w:p w14:paraId="21C47C21" w14:textId="77777777" w:rsidR="00E34BF2" w:rsidRDefault="00FF0973" w:rsidP="00E34BF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הרמב"ם הביא רק את הסוגיה בסנהדרין:  </w:t>
      </w:r>
      <w:r>
        <w:rPr>
          <w:rFonts w:ascii="David" w:hAnsi="David" w:cs="David" w:hint="cs"/>
          <w:sz w:val="24"/>
          <w:szCs w:val="24"/>
          <w:rtl/>
        </w:rPr>
        <w:t>"</w:t>
      </w:r>
      <w:r w:rsidRPr="00FF0973">
        <w:rPr>
          <w:rFonts w:ascii="David" w:hAnsi="David" w:cs="David"/>
          <w:sz w:val="24"/>
          <w:szCs w:val="24"/>
          <w:rtl/>
        </w:rPr>
        <w:t>שנים שנתעצמו בדין אחד אומר נדון כאן ואחד אומר נעלה לבית דין הגדול שמא יטעו אלו הדיינין ויוציאו ממון שלא כדין ו כופין אותו ודן בעירו, ואם אמר כתבו ותנו לי מאי זה טעם ז דנתוני שמא טעיתם כותבים ונותנין לו</w:t>
      </w:r>
      <w:r>
        <w:rPr>
          <w:rStyle w:val="af0"/>
          <w:rFonts w:ascii="David" w:hAnsi="David" w:cs="David"/>
          <w:sz w:val="24"/>
          <w:szCs w:val="24"/>
          <w:rtl/>
        </w:rPr>
        <w:footnoteReference w:id="20"/>
      </w:r>
      <w:r>
        <w:rPr>
          <w:rFonts w:ascii="David" w:hAnsi="David" w:cs="David" w:hint="cs"/>
          <w:sz w:val="24"/>
          <w:szCs w:val="24"/>
          <w:rtl/>
        </w:rPr>
        <w:t>".</w:t>
      </w:r>
      <w:r w:rsidR="00E34BF2">
        <w:rPr>
          <w:rFonts w:asciiTheme="majorBidi" w:hAnsiTheme="majorBidi" w:cstheme="majorBidi" w:hint="cs"/>
          <w:sz w:val="24"/>
          <w:szCs w:val="24"/>
          <w:rtl/>
        </w:rPr>
        <w:t xml:space="preserve"> </w:t>
      </w:r>
    </w:p>
    <w:p w14:paraId="07448A99" w14:textId="71CA5182" w:rsidR="00FF0973" w:rsidRDefault="00E34BF2" w:rsidP="00E34BF2">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w:t>
      </w:r>
      <w:r w:rsidRPr="00E34BF2">
        <w:rPr>
          <w:rFonts w:asciiTheme="majorBidi" w:hAnsiTheme="majorBidi" w:cs="Times New Roman"/>
          <w:sz w:val="24"/>
          <w:szCs w:val="24"/>
          <w:rtl/>
        </w:rPr>
        <w:t xml:space="preserve">רדב"ז </w:t>
      </w:r>
      <w:r>
        <w:rPr>
          <w:rFonts w:asciiTheme="majorBidi" w:hAnsiTheme="majorBidi" w:cs="Times New Roman" w:hint="cs"/>
          <w:sz w:val="24"/>
          <w:szCs w:val="24"/>
          <w:rtl/>
        </w:rPr>
        <w:t>סבור שלדעת הרמב"ם הכל יכולים לדרוש כתיבת נימוקים</w:t>
      </w:r>
      <w:r>
        <w:rPr>
          <w:rFonts w:asciiTheme="majorBidi" w:hAnsiTheme="majorBidi" w:cstheme="majorBidi" w:hint="cs"/>
          <w:sz w:val="24"/>
          <w:szCs w:val="24"/>
          <w:rtl/>
        </w:rPr>
        <w:t xml:space="preserve">, </w:t>
      </w:r>
      <w:r>
        <w:rPr>
          <w:rFonts w:ascii="David" w:hAnsi="David" w:cs="David" w:hint="cs"/>
          <w:sz w:val="24"/>
          <w:szCs w:val="24"/>
          <w:rtl/>
        </w:rPr>
        <w:t>"</w:t>
      </w:r>
      <w:r w:rsidRPr="00E34BF2">
        <w:rPr>
          <w:rFonts w:ascii="David" w:hAnsi="David" w:cs="David"/>
          <w:sz w:val="24"/>
          <w:szCs w:val="24"/>
          <w:rtl/>
        </w:rPr>
        <w:t>דאין לך התעצמות יותר ממי שאין רוצה לפרוע עד שיכתבו לו מאי זה טעם דנוהו</w:t>
      </w:r>
      <w:r>
        <w:rPr>
          <w:rFonts w:ascii="David" w:hAnsi="David" w:cs="David" w:hint="cs"/>
          <w:sz w:val="24"/>
          <w:szCs w:val="24"/>
          <w:rtl/>
        </w:rPr>
        <w:t>".</w:t>
      </w:r>
    </w:p>
    <w:p w14:paraId="6777E6B9" w14:textId="7C1DB2DC" w:rsidR="00B278E6" w:rsidRDefault="00E34BF2" w:rsidP="00B278E6">
      <w:pPr>
        <w:spacing w:after="0" w:line="360" w:lineRule="auto"/>
        <w:rPr>
          <w:rFonts w:asciiTheme="majorBidi" w:hAnsiTheme="majorBidi" w:cstheme="majorBidi"/>
          <w:sz w:val="24"/>
          <w:szCs w:val="24"/>
          <w:rtl/>
        </w:rPr>
      </w:pPr>
      <w:r>
        <w:rPr>
          <w:rFonts w:ascii="David" w:hAnsi="David" w:cs="David" w:hint="cs"/>
          <w:sz w:val="24"/>
          <w:szCs w:val="24"/>
          <w:rtl/>
        </w:rPr>
        <w:t>"הבית יוסף כותב שנראה מדבריו שדווקא כשכפוהו לדון בבית דין קטן חייבים לתת לנידון את הטעמים כיוון שחוששים שמא טעו. מה שאין כן כשנידון בבית הדין הגדול שאין חוששים לטעות</w:t>
      </w:r>
      <w:r>
        <w:rPr>
          <w:rStyle w:val="af0"/>
          <w:rFonts w:ascii="David" w:hAnsi="David" w:cs="David"/>
          <w:sz w:val="24"/>
          <w:szCs w:val="24"/>
          <w:rtl/>
        </w:rPr>
        <w:footnoteReference w:id="21"/>
      </w:r>
      <w:r>
        <w:rPr>
          <w:rFonts w:ascii="David" w:hAnsi="David" w:cs="David" w:hint="cs"/>
          <w:sz w:val="24"/>
          <w:szCs w:val="24"/>
          <w:rtl/>
        </w:rPr>
        <w:t xml:space="preserve">. אולם בשו"ת </w:t>
      </w:r>
      <w:r w:rsidRPr="00E34BF2">
        <w:rPr>
          <w:rFonts w:ascii="David" w:hAnsi="David" w:cs="David" w:hint="cs"/>
          <w:sz w:val="20"/>
          <w:szCs w:val="20"/>
          <w:rtl/>
        </w:rPr>
        <w:t>אבקת רוכל סימן יח</w:t>
      </w:r>
      <w:r>
        <w:rPr>
          <w:rFonts w:ascii="David" w:hAnsi="David" w:cs="David" w:hint="cs"/>
          <w:sz w:val="24"/>
          <w:szCs w:val="24"/>
          <w:rtl/>
        </w:rPr>
        <w:t xml:space="preserve"> הוא מביא את תשובת המבי"ט לפיה אין חילוק, שכן תלמיד יכול להוכיח לרבו שטעה בדין ואין בזה משום ביזוי</w:t>
      </w:r>
      <w:r>
        <w:rPr>
          <w:rStyle w:val="af0"/>
          <w:rFonts w:ascii="David" w:hAnsi="David" w:cs="David"/>
          <w:sz w:val="24"/>
          <w:szCs w:val="24"/>
          <w:rtl/>
        </w:rPr>
        <w:footnoteReference w:id="22"/>
      </w:r>
      <w:r>
        <w:rPr>
          <w:rFonts w:ascii="David" w:hAnsi="David" w:cs="David" w:hint="cs"/>
          <w:sz w:val="24"/>
          <w:szCs w:val="24"/>
          <w:rtl/>
        </w:rPr>
        <w:t xml:space="preserve">". </w:t>
      </w:r>
      <w:r>
        <w:rPr>
          <w:rFonts w:asciiTheme="majorBidi" w:hAnsiTheme="majorBidi" w:cstheme="majorBidi" w:hint="cs"/>
          <w:sz w:val="24"/>
          <w:szCs w:val="24"/>
          <w:rtl/>
        </w:rPr>
        <w:t xml:space="preserve">בשולחן ערוך העתיק כמעט במדוייק את דברי הרמב"ם והוסיף: </w:t>
      </w:r>
      <w:r>
        <w:rPr>
          <w:rFonts w:ascii="David" w:hAnsi="David" w:cs="David" w:hint="cs"/>
          <w:sz w:val="24"/>
          <w:szCs w:val="24"/>
          <w:rtl/>
        </w:rPr>
        <w:t>"</w:t>
      </w:r>
      <w:r w:rsidRPr="00E34BF2">
        <w:rPr>
          <w:rFonts w:ascii="David" w:hAnsi="David" w:cs="David"/>
          <w:sz w:val="24"/>
          <w:szCs w:val="24"/>
          <w:rtl/>
        </w:rPr>
        <w:t>י"א שאם רואה הדיין שבעל דין חושדו שנוטה הדין כנגדו, צריך להודיעו מאיזה טעם דנו, אפילו אם לא שא</w:t>
      </w:r>
      <w:r w:rsidRPr="00E34BF2">
        <w:rPr>
          <w:rFonts w:ascii="David" w:hAnsi="David" w:cs="David"/>
          <w:sz w:val="24"/>
          <w:szCs w:val="24"/>
          <w:rtl/>
        </w:rPr>
        <w:t>ל</w:t>
      </w:r>
      <w:r w:rsidRPr="00E34BF2">
        <w:rPr>
          <w:rStyle w:val="af0"/>
          <w:rFonts w:ascii="David" w:hAnsi="David" w:cs="David"/>
          <w:sz w:val="24"/>
          <w:szCs w:val="24"/>
          <w:rtl/>
        </w:rPr>
        <w:footnoteReference w:id="23"/>
      </w:r>
      <w:r w:rsidRPr="00E34BF2">
        <w:rPr>
          <w:rFonts w:ascii="David" w:hAnsi="David" w:cs="David"/>
          <w:sz w:val="24"/>
          <w:szCs w:val="24"/>
          <w:rtl/>
        </w:rPr>
        <w:t>".</w:t>
      </w:r>
      <w:r>
        <w:rPr>
          <w:rFonts w:asciiTheme="majorBidi" w:hAnsiTheme="majorBidi" w:cstheme="majorBidi" w:hint="cs"/>
          <w:sz w:val="24"/>
          <w:szCs w:val="24"/>
          <w:rtl/>
        </w:rPr>
        <w:t xml:space="preserve">  כתב </w:t>
      </w:r>
      <w:r w:rsidR="00B278E6">
        <w:rPr>
          <w:rFonts w:asciiTheme="majorBidi" w:hAnsiTheme="majorBidi" w:cstheme="majorBidi" w:hint="cs"/>
          <w:sz w:val="24"/>
          <w:szCs w:val="24"/>
          <w:rtl/>
        </w:rPr>
        <w:t xml:space="preserve">שם </w:t>
      </w:r>
      <w:r>
        <w:rPr>
          <w:rFonts w:asciiTheme="majorBidi" w:hAnsiTheme="majorBidi" w:cstheme="majorBidi" w:hint="cs"/>
          <w:sz w:val="24"/>
          <w:szCs w:val="24"/>
          <w:rtl/>
        </w:rPr>
        <w:t>הרמ"א:</w:t>
      </w:r>
    </w:p>
    <w:p w14:paraId="21C166EE" w14:textId="48C553E2" w:rsidR="00587279" w:rsidRDefault="00B278E6" w:rsidP="00846BF2">
      <w:pPr>
        <w:spacing w:after="0" w:line="360" w:lineRule="auto"/>
        <w:rPr>
          <w:rFonts w:asciiTheme="majorBidi" w:hAnsiTheme="majorBidi" w:cstheme="majorBidi"/>
          <w:sz w:val="24"/>
          <w:szCs w:val="24"/>
          <w:rtl/>
        </w:rPr>
      </w:pPr>
      <w:r>
        <w:rPr>
          <w:rFonts w:asciiTheme="majorBidi" w:hAnsiTheme="majorBidi" w:cs="Guttman Yad-Brush" w:hint="cs"/>
          <w:sz w:val="18"/>
          <w:szCs w:val="18"/>
          <w:rtl/>
        </w:rPr>
        <w:t>"</w:t>
      </w:r>
      <w:r w:rsidRPr="00B278E6">
        <w:rPr>
          <w:rFonts w:asciiTheme="majorBidi" w:hAnsiTheme="majorBidi" w:cs="Guttman Yad-Brush"/>
          <w:sz w:val="18"/>
          <w:szCs w:val="18"/>
          <w:rtl/>
        </w:rPr>
        <w:t xml:space="preserve">וכ"ש אם אומר: כתבו לי מאיזה טעם דנתוני </w:t>
      </w:r>
      <w:r w:rsidRPr="00B278E6">
        <w:rPr>
          <w:rFonts w:asciiTheme="majorBidi" w:hAnsiTheme="majorBidi" w:cs="Guttman Yad-Brush"/>
          <w:sz w:val="16"/>
          <w:szCs w:val="16"/>
          <w:rtl/>
        </w:rPr>
        <w:t>(טור).</w:t>
      </w:r>
      <w:r w:rsidRPr="00B278E6">
        <w:rPr>
          <w:rFonts w:asciiTheme="majorBidi" w:hAnsiTheme="majorBidi" w:cs="Guttman Yad-Brush"/>
          <w:sz w:val="18"/>
          <w:szCs w:val="18"/>
          <w:rtl/>
        </w:rPr>
        <w:t xml:space="preserve"> מיהו יש אומרים דוקא אם דנו אותו ע"י כפייה, אבל בלא"ה אין כותבין, וכן עיקר </w:t>
      </w:r>
      <w:r w:rsidRPr="00B278E6">
        <w:rPr>
          <w:rFonts w:asciiTheme="majorBidi" w:hAnsiTheme="majorBidi" w:cs="Guttman Yad-Brush"/>
          <w:sz w:val="16"/>
          <w:szCs w:val="16"/>
          <w:rtl/>
        </w:rPr>
        <w:t>(מרדכי נ"י פרק זה בורר ותוס' ור"ן פ' איזהו נשך).</w:t>
      </w:r>
      <w:r w:rsidRPr="00B278E6">
        <w:rPr>
          <w:rFonts w:asciiTheme="majorBidi" w:hAnsiTheme="majorBidi" w:cs="Guttman Yad-Brush" w:hint="cs"/>
          <w:sz w:val="16"/>
          <w:szCs w:val="16"/>
          <w:rtl/>
        </w:rPr>
        <w:t xml:space="preserve"> </w:t>
      </w:r>
      <w:r w:rsidRPr="00B278E6">
        <w:rPr>
          <w:rFonts w:asciiTheme="majorBidi" w:hAnsiTheme="majorBidi" w:cs="Guttman Yad-Brush"/>
          <w:sz w:val="18"/>
          <w:szCs w:val="18"/>
          <w:rtl/>
        </w:rPr>
        <w:t xml:space="preserve">וכשצריכים לכתוב לו מאיזה טעם דנוהו אין קביעות זמן לדבר, אלא כל זמן שבא לכתוב לו, כותבין ונותנין לו </w:t>
      </w:r>
      <w:r w:rsidRPr="00B278E6">
        <w:rPr>
          <w:rFonts w:asciiTheme="majorBidi" w:hAnsiTheme="majorBidi" w:cs="Guttman Yad-Brush"/>
          <w:sz w:val="16"/>
          <w:szCs w:val="16"/>
          <w:rtl/>
        </w:rPr>
        <w:t>(מרדכי ס"פ זה בורר).</w:t>
      </w:r>
      <w:r w:rsidRPr="00B278E6">
        <w:rPr>
          <w:rFonts w:asciiTheme="majorBidi" w:hAnsiTheme="majorBidi" w:cs="Guttman Yad-Brush"/>
          <w:sz w:val="18"/>
          <w:szCs w:val="18"/>
          <w:rtl/>
        </w:rPr>
        <w:t xml:space="preserve"> וא"צ לכתוב לו הטעמים והראיות, רק כותבין להם הטענות והפסק דין </w:t>
      </w:r>
      <w:r w:rsidRPr="00B278E6">
        <w:rPr>
          <w:rFonts w:asciiTheme="majorBidi" w:hAnsiTheme="majorBidi" w:cs="Guttman Yad-Brush"/>
          <w:sz w:val="16"/>
          <w:szCs w:val="16"/>
          <w:rtl/>
        </w:rPr>
        <w:t>(נ"י שם)</w:t>
      </w:r>
      <w:r w:rsidRPr="00B278E6">
        <w:rPr>
          <w:rFonts w:asciiTheme="majorBidi" w:hAnsiTheme="majorBidi" w:cs="Guttman Yad-Brush" w:hint="cs"/>
          <w:sz w:val="16"/>
          <w:szCs w:val="16"/>
          <w:rtl/>
        </w:rPr>
        <w:t>"</w:t>
      </w:r>
      <w:r w:rsidRPr="00B278E6">
        <w:rPr>
          <w:rFonts w:asciiTheme="majorBidi" w:hAnsiTheme="majorBidi" w:cs="Guttman Yad-Brush"/>
          <w:sz w:val="16"/>
          <w:szCs w:val="16"/>
          <w:rtl/>
        </w:rPr>
        <w:t>.</w:t>
      </w:r>
      <w:r>
        <w:rPr>
          <w:rFonts w:asciiTheme="majorBidi" w:hAnsiTheme="majorBidi" w:cs="Guttman Yad-Brush" w:hint="cs"/>
          <w:sz w:val="18"/>
          <w:szCs w:val="18"/>
          <w:rtl/>
        </w:rPr>
        <w:t xml:space="preserve"> </w:t>
      </w:r>
    </w:p>
    <w:p w14:paraId="27CDBDA1" w14:textId="5885036A" w:rsidR="00846BF2" w:rsidRDefault="005A37B9" w:rsidP="00846BF2">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נסכם את הדעות:</w:t>
      </w:r>
    </w:p>
    <w:p w14:paraId="1C8B8121" w14:textId="77777777" w:rsidR="00846BF2" w:rsidRDefault="00846BF2" w:rsidP="00846BF2">
      <w:pPr>
        <w:spacing w:after="0" w:line="360" w:lineRule="auto"/>
        <w:rPr>
          <w:rFonts w:asciiTheme="majorBidi" w:hAnsiTheme="majorBidi" w:cstheme="majorBidi"/>
          <w:sz w:val="24"/>
          <w:szCs w:val="24"/>
          <w:rtl/>
        </w:rPr>
      </w:pPr>
    </w:p>
    <w:p w14:paraId="393D5933" w14:textId="77777777" w:rsidR="00846BF2" w:rsidRDefault="00846BF2" w:rsidP="00846BF2">
      <w:pPr>
        <w:spacing w:after="0" w:line="360" w:lineRule="auto"/>
        <w:rPr>
          <w:rFonts w:asciiTheme="majorBidi" w:hAnsiTheme="majorBidi" w:cstheme="majorBidi"/>
          <w:sz w:val="24"/>
          <w:szCs w:val="24"/>
          <w:rtl/>
        </w:rPr>
      </w:pPr>
    </w:p>
    <w:p w14:paraId="1F2EEE2D" w14:textId="77777777" w:rsidR="00846BF2" w:rsidRDefault="00846BF2" w:rsidP="00846BF2">
      <w:pPr>
        <w:spacing w:after="0" w:line="360" w:lineRule="auto"/>
        <w:rPr>
          <w:rFonts w:asciiTheme="majorBidi" w:hAnsiTheme="majorBidi" w:cstheme="majorBidi"/>
          <w:sz w:val="24"/>
          <w:szCs w:val="24"/>
          <w:rtl/>
        </w:rPr>
      </w:pPr>
    </w:p>
    <w:p w14:paraId="0A2968F4" w14:textId="77777777" w:rsidR="00846BF2" w:rsidRPr="00846BF2" w:rsidRDefault="00846BF2" w:rsidP="00846BF2">
      <w:pPr>
        <w:spacing w:after="0" w:line="360" w:lineRule="auto"/>
        <w:rPr>
          <w:rFonts w:asciiTheme="majorBidi" w:hAnsiTheme="majorBidi" w:cstheme="majorBidi"/>
          <w:sz w:val="24"/>
          <w:szCs w:val="24"/>
          <w:rtl/>
        </w:rPr>
      </w:pPr>
    </w:p>
    <w:p w14:paraId="5F7323EF" w14:textId="77777777" w:rsidR="000A38C3" w:rsidRDefault="000A38C3" w:rsidP="00587279">
      <w:pPr>
        <w:spacing w:after="0" w:line="240" w:lineRule="auto"/>
        <w:rPr>
          <w:rFonts w:ascii="Narkisim" w:hAnsi="Narkisim" w:cs="Narkisim"/>
          <w:rtl/>
        </w:rPr>
      </w:pPr>
    </w:p>
    <w:tbl>
      <w:tblPr>
        <w:tblStyle w:val="af1"/>
        <w:bidiVisual/>
        <w:tblW w:w="0" w:type="auto"/>
        <w:tblLook w:val="04A0" w:firstRow="1" w:lastRow="0" w:firstColumn="1" w:lastColumn="0" w:noHBand="0" w:noVBand="1"/>
      </w:tblPr>
      <w:tblGrid>
        <w:gridCol w:w="1382"/>
        <w:gridCol w:w="1382"/>
        <w:gridCol w:w="1383"/>
        <w:gridCol w:w="1792"/>
        <w:gridCol w:w="1985"/>
      </w:tblGrid>
      <w:tr w:rsidR="0056552E" w14:paraId="4128C835" w14:textId="77777777" w:rsidTr="0056552E">
        <w:tc>
          <w:tcPr>
            <w:tcW w:w="1382" w:type="dxa"/>
          </w:tcPr>
          <w:p w14:paraId="74580131" w14:textId="062AFB3F" w:rsidR="0056552E" w:rsidRPr="00587279" w:rsidRDefault="0056552E" w:rsidP="00587279">
            <w:pPr>
              <w:rPr>
                <w:rFonts w:asciiTheme="majorBidi" w:hAnsiTheme="majorBidi" w:cstheme="majorBidi"/>
                <w:sz w:val="18"/>
                <w:szCs w:val="18"/>
                <w:rtl/>
              </w:rPr>
            </w:pPr>
            <w:r w:rsidRPr="00587279">
              <w:rPr>
                <w:rFonts w:asciiTheme="majorBidi" w:hAnsiTheme="majorBidi" w:cstheme="majorBidi" w:hint="cs"/>
                <w:sz w:val="18"/>
                <w:szCs w:val="18"/>
                <w:rtl/>
              </w:rPr>
              <w:t>דרישה לכתוב מאיזה טעם דנתוני?</w:t>
            </w:r>
          </w:p>
        </w:tc>
        <w:tc>
          <w:tcPr>
            <w:tcW w:w="1382" w:type="dxa"/>
          </w:tcPr>
          <w:p w14:paraId="6F32A39E" w14:textId="4EC053DE"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תוספות, רמ"א</w:t>
            </w:r>
          </w:p>
        </w:tc>
        <w:tc>
          <w:tcPr>
            <w:tcW w:w="1383" w:type="dxa"/>
          </w:tcPr>
          <w:p w14:paraId="04BBD71E" w14:textId="0AEBD1E4"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תוספות רא"ש</w:t>
            </w:r>
          </w:p>
        </w:tc>
        <w:tc>
          <w:tcPr>
            <w:tcW w:w="1792" w:type="dxa"/>
          </w:tcPr>
          <w:p w14:paraId="353850F9" w14:textId="7B5D6394"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רמב"ן</w:t>
            </w:r>
          </w:p>
        </w:tc>
        <w:tc>
          <w:tcPr>
            <w:tcW w:w="1985" w:type="dxa"/>
          </w:tcPr>
          <w:p w14:paraId="4C872757" w14:textId="3A1D0C05"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ריטב"א ותומים</w:t>
            </w:r>
            <w:r w:rsidR="00846BF2">
              <w:rPr>
                <w:rStyle w:val="af0"/>
                <w:rFonts w:asciiTheme="majorBidi" w:hAnsiTheme="majorBidi" w:cstheme="majorBidi"/>
                <w:sz w:val="24"/>
                <w:szCs w:val="24"/>
                <w:rtl/>
              </w:rPr>
              <w:footnoteReference w:id="24"/>
            </w:r>
          </w:p>
        </w:tc>
      </w:tr>
      <w:tr w:rsidR="0056552E" w14:paraId="0CCDD7A9" w14:textId="77777777" w:rsidTr="0056552E">
        <w:tc>
          <w:tcPr>
            <w:tcW w:w="1382" w:type="dxa"/>
          </w:tcPr>
          <w:p w14:paraId="54957BC9" w14:textId="4109D748"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הנדון מרצונו</w:t>
            </w:r>
          </w:p>
        </w:tc>
        <w:tc>
          <w:tcPr>
            <w:tcW w:w="1382" w:type="dxa"/>
          </w:tcPr>
          <w:p w14:paraId="05BAA265" w14:textId="5F4F5FE4"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אינו רשאי</w:t>
            </w:r>
          </w:p>
        </w:tc>
        <w:tc>
          <w:tcPr>
            <w:tcW w:w="1383" w:type="dxa"/>
          </w:tcPr>
          <w:p w14:paraId="63F49E08" w14:textId="6827F9DE"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רשאי</w:t>
            </w:r>
            <w:r>
              <w:rPr>
                <w:rStyle w:val="af0"/>
                <w:rFonts w:asciiTheme="majorBidi" w:hAnsiTheme="majorBidi" w:cstheme="majorBidi"/>
                <w:sz w:val="24"/>
                <w:szCs w:val="24"/>
                <w:rtl/>
              </w:rPr>
              <w:footnoteReference w:id="25"/>
            </w:r>
          </w:p>
        </w:tc>
        <w:tc>
          <w:tcPr>
            <w:tcW w:w="1792" w:type="dxa"/>
          </w:tcPr>
          <w:p w14:paraId="3A5F9297" w14:textId="423DFCC3"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אינו רשאי</w:t>
            </w:r>
          </w:p>
        </w:tc>
        <w:tc>
          <w:tcPr>
            <w:tcW w:w="1985" w:type="dxa"/>
          </w:tcPr>
          <w:p w14:paraId="7F878417" w14:textId="1F10F97D"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אינו רשאי</w:t>
            </w:r>
          </w:p>
        </w:tc>
      </w:tr>
      <w:tr w:rsidR="0056552E" w14:paraId="3C7AC5A2" w14:textId="77777777" w:rsidTr="0056552E">
        <w:tc>
          <w:tcPr>
            <w:tcW w:w="1382" w:type="dxa"/>
          </w:tcPr>
          <w:p w14:paraId="4FD72132" w14:textId="045D2AE3"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כפוהו לדון</w:t>
            </w:r>
          </w:p>
        </w:tc>
        <w:tc>
          <w:tcPr>
            <w:tcW w:w="1382" w:type="dxa"/>
          </w:tcPr>
          <w:p w14:paraId="0B215ADA" w14:textId="18E448E4"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רשאי</w:t>
            </w:r>
          </w:p>
        </w:tc>
        <w:tc>
          <w:tcPr>
            <w:tcW w:w="1383" w:type="dxa"/>
          </w:tcPr>
          <w:p w14:paraId="19A70EF3" w14:textId="5529B547"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רשאי</w:t>
            </w:r>
          </w:p>
        </w:tc>
        <w:tc>
          <w:tcPr>
            <w:tcW w:w="1792" w:type="dxa"/>
          </w:tcPr>
          <w:p w14:paraId="38F54B22" w14:textId="6D56AC04"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מקבל כתיבת הטענות והפסק</w:t>
            </w:r>
          </w:p>
        </w:tc>
        <w:tc>
          <w:tcPr>
            <w:tcW w:w="1985" w:type="dxa"/>
          </w:tcPr>
          <w:p w14:paraId="35501C70" w14:textId="628B2D10" w:rsidR="0056552E" w:rsidRDefault="0056552E" w:rsidP="0056552E">
            <w:pPr>
              <w:rPr>
                <w:rFonts w:asciiTheme="majorBidi" w:hAnsiTheme="majorBidi" w:cstheme="majorBidi"/>
                <w:sz w:val="24"/>
                <w:szCs w:val="24"/>
                <w:rtl/>
              </w:rPr>
            </w:pPr>
            <w:r>
              <w:rPr>
                <w:rFonts w:asciiTheme="majorBidi" w:hAnsiTheme="majorBidi" w:cstheme="majorBidi" w:hint="cs"/>
                <w:sz w:val="24"/>
                <w:szCs w:val="24"/>
                <w:rtl/>
              </w:rPr>
              <w:t xml:space="preserve"> </w:t>
            </w:r>
            <w:r>
              <w:rPr>
                <w:rFonts w:asciiTheme="majorBidi" w:hAnsiTheme="majorBidi" w:cstheme="majorBidi" w:hint="cs"/>
                <w:sz w:val="24"/>
                <w:szCs w:val="24"/>
                <w:rtl/>
              </w:rPr>
              <w:t>מקבל כתיבת הטענות והפסק</w:t>
            </w:r>
          </w:p>
        </w:tc>
      </w:tr>
      <w:tr w:rsidR="0056552E" w14:paraId="718511C8" w14:textId="77777777" w:rsidTr="0056552E">
        <w:tc>
          <w:tcPr>
            <w:tcW w:w="1382" w:type="dxa"/>
          </w:tcPr>
          <w:p w14:paraId="4CFCB164" w14:textId="6AF1FA33"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הכותי</w:t>
            </w:r>
          </w:p>
        </w:tc>
        <w:tc>
          <w:tcPr>
            <w:tcW w:w="1382" w:type="dxa"/>
          </w:tcPr>
          <w:p w14:paraId="152E257E" w14:textId="08CD16B8"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רשאי</w:t>
            </w:r>
          </w:p>
        </w:tc>
        <w:tc>
          <w:tcPr>
            <w:tcW w:w="1383" w:type="dxa"/>
          </w:tcPr>
          <w:p w14:paraId="26611649" w14:textId="55008C45"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בלי שאף יבקש.</w:t>
            </w:r>
          </w:p>
        </w:tc>
        <w:tc>
          <w:tcPr>
            <w:tcW w:w="1792" w:type="dxa"/>
          </w:tcPr>
          <w:p w14:paraId="75A0BB3E" w14:textId="16F3600A"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מקבל כתיבת נימוקים מפורטים</w:t>
            </w:r>
            <w:r>
              <w:rPr>
                <w:rStyle w:val="af0"/>
                <w:rFonts w:asciiTheme="majorBidi" w:hAnsiTheme="majorBidi" w:cstheme="majorBidi"/>
                <w:sz w:val="24"/>
                <w:szCs w:val="24"/>
                <w:rtl/>
              </w:rPr>
              <w:footnoteReference w:id="26"/>
            </w:r>
          </w:p>
        </w:tc>
        <w:tc>
          <w:tcPr>
            <w:tcW w:w="1985" w:type="dxa"/>
          </w:tcPr>
          <w:p w14:paraId="323C39BA" w14:textId="392C2578" w:rsidR="0056552E" w:rsidRDefault="0056552E" w:rsidP="00587279">
            <w:pPr>
              <w:rPr>
                <w:rFonts w:asciiTheme="majorBidi" w:hAnsiTheme="majorBidi" w:cstheme="majorBidi"/>
                <w:sz w:val="24"/>
                <w:szCs w:val="24"/>
                <w:rtl/>
              </w:rPr>
            </w:pPr>
            <w:r>
              <w:rPr>
                <w:rFonts w:asciiTheme="majorBidi" w:hAnsiTheme="majorBidi" w:cstheme="majorBidi" w:hint="cs"/>
                <w:sz w:val="24"/>
                <w:szCs w:val="24"/>
                <w:rtl/>
              </w:rPr>
              <w:t>מקבל כתיבת נימוקים מפורטים</w:t>
            </w:r>
            <w:r>
              <w:rPr>
                <w:rFonts w:asciiTheme="majorBidi" w:hAnsiTheme="majorBidi" w:cstheme="majorBidi" w:hint="cs"/>
                <w:sz w:val="24"/>
                <w:szCs w:val="24"/>
                <w:rtl/>
              </w:rPr>
              <w:t xml:space="preserve"> </w:t>
            </w:r>
            <w:r w:rsidRPr="0056552E">
              <w:rPr>
                <w:rFonts w:asciiTheme="majorBidi" w:hAnsiTheme="majorBidi" w:cstheme="majorBidi" w:hint="cs"/>
                <w:b/>
                <w:bCs/>
                <w:sz w:val="24"/>
                <w:szCs w:val="24"/>
                <w:rtl/>
              </w:rPr>
              <w:t>בעל פה</w:t>
            </w:r>
          </w:p>
        </w:tc>
      </w:tr>
    </w:tbl>
    <w:p w14:paraId="44A9844B" w14:textId="77777777" w:rsidR="000A38C3" w:rsidRDefault="000A38C3" w:rsidP="00C47F90">
      <w:pPr>
        <w:spacing w:after="0" w:line="360" w:lineRule="auto"/>
        <w:rPr>
          <w:rFonts w:asciiTheme="majorBidi" w:hAnsiTheme="majorBidi" w:cstheme="majorBidi"/>
          <w:sz w:val="24"/>
          <w:szCs w:val="24"/>
          <w:rtl/>
        </w:rPr>
      </w:pPr>
    </w:p>
    <w:p w14:paraId="738CE7B6" w14:textId="06348FDD" w:rsidR="00846BF2" w:rsidRDefault="00846BF2" w:rsidP="00C47F90">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כתב </w:t>
      </w:r>
      <w:r w:rsidR="005A37B9">
        <w:rPr>
          <w:rFonts w:asciiTheme="majorBidi" w:hAnsiTheme="majorBidi" w:cstheme="majorBidi" w:hint="cs"/>
          <w:sz w:val="24"/>
          <w:szCs w:val="24"/>
          <w:rtl/>
        </w:rPr>
        <w:t>הרב עוזיאל</w:t>
      </w:r>
      <w:r w:rsidR="005A37B9">
        <w:rPr>
          <w:rStyle w:val="af0"/>
          <w:rFonts w:asciiTheme="majorBidi" w:hAnsiTheme="majorBidi" w:cstheme="majorBidi"/>
          <w:sz w:val="24"/>
          <w:szCs w:val="24"/>
          <w:rtl/>
        </w:rPr>
        <w:footnoteReference w:id="27"/>
      </w:r>
      <w:r>
        <w:rPr>
          <w:rFonts w:asciiTheme="majorBidi" w:hAnsiTheme="majorBidi" w:cstheme="majorBidi" w:hint="cs"/>
          <w:sz w:val="24"/>
          <w:szCs w:val="24"/>
          <w:rtl/>
        </w:rPr>
        <w:t>:</w:t>
      </w:r>
    </w:p>
    <w:p w14:paraId="71B2EE73" w14:textId="3ABF2A55" w:rsidR="005A37B9" w:rsidRPr="005A37B9" w:rsidRDefault="005A37B9" w:rsidP="005A37B9">
      <w:pPr>
        <w:spacing w:after="0" w:line="360" w:lineRule="auto"/>
        <w:rPr>
          <w:rFonts w:ascii="David" w:hAnsi="David" w:cs="David"/>
          <w:sz w:val="20"/>
          <w:szCs w:val="20"/>
          <w:rtl/>
        </w:rPr>
      </w:pPr>
      <w:r w:rsidRPr="005A37B9">
        <w:rPr>
          <w:rFonts w:ascii="David" w:hAnsi="David" w:cs="David"/>
          <w:sz w:val="24"/>
          <w:szCs w:val="24"/>
          <w:rtl/>
        </w:rPr>
        <w:t>"</w:t>
      </w:r>
      <w:r w:rsidRPr="005A37B9">
        <w:rPr>
          <w:rFonts w:ascii="David" w:hAnsi="David" w:cs="David"/>
          <w:sz w:val="24"/>
          <w:szCs w:val="24"/>
          <w:rtl/>
        </w:rPr>
        <w:t>דוקא המתלונן בלגלוג כדכתב בהדיא בנמוקי יוסף</w:t>
      </w:r>
      <w:r w:rsidRPr="005A37B9">
        <w:rPr>
          <w:rFonts w:ascii="David" w:hAnsi="David" w:cs="David"/>
          <w:sz w:val="20"/>
          <w:szCs w:val="20"/>
          <w:rtl/>
        </w:rPr>
        <w:t xml:space="preserve"> (פרק ז"ב)</w:t>
      </w:r>
      <w:r w:rsidRPr="005A37B9">
        <w:rPr>
          <w:rFonts w:ascii="David" w:hAnsi="David" w:cs="David"/>
          <w:sz w:val="24"/>
          <w:szCs w:val="24"/>
          <w:rtl/>
        </w:rPr>
        <w:t xml:space="preserve"> אבל האומר בענוה "שמא טעיתם" שאינו מלגלג ולא חושדו למטה משפט, כמו שדקדק הרמב"ם בצחות לשונו, חס ושלום דמשמתינן ליה (</w:t>
      </w:r>
      <w:r w:rsidRPr="005A37B9">
        <w:rPr>
          <w:rFonts w:ascii="David" w:hAnsi="David" w:cs="David"/>
          <w:sz w:val="20"/>
          <w:szCs w:val="20"/>
          <w:rtl/>
        </w:rPr>
        <w:t xml:space="preserve">תשובות הרשב"א סי' קנ"ג, הבי"ד בספר אבקת רוכל סי' י"ח). </w:t>
      </w:r>
    </w:p>
    <w:p w14:paraId="7872A52A" w14:textId="77777777" w:rsidR="005A37B9" w:rsidRPr="005A37B9" w:rsidRDefault="005A37B9" w:rsidP="005A37B9">
      <w:pPr>
        <w:spacing w:after="0" w:line="360" w:lineRule="auto"/>
        <w:rPr>
          <w:rFonts w:ascii="David" w:hAnsi="David" w:cs="David"/>
          <w:sz w:val="24"/>
          <w:szCs w:val="24"/>
          <w:rtl/>
        </w:rPr>
      </w:pPr>
      <w:r w:rsidRPr="005A37B9">
        <w:rPr>
          <w:rFonts w:ascii="David" w:hAnsi="David" w:cs="David"/>
          <w:sz w:val="24"/>
          <w:szCs w:val="24"/>
          <w:rtl/>
        </w:rPr>
        <w:t xml:space="preserve">הנך רואה כי ההלכה התירה לדיין שלא לכתוב פסקי דינו ונמוקיו, אבל הרגשתם המשפטית של רבותינו ז"ל הכירה שממדת שורת הדין שהם חייבים לדון בה מחייבת גם אותם במכל שכן להיות נוהגים בעצמם מדת לפנים משורת הדין, ולהפיס דעת בעלי דין המבקשים זאת, ולהשקיט מצפונם הם שעל ידי כך יתברר טעותם או צדקתם. </w:t>
      </w:r>
    </w:p>
    <w:p w14:paraId="06C79149" w14:textId="5147470B" w:rsidR="005A37B9" w:rsidRPr="005A37B9" w:rsidRDefault="005A37B9" w:rsidP="005A37B9">
      <w:pPr>
        <w:spacing w:after="0" w:line="360" w:lineRule="auto"/>
        <w:rPr>
          <w:rFonts w:ascii="David" w:hAnsi="David" w:cs="David"/>
          <w:sz w:val="24"/>
          <w:szCs w:val="24"/>
          <w:rtl/>
        </w:rPr>
      </w:pPr>
      <w:r w:rsidRPr="005A37B9">
        <w:rPr>
          <w:rFonts w:ascii="David" w:hAnsi="David" w:cs="David"/>
          <w:sz w:val="24"/>
          <w:szCs w:val="24"/>
          <w:rtl/>
        </w:rPr>
        <w:t>וכבר כתבנו שבזמן הזה שנטלה מאתנו האפשרות של טענת "לבית הגדול קא אזילנא" או נלך למקום הועד, נעשו כל בתי דין שלנו כבית דין של כפייה ומחוייבים אנו להשמע לדרישתם או אפילו סתם לרצונם של בעלי הדין שאומרים: כתבו לי מהיכן דנתוני</w:t>
      </w:r>
      <w:r w:rsidRPr="005A37B9">
        <w:rPr>
          <w:rFonts w:ascii="David" w:hAnsi="David" w:cs="David"/>
          <w:sz w:val="24"/>
          <w:szCs w:val="24"/>
          <w:rtl/>
        </w:rPr>
        <w:t>..</w:t>
      </w:r>
    </w:p>
    <w:p w14:paraId="276A8092" w14:textId="372DA7D0" w:rsidR="005A37B9" w:rsidRPr="005A37B9" w:rsidRDefault="005A37B9" w:rsidP="005A37B9">
      <w:pPr>
        <w:spacing w:after="0" w:line="360" w:lineRule="auto"/>
        <w:rPr>
          <w:rFonts w:ascii="David" w:hAnsi="David" w:cs="David"/>
          <w:sz w:val="24"/>
          <w:szCs w:val="24"/>
          <w:rtl/>
        </w:rPr>
      </w:pPr>
      <w:r w:rsidRPr="005A37B9">
        <w:rPr>
          <w:rFonts w:ascii="David" w:hAnsi="David" w:cs="David"/>
          <w:sz w:val="24"/>
          <w:szCs w:val="24"/>
          <w:rtl/>
        </w:rPr>
        <w:t xml:space="preserve">בכתיבת פסק דין מנומק מראים אנו מדת הצדק של משפט ישראל והתאמצותו של הדיין לחקור עד כמה שידו מגעת, לברר את האמת, לגלות את המרמה והזיוף של בעלי הדין, אם ישנה כזאת, ולדון דין אמת לאמתו. </w:t>
      </w:r>
      <w:r w:rsidRPr="005A37B9">
        <w:rPr>
          <w:rFonts w:ascii="David" w:hAnsi="David" w:cs="David"/>
          <w:sz w:val="24"/>
          <w:szCs w:val="24"/>
          <w:rtl/>
        </w:rPr>
        <w:t xml:space="preserve"> </w:t>
      </w:r>
      <w:r w:rsidRPr="005A37B9">
        <w:rPr>
          <w:rFonts w:ascii="David" w:hAnsi="David" w:cs="David"/>
          <w:sz w:val="24"/>
          <w:szCs w:val="24"/>
          <w:rtl/>
        </w:rPr>
        <w:t xml:space="preserve">חובה זאת גדולה יותר בזמן הזה, שכל בתי דין של ערכאות מנמקים את משפטם בראיות והוכחות להצדקת דינם. וזה מוקיר את דייניהם בעיני כל העם, ולמה לא נעשה גם אנו כדבר הזה לחבב המשפט לגדל כבודו ולהוכיח צדקתו וצדקת שופטיו בעיני בעלי הדין עצמם, ועל ידם לעיני כל העם, למען יכירו וידעו כולם נכונות דברי משה רבינו בתורתו, לאמר: ומי גוי גדול אשר לו חקים ומשפטים צדיקים ככל התורה הזאת אשר אנכי נותן לפניכם היום </w:t>
      </w:r>
      <w:r w:rsidRPr="005A37B9">
        <w:rPr>
          <w:rFonts w:ascii="David" w:hAnsi="David" w:cs="David"/>
          <w:sz w:val="20"/>
          <w:szCs w:val="20"/>
          <w:rtl/>
        </w:rPr>
        <w:t>(דברים ד' ח').</w:t>
      </w:r>
      <w:r w:rsidRPr="005A37B9">
        <w:rPr>
          <w:rFonts w:ascii="David" w:hAnsi="David" w:cs="David"/>
          <w:sz w:val="24"/>
          <w:szCs w:val="24"/>
          <w:rtl/>
        </w:rPr>
        <w:t xml:space="preserve"> </w:t>
      </w:r>
      <w:r>
        <w:rPr>
          <w:rFonts w:ascii="David" w:hAnsi="David" w:cs="David" w:hint="cs"/>
          <w:sz w:val="24"/>
          <w:szCs w:val="24"/>
          <w:rtl/>
        </w:rPr>
        <w:t xml:space="preserve"> </w:t>
      </w:r>
      <w:r w:rsidRPr="005A37B9">
        <w:rPr>
          <w:rFonts w:ascii="David" w:hAnsi="David" w:cs="David"/>
          <w:sz w:val="24"/>
          <w:szCs w:val="24"/>
          <w:rtl/>
        </w:rPr>
        <w:t xml:space="preserve">מנקודת השקפה זו שהיא לדעתי נכונה ונאמנה, ראוי שכל פסקי דיננו מלבד אלה הרגילים שהם פשוטים ומובנים מעצמם, </w:t>
      </w:r>
      <w:r w:rsidRPr="005A37B9">
        <w:rPr>
          <w:rFonts w:ascii="David" w:hAnsi="David" w:cs="David"/>
          <w:b/>
          <w:bCs/>
          <w:sz w:val="24"/>
          <w:szCs w:val="24"/>
          <w:rtl/>
        </w:rPr>
        <w:t>יהיו נכתבים בתמצית הטענות ונמוקי פסק הדין,</w:t>
      </w:r>
      <w:r w:rsidRPr="005A37B9">
        <w:rPr>
          <w:rFonts w:ascii="David" w:hAnsi="David" w:cs="David"/>
          <w:sz w:val="24"/>
          <w:szCs w:val="24"/>
          <w:rtl/>
        </w:rPr>
        <w:t xml:space="preserve"> למען תנתן להם אפשרות הבקרת של בתי דין הגבוהים ולמוד משפטי התורה לכל העם</w:t>
      </w:r>
      <w:r w:rsidR="00C33818">
        <w:rPr>
          <w:rStyle w:val="af0"/>
          <w:rFonts w:ascii="David" w:hAnsi="David" w:cs="David"/>
          <w:sz w:val="24"/>
          <w:szCs w:val="24"/>
          <w:rtl/>
        </w:rPr>
        <w:footnoteReference w:id="28"/>
      </w:r>
      <w:r w:rsidRPr="005A37B9">
        <w:rPr>
          <w:rFonts w:ascii="David" w:hAnsi="David" w:cs="David"/>
          <w:sz w:val="24"/>
          <w:szCs w:val="24"/>
          <w:rtl/>
        </w:rPr>
        <w:t>"</w:t>
      </w:r>
      <w:r w:rsidRPr="005A37B9">
        <w:rPr>
          <w:rFonts w:ascii="David" w:hAnsi="David" w:cs="David"/>
          <w:sz w:val="24"/>
          <w:szCs w:val="24"/>
          <w:rtl/>
        </w:rPr>
        <w:t xml:space="preserve">. </w:t>
      </w:r>
    </w:p>
    <w:p w14:paraId="5D3AEE42" w14:textId="042661A1" w:rsidR="005A37B9" w:rsidRPr="000A38C3" w:rsidRDefault="005A37B9" w:rsidP="005A37B9">
      <w:pPr>
        <w:spacing w:after="0" w:line="360" w:lineRule="auto"/>
        <w:rPr>
          <w:rFonts w:asciiTheme="majorBidi" w:hAnsiTheme="majorBidi" w:cstheme="majorBidi"/>
          <w:sz w:val="24"/>
          <w:szCs w:val="24"/>
        </w:rPr>
      </w:pPr>
    </w:p>
    <w:sectPr w:rsidR="005A37B9" w:rsidRPr="000A38C3" w:rsidSect="002F51C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3862" w14:textId="77777777" w:rsidR="002F51C4" w:rsidRDefault="002F51C4" w:rsidP="001D2FB9">
      <w:pPr>
        <w:spacing w:after="0" w:line="240" w:lineRule="auto"/>
      </w:pPr>
      <w:r>
        <w:separator/>
      </w:r>
    </w:p>
  </w:endnote>
  <w:endnote w:type="continuationSeparator" w:id="0">
    <w:p w14:paraId="085CFE4D" w14:textId="77777777" w:rsidR="002F51C4" w:rsidRDefault="002F51C4" w:rsidP="001D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9D9A" w14:textId="77777777" w:rsidR="002F51C4" w:rsidRDefault="002F51C4" w:rsidP="001D2FB9">
      <w:pPr>
        <w:spacing w:after="0" w:line="240" w:lineRule="auto"/>
      </w:pPr>
      <w:r>
        <w:separator/>
      </w:r>
    </w:p>
  </w:footnote>
  <w:footnote w:type="continuationSeparator" w:id="0">
    <w:p w14:paraId="71EFF465" w14:textId="77777777" w:rsidR="002F51C4" w:rsidRDefault="002F51C4" w:rsidP="001D2FB9">
      <w:pPr>
        <w:spacing w:after="0" w:line="240" w:lineRule="auto"/>
      </w:pPr>
      <w:r>
        <w:continuationSeparator/>
      </w:r>
    </w:p>
  </w:footnote>
  <w:footnote w:id="1">
    <w:p w14:paraId="2E5F7C6E" w14:textId="7FDAECDC" w:rsidR="000F26E2" w:rsidRPr="005A37B9" w:rsidRDefault="000F26E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ט"ז, מובא ב'דף על הדף'.</w:t>
      </w:r>
    </w:p>
  </w:footnote>
  <w:footnote w:id="2">
    <w:p w14:paraId="39F8C13F" w14:textId="6D6BA3E0" w:rsidR="001D2FB9" w:rsidRPr="005A37B9" w:rsidRDefault="001D2FB9"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את המילים 'אמר ליה' מחק בחכמת שלמה. </w:t>
      </w:r>
    </w:p>
  </w:footnote>
  <w:footnote w:id="3">
    <w:p w14:paraId="7112F963" w14:textId="320C8AB4" w:rsidR="003A4E5E" w:rsidRPr="005A37B9" w:rsidRDefault="003A4E5E" w:rsidP="005A37B9">
      <w:pPr>
        <w:spacing w:after="0" w:line="360" w:lineRule="auto"/>
        <w:rPr>
          <w:rFonts w:asciiTheme="majorBidi" w:hAnsiTheme="majorBidi" w:cstheme="majorBidi"/>
          <w:sz w:val="20"/>
          <w:szCs w:val="20"/>
          <w:rtl/>
        </w:rPr>
      </w:pPr>
      <w:r w:rsidRPr="005A37B9">
        <w:rPr>
          <w:rStyle w:val="af0"/>
          <w:rFonts w:asciiTheme="majorBidi" w:hAnsiTheme="majorBidi" w:cstheme="majorBidi"/>
          <w:sz w:val="20"/>
          <w:szCs w:val="20"/>
        </w:rPr>
        <w:footnoteRef/>
      </w:r>
      <w:r w:rsidRPr="005A37B9">
        <w:rPr>
          <w:rFonts w:asciiTheme="majorBidi" w:hAnsiTheme="majorBidi" w:cstheme="majorBidi"/>
          <w:sz w:val="20"/>
          <w:szCs w:val="20"/>
          <w:rtl/>
        </w:rPr>
        <w:t xml:space="preserve"> </w:t>
      </w:r>
      <w:r w:rsidRPr="005A37B9">
        <w:rPr>
          <w:rFonts w:asciiTheme="majorBidi" w:hAnsiTheme="majorBidi" w:cstheme="majorBidi"/>
          <w:sz w:val="20"/>
          <w:szCs w:val="20"/>
          <w:rtl/>
        </w:rPr>
        <w:t>תוספות רי"ד מסכת בבא מציעא דף לא עמוד ב</w:t>
      </w:r>
      <w:r w:rsidRPr="005A37B9">
        <w:rPr>
          <w:rFonts w:asciiTheme="majorBidi" w:hAnsiTheme="majorBidi" w:cstheme="majorBidi"/>
          <w:sz w:val="20"/>
          <w:szCs w:val="20"/>
          <w:rtl/>
        </w:rPr>
        <w:t>.</w:t>
      </w:r>
    </w:p>
  </w:footnote>
  <w:footnote w:id="4">
    <w:p w14:paraId="7BDA2FAF" w14:textId="77777777" w:rsidR="00ED1547" w:rsidRPr="005A37B9" w:rsidRDefault="00ED1547"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שיטה מקובצת עמוד א בשם הראב"ד.</w:t>
      </w:r>
    </w:p>
  </w:footnote>
  <w:footnote w:id="5">
    <w:p w14:paraId="6FCD3C37" w14:textId="5B7CB74A" w:rsidR="003A4E5E" w:rsidRPr="005A37B9" w:rsidRDefault="003A4E5E"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מאירי. </w:t>
      </w:r>
    </w:p>
  </w:footnote>
  <w:footnote w:id="6">
    <w:p w14:paraId="22C5F769" w14:textId="7A54FD24" w:rsidR="003A4E5E" w:rsidRPr="005A37B9" w:rsidRDefault="003A4E5E"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או בעד </w:t>
      </w:r>
      <w:r w:rsidR="005A37B9">
        <w:rPr>
          <w:rFonts w:asciiTheme="majorBidi" w:hAnsiTheme="majorBidi" w:cstheme="majorBidi" w:hint="cs"/>
          <w:rtl/>
        </w:rPr>
        <w:t xml:space="preserve">בעל הדין </w:t>
      </w:r>
      <w:r w:rsidRPr="005A37B9">
        <w:rPr>
          <w:rFonts w:asciiTheme="majorBidi" w:hAnsiTheme="majorBidi" w:cstheme="majorBidi"/>
          <w:rtl/>
        </w:rPr>
        <w:t xml:space="preserve">השני. תלוי בחילוף גרסאות: 'דידי' או: 'דידיה'. </w:t>
      </w:r>
    </w:p>
  </w:footnote>
  <w:footnote w:id="7">
    <w:p w14:paraId="51603684" w14:textId="667BD3D6" w:rsidR="000A38C3" w:rsidRPr="005A37B9" w:rsidRDefault="000A38C3" w:rsidP="005A37B9">
      <w:pPr>
        <w:spacing w:after="0" w:line="360" w:lineRule="auto"/>
        <w:rPr>
          <w:rFonts w:asciiTheme="majorBidi" w:hAnsiTheme="majorBidi" w:cstheme="majorBidi"/>
          <w:sz w:val="20"/>
          <w:szCs w:val="20"/>
          <w:rtl/>
        </w:rPr>
      </w:pPr>
      <w:r w:rsidRPr="005A37B9">
        <w:rPr>
          <w:rStyle w:val="af0"/>
          <w:rFonts w:asciiTheme="majorBidi" w:hAnsiTheme="majorBidi" w:cstheme="majorBidi"/>
          <w:sz w:val="20"/>
          <w:szCs w:val="20"/>
        </w:rPr>
        <w:footnoteRef/>
      </w:r>
      <w:r w:rsidRPr="005A37B9">
        <w:rPr>
          <w:rFonts w:asciiTheme="majorBidi" w:hAnsiTheme="majorBidi" w:cstheme="majorBidi"/>
          <w:sz w:val="20"/>
          <w:szCs w:val="20"/>
          <w:rtl/>
        </w:rPr>
        <w:t xml:space="preserve"> </w:t>
      </w:r>
      <w:r w:rsidRPr="005A37B9">
        <w:rPr>
          <w:rFonts w:asciiTheme="majorBidi" w:hAnsiTheme="majorBidi" w:cstheme="majorBidi"/>
          <w:sz w:val="20"/>
          <w:szCs w:val="20"/>
          <w:rtl/>
        </w:rPr>
        <w:t xml:space="preserve">  מסכת סנהדרין דף לא עמוד ב</w:t>
      </w:r>
      <w:r w:rsidRPr="005A37B9">
        <w:rPr>
          <w:rFonts w:asciiTheme="majorBidi" w:hAnsiTheme="majorBidi" w:cstheme="majorBidi"/>
          <w:sz w:val="20"/>
          <w:szCs w:val="20"/>
          <w:rtl/>
        </w:rPr>
        <w:t>.</w:t>
      </w:r>
    </w:p>
  </w:footnote>
  <w:footnote w:id="8">
    <w:p w14:paraId="36E5084B" w14:textId="33E7FBE1" w:rsidR="000A38C3" w:rsidRPr="005A37B9" w:rsidRDefault="000A38C3"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ד"ה כי האי גוונא.</w:t>
      </w:r>
    </w:p>
  </w:footnote>
  <w:footnote w:id="9">
    <w:p w14:paraId="21B27F49" w14:textId="4FB5E141" w:rsidR="000A38C3" w:rsidRPr="005A37B9" w:rsidRDefault="000A38C3"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ד"ה כגון</w:t>
      </w:r>
      <w:r w:rsidRPr="005A37B9">
        <w:rPr>
          <w:rFonts w:asciiTheme="majorBidi" w:hAnsiTheme="majorBidi" w:cstheme="majorBidi"/>
          <w:rtl/>
        </w:rPr>
        <w:t>.</w:t>
      </w:r>
    </w:p>
  </w:footnote>
  <w:footnote w:id="10">
    <w:p w14:paraId="2635E2F4" w14:textId="34A76015" w:rsidR="000A38C3" w:rsidRPr="005A37B9" w:rsidRDefault="000A38C3"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ד"ה אמר רב פפא.</w:t>
      </w:r>
    </w:p>
  </w:footnote>
  <w:footnote w:id="11">
    <w:p w14:paraId="645C8890" w14:textId="6E55D076" w:rsidR="00587279" w:rsidRPr="005A37B9" w:rsidRDefault="00587279" w:rsidP="005A37B9">
      <w:pPr>
        <w:spacing w:after="0" w:line="360" w:lineRule="auto"/>
        <w:rPr>
          <w:rFonts w:asciiTheme="majorBidi" w:hAnsiTheme="majorBidi" w:cstheme="majorBidi"/>
          <w:sz w:val="20"/>
          <w:szCs w:val="20"/>
        </w:rPr>
      </w:pPr>
      <w:r w:rsidRPr="005A37B9">
        <w:rPr>
          <w:rStyle w:val="af0"/>
          <w:rFonts w:asciiTheme="majorBidi" w:hAnsiTheme="majorBidi" w:cstheme="majorBidi"/>
          <w:sz w:val="20"/>
          <w:szCs w:val="20"/>
        </w:rPr>
        <w:footnoteRef/>
      </w:r>
      <w:r w:rsidRPr="005A37B9">
        <w:rPr>
          <w:rFonts w:asciiTheme="majorBidi" w:hAnsiTheme="majorBidi" w:cstheme="majorBidi"/>
          <w:sz w:val="20"/>
          <w:szCs w:val="20"/>
          <w:rtl/>
        </w:rPr>
        <w:t xml:space="preserve"> תוספות הרא"ש ד"ה כל כי האי.</w:t>
      </w:r>
      <w:r w:rsidRPr="005A37B9">
        <w:rPr>
          <w:rFonts w:asciiTheme="majorBidi" w:hAnsiTheme="majorBidi" w:cstheme="majorBidi"/>
          <w:sz w:val="20"/>
          <w:szCs w:val="20"/>
          <w:rtl/>
        </w:rPr>
        <w:t xml:space="preserve"> כך הציע גם המאירי וסבר המהר"ל.</w:t>
      </w:r>
      <w:r w:rsidR="00B278E6" w:rsidRPr="005A37B9">
        <w:rPr>
          <w:rFonts w:asciiTheme="majorBidi" w:hAnsiTheme="majorBidi" w:cstheme="majorBidi"/>
          <w:sz w:val="20"/>
          <w:szCs w:val="20"/>
          <w:rtl/>
        </w:rPr>
        <w:t xml:space="preserve"> אפשרות זו מובאת גם ב</w:t>
      </w:r>
      <w:r w:rsidR="00B278E6" w:rsidRPr="005A37B9">
        <w:rPr>
          <w:rFonts w:asciiTheme="majorBidi" w:hAnsiTheme="majorBidi" w:cstheme="majorBidi"/>
          <w:sz w:val="20"/>
          <w:szCs w:val="20"/>
          <w:rtl/>
        </w:rPr>
        <w:t>תוספות מסכת סנהדרין דף לא עמוד ב</w:t>
      </w:r>
      <w:r w:rsidR="00B278E6" w:rsidRPr="005A37B9">
        <w:rPr>
          <w:rFonts w:asciiTheme="majorBidi" w:hAnsiTheme="majorBidi" w:cstheme="majorBidi"/>
          <w:sz w:val="20"/>
          <w:szCs w:val="20"/>
          <w:rtl/>
        </w:rPr>
        <w:t xml:space="preserve"> ד"ה </w:t>
      </w:r>
      <w:r w:rsidR="00B278E6" w:rsidRPr="005A37B9">
        <w:rPr>
          <w:rFonts w:asciiTheme="majorBidi" w:hAnsiTheme="majorBidi" w:cstheme="majorBidi"/>
          <w:sz w:val="20"/>
          <w:szCs w:val="20"/>
          <w:rtl/>
        </w:rPr>
        <w:t>ואם</w:t>
      </w:r>
      <w:r w:rsidR="00B278E6" w:rsidRPr="005A37B9">
        <w:rPr>
          <w:rFonts w:asciiTheme="majorBidi" w:hAnsiTheme="majorBidi" w:cstheme="majorBidi"/>
          <w:sz w:val="20"/>
          <w:szCs w:val="20"/>
          <w:rtl/>
        </w:rPr>
        <w:t>.</w:t>
      </w:r>
    </w:p>
  </w:footnote>
  <w:footnote w:id="12">
    <w:p w14:paraId="0D6C1AC3" w14:textId="52AA0EDF" w:rsidR="00587279" w:rsidRPr="005A37B9" w:rsidRDefault="00587279"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ד"ה כגון.</w:t>
      </w:r>
    </w:p>
  </w:footnote>
  <w:footnote w:id="13">
    <w:p w14:paraId="17CEBF78" w14:textId="46685F68" w:rsidR="00846BF2" w:rsidRPr="005A37B9" w:rsidRDefault="00846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David" w:hAnsi="David" w:cs="David"/>
          <w:rtl/>
        </w:rPr>
        <w:t>"</w:t>
      </w:r>
      <w:r w:rsidRPr="005A37B9">
        <w:rPr>
          <w:rFonts w:ascii="David" w:hAnsi="David" w:cs="David"/>
          <w:rtl/>
        </w:rPr>
        <w:t xml:space="preserve">ויראה לי שהדיינים צריכים לכתוב </w:t>
      </w:r>
      <w:r w:rsidRPr="005A37B9">
        <w:rPr>
          <w:rFonts w:ascii="David" w:hAnsi="David" w:cs="David"/>
          <w:b/>
          <w:bCs/>
          <w:rtl/>
        </w:rPr>
        <w:t>שנותנים רשות לעיין בהפסק דין</w:t>
      </w:r>
      <w:r w:rsidRPr="005A37B9">
        <w:rPr>
          <w:rFonts w:ascii="David" w:hAnsi="David" w:cs="David"/>
          <w:rtl/>
        </w:rPr>
        <w:t xml:space="preserve"> דאל"כ הא נתבאר </w:t>
      </w:r>
      <w:r w:rsidRPr="005A37B9">
        <w:rPr>
          <w:rFonts w:ascii="David" w:hAnsi="David" w:cs="David"/>
          <w:sz w:val="16"/>
          <w:szCs w:val="16"/>
          <w:rtl/>
        </w:rPr>
        <w:t>בסי' י"ב סעי' ג'</w:t>
      </w:r>
      <w:r w:rsidRPr="005A37B9">
        <w:rPr>
          <w:rFonts w:ascii="David" w:hAnsi="David" w:cs="David"/>
          <w:rtl/>
        </w:rPr>
        <w:t xml:space="preserve"> דאסור לדון בפסק שפסקו אחרים</w:t>
      </w:r>
      <w:r w:rsidRPr="005A37B9">
        <w:rPr>
          <w:rFonts w:ascii="David" w:hAnsi="David" w:cs="David"/>
          <w:rtl/>
        </w:rPr>
        <w:t xml:space="preserve">" </w:t>
      </w:r>
      <w:r w:rsidRPr="005A37B9">
        <w:rPr>
          <w:rFonts w:asciiTheme="majorBidi" w:hAnsiTheme="majorBidi" w:cstheme="majorBidi"/>
          <w:rtl/>
        </w:rPr>
        <w:t>(ערוך השולחן חושן משפט סימן יד סעיף ח).</w:t>
      </w:r>
      <w:r w:rsidRPr="005A37B9">
        <w:rPr>
          <w:rFonts w:asciiTheme="majorBidi" w:hAnsiTheme="majorBidi" w:cstheme="majorBidi"/>
          <w:rtl/>
        </w:rPr>
        <w:t>.</w:t>
      </w:r>
    </w:p>
  </w:footnote>
  <w:footnote w:id="14">
    <w:p w14:paraId="667B17A1" w14:textId="0EB8E6D3" w:rsidR="00846BF2" w:rsidRPr="005A37B9" w:rsidRDefault="00846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David" w:hAnsi="David" w:cs="David"/>
          <w:rtl/>
        </w:rPr>
        <w:t>"</w:t>
      </w:r>
      <w:r w:rsidRPr="005A37B9">
        <w:rPr>
          <w:rFonts w:ascii="David" w:hAnsi="David" w:cs="David"/>
          <w:rtl/>
        </w:rPr>
        <w:t>דגם החכמים האחרים יבינו הטעמים</w:t>
      </w:r>
      <w:r w:rsidR="005A37B9">
        <w:rPr>
          <w:rFonts w:ascii="David" w:hAnsi="David" w:cs="David" w:hint="cs"/>
          <w:rtl/>
        </w:rPr>
        <w:t>,</w:t>
      </w:r>
      <w:r w:rsidRPr="005A37B9">
        <w:rPr>
          <w:rFonts w:ascii="David" w:hAnsi="David" w:cs="David"/>
          <w:rtl/>
        </w:rPr>
        <w:t xml:space="preserve"> דתורה אחת לכולנו</w:t>
      </w:r>
      <w:r w:rsidRPr="005A37B9">
        <w:rPr>
          <w:rFonts w:ascii="David" w:hAnsi="David" w:cs="David"/>
          <w:rtl/>
        </w:rPr>
        <w:t>"</w:t>
      </w:r>
      <w:r w:rsidRPr="005A37B9">
        <w:rPr>
          <w:rFonts w:asciiTheme="majorBidi" w:hAnsiTheme="majorBidi" w:cstheme="majorBidi"/>
          <w:rtl/>
        </w:rPr>
        <w:t xml:space="preserve"> (</w:t>
      </w:r>
      <w:r w:rsidRPr="005A37B9">
        <w:rPr>
          <w:rFonts w:asciiTheme="majorBidi" w:hAnsiTheme="majorBidi" w:cstheme="majorBidi"/>
          <w:rtl/>
        </w:rPr>
        <w:t>ערוך השולחן  סעיף ח</w:t>
      </w:r>
      <w:r w:rsidRPr="005A37B9">
        <w:rPr>
          <w:rFonts w:asciiTheme="majorBidi" w:hAnsiTheme="majorBidi" w:cstheme="majorBidi"/>
          <w:rtl/>
        </w:rPr>
        <w:t>).</w:t>
      </w:r>
    </w:p>
  </w:footnote>
  <w:footnote w:id="15">
    <w:p w14:paraId="6CD6A042" w14:textId="518B6697" w:rsidR="0056552E" w:rsidRPr="005A37B9" w:rsidRDefault="0056552E"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וכך פוסק ב</w:t>
      </w:r>
      <w:r w:rsidRPr="005A37B9">
        <w:rPr>
          <w:rFonts w:asciiTheme="majorBidi" w:hAnsiTheme="majorBidi" w:cstheme="majorBidi"/>
          <w:rtl/>
        </w:rPr>
        <w:t xml:space="preserve">תומים </w:t>
      </w:r>
      <w:r w:rsidRPr="005A37B9">
        <w:rPr>
          <w:rFonts w:asciiTheme="majorBidi" w:hAnsiTheme="majorBidi" w:cstheme="majorBidi"/>
          <w:rtl/>
        </w:rPr>
        <w:t>(</w:t>
      </w:r>
      <w:r w:rsidRPr="005A37B9">
        <w:rPr>
          <w:rFonts w:asciiTheme="majorBidi" w:hAnsiTheme="majorBidi" w:cstheme="majorBidi"/>
          <w:rtl/>
        </w:rPr>
        <w:t>סימן יד ס"ק ג</w:t>
      </w:r>
      <w:r w:rsidRPr="005A37B9">
        <w:rPr>
          <w:rFonts w:asciiTheme="majorBidi" w:hAnsiTheme="majorBidi" w:cstheme="majorBidi"/>
          <w:rtl/>
        </w:rPr>
        <w:t>).</w:t>
      </w:r>
    </w:p>
  </w:footnote>
  <w:footnote w:id="16">
    <w:p w14:paraId="20F56784" w14:textId="30DB7ABE" w:rsidR="0056552E" w:rsidRPr="005A37B9" w:rsidRDefault="0056552E"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 xml:space="preserve">תומים </w:t>
      </w:r>
      <w:r w:rsidRPr="005A37B9">
        <w:rPr>
          <w:rFonts w:asciiTheme="majorBidi" w:hAnsiTheme="majorBidi" w:cstheme="majorBidi"/>
          <w:rtl/>
        </w:rPr>
        <w:t>שם.</w:t>
      </w:r>
    </w:p>
  </w:footnote>
  <w:footnote w:id="17">
    <w:p w14:paraId="24B456D6" w14:textId="231706E5" w:rsidR="0085798D" w:rsidRPr="005A37B9" w:rsidRDefault="0085798D"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 xml:space="preserve">תומים </w:t>
      </w:r>
      <w:r w:rsidR="005A37B9">
        <w:rPr>
          <w:rFonts w:asciiTheme="majorBidi" w:hAnsiTheme="majorBidi" w:cstheme="majorBidi" w:hint="cs"/>
          <w:rtl/>
        </w:rPr>
        <w:t>שם.</w:t>
      </w:r>
    </w:p>
  </w:footnote>
  <w:footnote w:id="18">
    <w:p w14:paraId="5267E60C" w14:textId="30401FBA" w:rsidR="00623A54" w:rsidRPr="005A37B9" w:rsidRDefault="00623A54"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שו"ת חוות יאיר סימן קסה</w:t>
      </w:r>
      <w:r w:rsidRPr="005A37B9">
        <w:rPr>
          <w:rFonts w:asciiTheme="majorBidi" w:hAnsiTheme="majorBidi" w:cstheme="majorBidi"/>
          <w:rtl/>
        </w:rPr>
        <w:t>.</w:t>
      </w:r>
      <w:r w:rsidR="00B278E6" w:rsidRPr="005A37B9">
        <w:rPr>
          <w:rFonts w:asciiTheme="majorBidi" w:hAnsiTheme="majorBidi" w:cstheme="majorBidi"/>
          <w:rtl/>
        </w:rPr>
        <w:t xml:space="preserve"> ולא כדברי הנימוקי יוסף שמביא הרמ"א בהמשך דברינו.</w:t>
      </w:r>
    </w:p>
  </w:footnote>
  <w:footnote w:id="19">
    <w:p w14:paraId="44D060C1" w14:textId="59A82D96" w:rsidR="00623A54" w:rsidRPr="005A37B9" w:rsidRDefault="00623A54"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מסכת בבא בתרא דף קל עמוד ב</w:t>
      </w:r>
      <w:r w:rsidRPr="005A37B9">
        <w:rPr>
          <w:rFonts w:asciiTheme="majorBidi" w:hAnsiTheme="majorBidi" w:cstheme="majorBidi"/>
          <w:rtl/>
        </w:rPr>
        <w:t>.</w:t>
      </w:r>
    </w:p>
  </w:footnote>
  <w:footnote w:id="20">
    <w:p w14:paraId="22E5B37D" w14:textId="53B53F47" w:rsidR="00FF0973" w:rsidRPr="005A37B9" w:rsidRDefault="00FF0973"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רמב"ם הלכות סנהדרין פרק ו הלכה ו</w:t>
      </w:r>
      <w:r w:rsidRPr="005A37B9">
        <w:rPr>
          <w:rFonts w:asciiTheme="majorBidi" w:hAnsiTheme="majorBidi" w:cstheme="majorBidi"/>
          <w:rtl/>
        </w:rPr>
        <w:t>.</w:t>
      </w:r>
      <w:r w:rsidR="005A37B9" w:rsidRPr="005A37B9">
        <w:rPr>
          <w:rFonts w:asciiTheme="majorBidi" w:hAnsiTheme="majorBidi" w:cstheme="majorBidi"/>
          <w:rtl/>
        </w:rPr>
        <w:t xml:space="preserve"> שמא סבר שאין ללמוד מן הכותים, שחייבים להסביר אחרת יהיה חילול ה'?</w:t>
      </w:r>
    </w:p>
  </w:footnote>
  <w:footnote w:id="21">
    <w:p w14:paraId="6ECFD86C" w14:textId="1899F081" w:rsidR="00E34BF2" w:rsidRPr="005A37B9" w:rsidRDefault="00E34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כן פסק הרמ"א </w:t>
      </w:r>
      <w:r w:rsidRPr="005A37B9">
        <w:rPr>
          <w:rFonts w:asciiTheme="majorBidi" w:hAnsiTheme="majorBidi" w:cstheme="majorBidi"/>
          <w:rtl/>
        </w:rPr>
        <w:t>שולחן ערוך חושן משפט סימן יד סעיף ד</w:t>
      </w:r>
      <w:r w:rsidRPr="005A37B9">
        <w:rPr>
          <w:rFonts w:asciiTheme="majorBidi" w:hAnsiTheme="majorBidi" w:cstheme="majorBidi"/>
          <w:rtl/>
        </w:rPr>
        <w:t>.</w:t>
      </w:r>
    </w:p>
  </w:footnote>
  <w:footnote w:id="22">
    <w:p w14:paraId="203BDECE" w14:textId="47C8DB01" w:rsidR="00E34BF2" w:rsidRPr="005A37B9" w:rsidRDefault="00E34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בירור הלכה לדף סט עמוד א ציון י.</w:t>
      </w:r>
    </w:p>
  </w:footnote>
  <w:footnote w:id="23">
    <w:p w14:paraId="3D4E8EDF" w14:textId="0E10ACAA" w:rsidR="00E34BF2" w:rsidRPr="005A37B9" w:rsidRDefault="00E34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w:t>
      </w:r>
      <w:r w:rsidRPr="005A37B9">
        <w:rPr>
          <w:rFonts w:asciiTheme="majorBidi" w:hAnsiTheme="majorBidi" w:cstheme="majorBidi"/>
          <w:rtl/>
        </w:rPr>
        <w:t>שולחן ערוך חושן משפט סימן יד סעיף ד</w:t>
      </w:r>
      <w:r w:rsidRPr="005A37B9">
        <w:rPr>
          <w:rFonts w:asciiTheme="majorBidi" w:hAnsiTheme="majorBidi" w:cstheme="majorBidi"/>
          <w:rtl/>
        </w:rPr>
        <w:t>.</w:t>
      </w:r>
    </w:p>
  </w:footnote>
  <w:footnote w:id="24">
    <w:p w14:paraId="0762DFA1" w14:textId="2C3DD372" w:rsidR="00846BF2" w:rsidRPr="005A37B9" w:rsidRDefault="00846BF2"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וכן משמע בערוך השולחן סעיף ט. </w:t>
      </w:r>
    </w:p>
  </w:footnote>
  <w:footnote w:id="25">
    <w:p w14:paraId="60A99FD9" w14:textId="51FF4B37" w:rsidR="0056552E" w:rsidRPr="005A37B9" w:rsidRDefault="0056552E"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וכן רמב"ם על פי רדב"ז. </w:t>
      </w:r>
    </w:p>
  </w:footnote>
  <w:footnote w:id="26">
    <w:p w14:paraId="11B8155C" w14:textId="765348D5" w:rsidR="0056552E" w:rsidRPr="005A37B9" w:rsidRDefault="0056552E" w:rsidP="005A37B9">
      <w:pPr>
        <w:pStyle w:val="ae"/>
        <w:spacing w:line="360" w:lineRule="auto"/>
        <w:rPr>
          <w:rFonts w:asciiTheme="majorBidi" w:hAnsiTheme="majorBidi" w:cstheme="majorBidi"/>
          <w:rtl/>
        </w:rPr>
      </w:pPr>
      <w:r w:rsidRPr="005A37B9">
        <w:rPr>
          <w:rStyle w:val="af0"/>
          <w:rFonts w:asciiTheme="majorBidi" w:hAnsiTheme="majorBidi" w:cstheme="majorBidi"/>
        </w:rPr>
        <w:footnoteRef/>
      </w:r>
      <w:r w:rsidRPr="005A37B9">
        <w:rPr>
          <w:rFonts w:asciiTheme="majorBidi" w:hAnsiTheme="majorBidi" w:cstheme="majorBidi"/>
          <w:rtl/>
        </w:rPr>
        <w:t xml:space="preserve"> זו גם מסקנת הרמ"א, לחלק בפירוט הנימוקים. </w:t>
      </w:r>
      <w:r w:rsidR="005A37B9">
        <w:rPr>
          <w:rFonts w:asciiTheme="majorBidi" w:hAnsiTheme="majorBidi" w:cstheme="majorBidi" w:hint="cs"/>
          <w:rtl/>
        </w:rPr>
        <w:t>(</w:t>
      </w:r>
      <w:r w:rsidRPr="005A37B9">
        <w:rPr>
          <w:rFonts w:asciiTheme="majorBidi" w:hAnsiTheme="majorBidi" w:cstheme="majorBidi"/>
          <w:rtl/>
        </w:rPr>
        <w:t>סמ"ע על שולחן ערוך חושן משפט סימן יד ס</w:t>
      </w:r>
      <w:r w:rsidRPr="005A37B9">
        <w:rPr>
          <w:rFonts w:asciiTheme="majorBidi" w:hAnsiTheme="majorBidi" w:cstheme="majorBidi"/>
          <w:rtl/>
        </w:rPr>
        <w:t>"ק כג</w:t>
      </w:r>
      <w:r w:rsidR="005A37B9">
        <w:rPr>
          <w:rFonts w:asciiTheme="majorBidi" w:hAnsiTheme="majorBidi" w:cstheme="majorBidi" w:hint="cs"/>
          <w:rtl/>
        </w:rPr>
        <w:t>).</w:t>
      </w:r>
    </w:p>
  </w:footnote>
  <w:footnote w:id="27">
    <w:p w14:paraId="297FD4B9" w14:textId="76C03761" w:rsidR="005A37B9" w:rsidRPr="005A37B9" w:rsidRDefault="005A37B9" w:rsidP="005A37B9">
      <w:pPr>
        <w:pStyle w:val="ae"/>
        <w:spacing w:line="360" w:lineRule="auto"/>
        <w:rPr>
          <w:rFonts w:asciiTheme="majorBidi" w:hAnsiTheme="majorBidi" w:cstheme="majorBidi"/>
        </w:rPr>
      </w:pPr>
      <w:r w:rsidRPr="005A37B9">
        <w:rPr>
          <w:rStyle w:val="af0"/>
          <w:rFonts w:asciiTheme="majorBidi" w:hAnsiTheme="majorBidi" w:cstheme="majorBidi"/>
        </w:rPr>
        <w:footnoteRef/>
      </w:r>
      <w:r w:rsidRPr="005A37B9">
        <w:rPr>
          <w:rFonts w:asciiTheme="majorBidi" w:hAnsiTheme="majorBidi" w:cstheme="majorBidi"/>
          <w:rtl/>
        </w:rPr>
        <w:t xml:space="preserve"> וכן כתב באור זרוע למהר"ח </w:t>
      </w:r>
      <w:r w:rsidRPr="005A37B9">
        <w:rPr>
          <w:rFonts w:asciiTheme="majorBidi" w:hAnsiTheme="majorBidi" w:cstheme="majorBidi"/>
          <w:sz w:val="16"/>
          <w:szCs w:val="16"/>
          <w:rtl/>
        </w:rPr>
        <w:t>(סימן יג)</w:t>
      </w:r>
      <w:r w:rsidRPr="005A37B9">
        <w:rPr>
          <w:rFonts w:asciiTheme="majorBidi" w:hAnsiTheme="majorBidi" w:cstheme="majorBidi"/>
          <w:rtl/>
        </w:rPr>
        <w:t xml:space="preserve"> שראוי לכל ירא שמים לכתוב נימוקים למרות שאינו מחוייב. </w:t>
      </w:r>
    </w:p>
  </w:footnote>
  <w:footnote w:id="28">
    <w:p w14:paraId="7BEE1AF7" w14:textId="474A098E" w:rsidR="00C33818" w:rsidRPr="00C33818" w:rsidRDefault="00C33818" w:rsidP="00C33818">
      <w:pPr>
        <w:pStyle w:val="ae"/>
        <w:rPr>
          <w:rFonts w:asciiTheme="majorBidi" w:hAnsiTheme="majorBidi" w:cstheme="majorBidi"/>
          <w:rtl/>
        </w:rPr>
      </w:pPr>
      <w:r w:rsidRPr="00C33818">
        <w:rPr>
          <w:rStyle w:val="af0"/>
          <w:rFonts w:asciiTheme="majorBidi" w:hAnsiTheme="majorBidi" w:cstheme="majorBidi"/>
        </w:rPr>
        <w:footnoteRef/>
      </w:r>
      <w:r w:rsidRPr="00C33818">
        <w:rPr>
          <w:rFonts w:asciiTheme="majorBidi" w:hAnsiTheme="majorBidi" w:cstheme="majorBidi"/>
          <w:rtl/>
        </w:rPr>
        <w:t xml:space="preserve"> </w:t>
      </w:r>
      <w:r w:rsidRPr="00C33818">
        <w:rPr>
          <w:rFonts w:asciiTheme="majorBidi" w:hAnsiTheme="majorBidi" w:cstheme="majorBidi"/>
          <w:rtl/>
        </w:rPr>
        <w:t>שו"ת משפטי עוזיאל כרך ד חושן משפט סימן א</w:t>
      </w:r>
      <w:r w:rsidRPr="00C33818">
        <w:rPr>
          <w:rFonts w:asciiTheme="majorBidi" w:hAnsiTheme="majorBidi" w:cstheme="majorBidi"/>
          <w:rtl/>
        </w:rPr>
        <w:t>, אותיות יב-יג.</w:t>
      </w:r>
    </w:p>
    <w:p w14:paraId="6D8BB8B7" w14:textId="7E5D739C" w:rsidR="00C33818" w:rsidRDefault="00C33818" w:rsidP="00C33818">
      <w:pPr>
        <w:pStyle w:val="ae"/>
        <w:rPr>
          <w:rFonts w:hint="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29255229"/>
      <w:docPartObj>
        <w:docPartGallery w:val="Page Numbers (Top of Page)"/>
        <w:docPartUnique/>
      </w:docPartObj>
    </w:sdtPr>
    <w:sdtContent>
      <w:p w14:paraId="5889D0D9" w14:textId="2C3CCCEC" w:rsidR="00E34BF2" w:rsidRDefault="00E34BF2">
        <w:pPr>
          <w:pStyle w:val="af2"/>
        </w:pPr>
        <w:r>
          <w:fldChar w:fldCharType="begin"/>
        </w:r>
        <w:r>
          <w:instrText>PAGE   \* MERGEFORMAT</w:instrText>
        </w:r>
        <w:r>
          <w:fldChar w:fldCharType="separate"/>
        </w:r>
        <w:r>
          <w:rPr>
            <w:rtl/>
            <w:lang w:val="he-IL"/>
          </w:rPr>
          <w:t>2</w:t>
        </w:r>
        <w:r>
          <w:fldChar w:fldCharType="end"/>
        </w:r>
      </w:p>
    </w:sdtContent>
  </w:sdt>
  <w:p w14:paraId="4ED9BAAF" w14:textId="77777777" w:rsidR="00E34BF2" w:rsidRDefault="00E34BF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7E0"/>
    <w:multiLevelType w:val="hybridMultilevel"/>
    <w:tmpl w:val="04A6CE5C"/>
    <w:lvl w:ilvl="0" w:tplc="840437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20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A7"/>
    <w:rsid w:val="000A38C3"/>
    <w:rsid w:val="000F26E2"/>
    <w:rsid w:val="00154331"/>
    <w:rsid w:val="001D2FB9"/>
    <w:rsid w:val="00293330"/>
    <w:rsid w:val="002F51C4"/>
    <w:rsid w:val="003A4E5E"/>
    <w:rsid w:val="0056552E"/>
    <w:rsid w:val="00587279"/>
    <w:rsid w:val="005A37B9"/>
    <w:rsid w:val="005C1A9A"/>
    <w:rsid w:val="00623A54"/>
    <w:rsid w:val="006D6215"/>
    <w:rsid w:val="007A3D7C"/>
    <w:rsid w:val="00846BF2"/>
    <w:rsid w:val="0085798D"/>
    <w:rsid w:val="00A82CF4"/>
    <w:rsid w:val="00B278E6"/>
    <w:rsid w:val="00C33818"/>
    <w:rsid w:val="00C47F90"/>
    <w:rsid w:val="00DB31A7"/>
    <w:rsid w:val="00DB49AB"/>
    <w:rsid w:val="00E25191"/>
    <w:rsid w:val="00E34BF2"/>
    <w:rsid w:val="00E66B94"/>
    <w:rsid w:val="00ED1547"/>
    <w:rsid w:val="00FF0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E3EE"/>
  <w15:chartTrackingRefBased/>
  <w15:docId w15:val="{E36907D6-FAB0-4E5C-A182-B03A03D1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paragraph" w:styleId="1">
    <w:name w:val="heading 1"/>
    <w:basedOn w:val="a"/>
    <w:next w:val="a"/>
    <w:link w:val="10"/>
    <w:uiPriority w:val="9"/>
    <w:qFormat/>
    <w:rsid w:val="00DB3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B3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31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31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31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31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31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31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31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B31A7"/>
    <w:rPr>
      <w:rFonts w:asciiTheme="majorHAnsi" w:eastAsiaTheme="majorEastAsia" w:hAnsiTheme="majorHAnsi" w:cstheme="majorBidi"/>
      <w:noProof/>
      <w:color w:val="2F5496" w:themeColor="accent1" w:themeShade="BF"/>
      <w:sz w:val="40"/>
      <w:szCs w:val="40"/>
    </w:rPr>
  </w:style>
  <w:style w:type="character" w:customStyle="1" w:styleId="20">
    <w:name w:val="כותרת 2 תו"/>
    <w:basedOn w:val="a0"/>
    <w:link w:val="2"/>
    <w:uiPriority w:val="9"/>
    <w:semiHidden/>
    <w:rsid w:val="00DB31A7"/>
    <w:rPr>
      <w:rFonts w:asciiTheme="majorHAnsi" w:eastAsiaTheme="majorEastAsia" w:hAnsiTheme="majorHAnsi" w:cstheme="majorBidi"/>
      <w:noProof/>
      <w:color w:val="2F5496" w:themeColor="accent1" w:themeShade="BF"/>
      <w:sz w:val="32"/>
      <w:szCs w:val="32"/>
    </w:rPr>
  </w:style>
  <w:style w:type="character" w:customStyle="1" w:styleId="30">
    <w:name w:val="כותרת 3 תו"/>
    <w:basedOn w:val="a0"/>
    <w:link w:val="3"/>
    <w:uiPriority w:val="9"/>
    <w:semiHidden/>
    <w:rsid w:val="00DB31A7"/>
    <w:rPr>
      <w:rFonts w:eastAsiaTheme="majorEastAsia" w:cstheme="majorBidi"/>
      <w:noProof/>
      <w:color w:val="2F5496" w:themeColor="accent1" w:themeShade="BF"/>
      <w:sz w:val="28"/>
      <w:szCs w:val="28"/>
    </w:rPr>
  </w:style>
  <w:style w:type="character" w:customStyle="1" w:styleId="40">
    <w:name w:val="כותרת 4 תו"/>
    <w:basedOn w:val="a0"/>
    <w:link w:val="4"/>
    <w:uiPriority w:val="9"/>
    <w:semiHidden/>
    <w:rsid w:val="00DB31A7"/>
    <w:rPr>
      <w:rFonts w:eastAsiaTheme="majorEastAsia" w:cstheme="majorBidi"/>
      <w:i/>
      <w:iCs/>
      <w:noProof/>
      <w:color w:val="2F5496" w:themeColor="accent1" w:themeShade="BF"/>
    </w:rPr>
  </w:style>
  <w:style w:type="character" w:customStyle="1" w:styleId="50">
    <w:name w:val="כותרת 5 תו"/>
    <w:basedOn w:val="a0"/>
    <w:link w:val="5"/>
    <w:uiPriority w:val="9"/>
    <w:semiHidden/>
    <w:rsid w:val="00DB31A7"/>
    <w:rPr>
      <w:rFonts w:eastAsiaTheme="majorEastAsia" w:cstheme="majorBidi"/>
      <w:noProof/>
      <w:color w:val="2F5496" w:themeColor="accent1" w:themeShade="BF"/>
    </w:rPr>
  </w:style>
  <w:style w:type="character" w:customStyle="1" w:styleId="60">
    <w:name w:val="כותרת 6 תו"/>
    <w:basedOn w:val="a0"/>
    <w:link w:val="6"/>
    <w:uiPriority w:val="9"/>
    <w:semiHidden/>
    <w:rsid w:val="00DB31A7"/>
    <w:rPr>
      <w:rFonts w:eastAsiaTheme="majorEastAsia" w:cstheme="majorBidi"/>
      <w:i/>
      <w:iCs/>
      <w:noProof/>
      <w:color w:val="595959" w:themeColor="text1" w:themeTint="A6"/>
    </w:rPr>
  </w:style>
  <w:style w:type="character" w:customStyle="1" w:styleId="70">
    <w:name w:val="כותרת 7 תו"/>
    <w:basedOn w:val="a0"/>
    <w:link w:val="7"/>
    <w:uiPriority w:val="9"/>
    <w:semiHidden/>
    <w:rsid w:val="00DB31A7"/>
    <w:rPr>
      <w:rFonts w:eastAsiaTheme="majorEastAsia" w:cstheme="majorBidi"/>
      <w:noProof/>
      <w:color w:val="595959" w:themeColor="text1" w:themeTint="A6"/>
    </w:rPr>
  </w:style>
  <w:style w:type="character" w:customStyle="1" w:styleId="80">
    <w:name w:val="כותרת 8 תו"/>
    <w:basedOn w:val="a0"/>
    <w:link w:val="8"/>
    <w:uiPriority w:val="9"/>
    <w:semiHidden/>
    <w:rsid w:val="00DB31A7"/>
    <w:rPr>
      <w:rFonts w:eastAsiaTheme="majorEastAsia" w:cstheme="majorBidi"/>
      <w:i/>
      <w:iCs/>
      <w:noProof/>
      <w:color w:val="272727" w:themeColor="text1" w:themeTint="D8"/>
    </w:rPr>
  </w:style>
  <w:style w:type="character" w:customStyle="1" w:styleId="90">
    <w:name w:val="כותרת 9 תו"/>
    <w:basedOn w:val="a0"/>
    <w:link w:val="9"/>
    <w:uiPriority w:val="9"/>
    <w:semiHidden/>
    <w:rsid w:val="00DB31A7"/>
    <w:rPr>
      <w:rFonts w:eastAsiaTheme="majorEastAsia" w:cstheme="majorBidi"/>
      <w:noProof/>
      <w:color w:val="272727" w:themeColor="text1" w:themeTint="D8"/>
    </w:rPr>
  </w:style>
  <w:style w:type="paragraph" w:styleId="a3">
    <w:name w:val="Title"/>
    <w:basedOn w:val="a"/>
    <w:next w:val="a"/>
    <w:link w:val="a4"/>
    <w:uiPriority w:val="10"/>
    <w:qFormat/>
    <w:rsid w:val="00DB3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B31A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DB31A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B31A7"/>
    <w:rPr>
      <w:rFonts w:eastAsiaTheme="majorEastAsia" w:cstheme="majorBidi"/>
      <w:noProof/>
      <w:color w:val="595959" w:themeColor="text1" w:themeTint="A6"/>
      <w:spacing w:val="15"/>
      <w:sz w:val="28"/>
      <w:szCs w:val="28"/>
    </w:rPr>
  </w:style>
  <w:style w:type="paragraph" w:styleId="a7">
    <w:name w:val="Quote"/>
    <w:basedOn w:val="a"/>
    <w:next w:val="a"/>
    <w:link w:val="a8"/>
    <w:uiPriority w:val="29"/>
    <w:qFormat/>
    <w:rsid w:val="00DB31A7"/>
    <w:pPr>
      <w:spacing w:before="160"/>
      <w:jc w:val="center"/>
    </w:pPr>
    <w:rPr>
      <w:i/>
      <w:iCs/>
      <w:color w:val="404040" w:themeColor="text1" w:themeTint="BF"/>
    </w:rPr>
  </w:style>
  <w:style w:type="character" w:customStyle="1" w:styleId="a8">
    <w:name w:val="ציטוט תו"/>
    <w:basedOn w:val="a0"/>
    <w:link w:val="a7"/>
    <w:uiPriority w:val="29"/>
    <w:rsid w:val="00DB31A7"/>
    <w:rPr>
      <w:i/>
      <w:iCs/>
      <w:noProof/>
      <w:color w:val="404040" w:themeColor="text1" w:themeTint="BF"/>
    </w:rPr>
  </w:style>
  <w:style w:type="paragraph" w:styleId="a9">
    <w:name w:val="List Paragraph"/>
    <w:basedOn w:val="a"/>
    <w:uiPriority w:val="34"/>
    <w:qFormat/>
    <w:rsid w:val="00DB31A7"/>
    <w:pPr>
      <w:ind w:left="720"/>
      <w:contextualSpacing/>
    </w:pPr>
  </w:style>
  <w:style w:type="character" w:styleId="aa">
    <w:name w:val="Intense Emphasis"/>
    <w:basedOn w:val="a0"/>
    <w:uiPriority w:val="21"/>
    <w:qFormat/>
    <w:rsid w:val="00DB31A7"/>
    <w:rPr>
      <w:i/>
      <w:iCs/>
      <w:color w:val="2F5496" w:themeColor="accent1" w:themeShade="BF"/>
    </w:rPr>
  </w:style>
  <w:style w:type="paragraph" w:styleId="ab">
    <w:name w:val="Intense Quote"/>
    <w:basedOn w:val="a"/>
    <w:next w:val="a"/>
    <w:link w:val="ac"/>
    <w:uiPriority w:val="30"/>
    <w:qFormat/>
    <w:rsid w:val="00DB3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B31A7"/>
    <w:rPr>
      <w:i/>
      <w:iCs/>
      <w:noProof/>
      <w:color w:val="2F5496" w:themeColor="accent1" w:themeShade="BF"/>
    </w:rPr>
  </w:style>
  <w:style w:type="character" w:styleId="ad">
    <w:name w:val="Intense Reference"/>
    <w:basedOn w:val="a0"/>
    <w:uiPriority w:val="32"/>
    <w:qFormat/>
    <w:rsid w:val="00DB31A7"/>
    <w:rPr>
      <w:b/>
      <w:bCs/>
      <w:smallCaps/>
      <w:color w:val="2F5496" w:themeColor="accent1" w:themeShade="BF"/>
      <w:spacing w:val="5"/>
    </w:rPr>
  </w:style>
  <w:style w:type="paragraph" w:styleId="ae">
    <w:name w:val="footnote text"/>
    <w:basedOn w:val="a"/>
    <w:link w:val="af"/>
    <w:uiPriority w:val="99"/>
    <w:semiHidden/>
    <w:unhideWhenUsed/>
    <w:rsid w:val="001D2FB9"/>
    <w:pPr>
      <w:spacing w:after="0" w:line="240" w:lineRule="auto"/>
    </w:pPr>
    <w:rPr>
      <w:sz w:val="20"/>
      <w:szCs w:val="20"/>
    </w:rPr>
  </w:style>
  <w:style w:type="character" w:customStyle="1" w:styleId="af">
    <w:name w:val="טקסט הערת שוליים תו"/>
    <w:basedOn w:val="a0"/>
    <w:link w:val="ae"/>
    <w:uiPriority w:val="99"/>
    <w:semiHidden/>
    <w:rsid w:val="001D2FB9"/>
    <w:rPr>
      <w:noProof/>
      <w:sz w:val="20"/>
      <w:szCs w:val="20"/>
    </w:rPr>
  </w:style>
  <w:style w:type="character" w:styleId="af0">
    <w:name w:val="footnote reference"/>
    <w:basedOn w:val="a0"/>
    <w:uiPriority w:val="99"/>
    <w:semiHidden/>
    <w:unhideWhenUsed/>
    <w:rsid w:val="001D2FB9"/>
    <w:rPr>
      <w:vertAlign w:val="superscript"/>
    </w:rPr>
  </w:style>
  <w:style w:type="table" w:styleId="af1">
    <w:name w:val="Table Grid"/>
    <w:basedOn w:val="a1"/>
    <w:uiPriority w:val="39"/>
    <w:rsid w:val="000A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E34BF2"/>
    <w:pPr>
      <w:tabs>
        <w:tab w:val="center" w:pos="4153"/>
        <w:tab w:val="right" w:pos="8306"/>
      </w:tabs>
      <w:spacing w:after="0" w:line="240" w:lineRule="auto"/>
    </w:pPr>
  </w:style>
  <w:style w:type="character" w:customStyle="1" w:styleId="af3">
    <w:name w:val="כותרת עליונה תו"/>
    <w:basedOn w:val="a0"/>
    <w:link w:val="af2"/>
    <w:uiPriority w:val="99"/>
    <w:rsid w:val="00E34BF2"/>
    <w:rPr>
      <w:noProof/>
    </w:rPr>
  </w:style>
  <w:style w:type="paragraph" w:styleId="af4">
    <w:name w:val="footer"/>
    <w:basedOn w:val="a"/>
    <w:link w:val="af5"/>
    <w:uiPriority w:val="99"/>
    <w:unhideWhenUsed/>
    <w:rsid w:val="00E34BF2"/>
    <w:pPr>
      <w:tabs>
        <w:tab w:val="center" w:pos="4153"/>
        <w:tab w:val="right" w:pos="8306"/>
      </w:tabs>
      <w:spacing w:after="0" w:line="240" w:lineRule="auto"/>
    </w:pPr>
  </w:style>
  <w:style w:type="character" w:customStyle="1" w:styleId="af5">
    <w:name w:val="כותרת תחתונה תו"/>
    <w:basedOn w:val="a0"/>
    <w:link w:val="af4"/>
    <w:uiPriority w:val="99"/>
    <w:rsid w:val="00E34BF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5552-8A41-4F46-B3F5-1F552589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1236</Words>
  <Characters>6183</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5</cp:revision>
  <dcterms:created xsi:type="dcterms:W3CDTF">2024-04-17T06:09:00Z</dcterms:created>
  <dcterms:modified xsi:type="dcterms:W3CDTF">2024-04-17T10:25:00Z</dcterms:modified>
</cp:coreProperties>
</file>