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Pr="006932E1" w:rsidRDefault="00B45A22" w:rsidP="00A13896">
      <w:pPr>
        <w:rPr>
          <w:sz w:val="20"/>
          <w:szCs w:val="22"/>
          <w:rtl/>
        </w:rPr>
      </w:pPr>
      <w:r w:rsidRPr="006932E1">
        <w:rPr>
          <w:rFonts w:hint="cs"/>
          <w:sz w:val="20"/>
          <w:szCs w:val="22"/>
          <w:rtl/>
        </w:rPr>
        <w:t>בס"ד</w:t>
      </w:r>
      <w:r w:rsidR="00E363EE" w:rsidRPr="006932E1">
        <w:rPr>
          <w:rFonts w:hint="cs"/>
          <w:sz w:val="20"/>
          <w:szCs w:val="22"/>
          <w:rtl/>
        </w:rPr>
        <w:t xml:space="preserve">, </w:t>
      </w:r>
      <w:r w:rsidR="00A13896">
        <w:rPr>
          <w:rFonts w:hint="cs"/>
          <w:sz w:val="20"/>
          <w:szCs w:val="22"/>
          <w:rtl/>
        </w:rPr>
        <w:t>מנחם-אב תשפ"ו</w:t>
      </w:r>
    </w:p>
    <w:p w:rsidR="00E363EE" w:rsidRPr="006932E1" w:rsidRDefault="006D4674" w:rsidP="00E363EE">
      <w:pPr>
        <w:pStyle w:val="a3"/>
        <w:rPr>
          <w:sz w:val="22"/>
          <w:szCs w:val="26"/>
          <w:rtl/>
        </w:rPr>
      </w:pPr>
      <w:r w:rsidRPr="006932E1">
        <w:rPr>
          <w:rFonts w:hint="cs"/>
          <w:sz w:val="22"/>
          <w:szCs w:val="26"/>
          <w:rtl/>
        </w:rPr>
        <w:t>חולין דף צ', "</w:t>
      </w:r>
      <w:r w:rsidR="00E363EE" w:rsidRPr="006932E1">
        <w:rPr>
          <w:rFonts w:hint="cs"/>
          <w:sz w:val="22"/>
          <w:szCs w:val="26"/>
          <w:rtl/>
        </w:rPr>
        <w:t>דעת תורה</w:t>
      </w:r>
      <w:r w:rsidRPr="006932E1">
        <w:rPr>
          <w:rFonts w:hint="cs"/>
          <w:sz w:val="22"/>
          <w:szCs w:val="26"/>
          <w:rtl/>
        </w:rPr>
        <w:t>"</w:t>
      </w:r>
    </w:p>
    <w:p w:rsidR="00501EF7" w:rsidRPr="001B22EA" w:rsidRDefault="00501EF7" w:rsidP="006D4674">
      <w:pPr>
        <w:pStyle w:val="a8"/>
        <w:numPr>
          <w:ilvl w:val="0"/>
          <w:numId w:val="1"/>
        </w:numPr>
        <w:rPr>
          <w:sz w:val="20"/>
          <w:szCs w:val="22"/>
          <w:rtl/>
        </w:rPr>
      </w:pPr>
      <w:r w:rsidRPr="001B22EA">
        <w:rPr>
          <w:b/>
          <w:bCs/>
          <w:sz w:val="20"/>
          <w:szCs w:val="22"/>
          <w:rtl/>
        </w:rPr>
        <w:t>חולין</w:t>
      </w:r>
      <w:r w:rsidRPr="001B22EA">
        <w:rPr>
          <w:rFonts w:hint="cs"/>
          <w:b/>
          <w:bCs/>
          <w:sz w:val="20"/>
          <w:szCs w:val="22"/>
          <w:rtl/>
        </w:rPr>
        <w:t>,</w:t>
      </w:r>
      <w:r w:rsidRPr="001B22EA">
        <w:rPr>
          <w:b/>
          <w:bCs/>
          <w:sz w:val="20"/>
          <w:szCs w:val="22"/>
          <w:rtl/>
        </w:rPr>
        <w:t xml:space="preserve"> דף צ</w:t>
      </w:r>
      <w:r w:rsidRPr="001B22EA">
        <w:rPr>
          <w:rFonts w:hint="cs"/>
          <w:b/>
          <w:bCs/>
          <w:sz w:val="20"/>
          <w:szCs w:val="22"/>
          <w:rtl/>
        </w:rPr>
        <w:t>':</w:t>
      </w:r>
      <w:r w:rsidRPr="001B22EA">
        <w:rPr>
          <w:rFonts w:hint="cs"/>
          <w:sz w:val="20"/>
          <w:szCs w:val="22"/>
          <w:rtl/>
        </w:rPr>
        <w:t xml:space="preserve"> "</w:t>
      </w:r>
      <w:r w:rsidRPr="001B22EA">
        <w:rPr>
          <w:sz w:val="20"/>
          <w:szCs w:val="22"/>
          <w:rtl/>
        </w:rPr>
        <w:t>דתניא רבי יהודה אומר: אינו נוהג אלא באחת, והדעת מכרעת - את של ימין. איבעיא להו: מיפשט פשיטא ליה לרבי יהודה, ומאי דעת - דעת תורה, או דלמא ספוקי מספקא ליה, ומאי דעת - דעת נוטה?</w:t>
      </w:r>
      <w:r w:rsidRPr="001B22EA">
        <w:rPr>
          <w:rFonts w:hint="cs"/>
          <w:sz w:val="20"/>
          <w:szCs w:val="22"/>
          <w:rtl/>
        </w:rPr>
        <w:t>".</w:t>
      </w:r>
    </w:p>
    <w:p w:rsidR="00501EF7" w:rsidRPr="001B22EA" w:rsidRDefault="00501EF7" w:rsidP="006D4674">
      <w:pPr>
        <w:pStyle w:val="a8"/>
        <w:numPr>
          <w:ilvl w:val="0"/>
          <w:numId w:val="1"/>
        </w:numPr>
        <w:rPr>
          <w:sz w:val="20"/>
          <w:szCs w:val="22"/>
          <w:rtl/>
        </w:rPr>
      </w:pPr>
      <w:r w:rsidRPr="001B22EA">
        <w:rPr>
          <w:b/>
          <w:bCs/>
          <w:sz w:val="20"/>
          <w:szCs w:val="22"/>
          <w:rtl/>
        </w:rPr>
        <w:t>רש"י</w:t>
      </w:r>
      <w:r w:rsidRPr="001B22EA">
        <w:rPr>
          <w:rFonts w:hint="cs"/>
          <w:b/>
          <w:bCs/>
          <w:sz w:val="20"/>
          <w:szCs w:val="22"/>
          <w:rtl/>
        </w:rPr>
        <w:t xml:space="preserve"> שם:</w:t>
      </w:r>
      <w:r w:rsidRPr="001B22EA">
        <w:rPr>
          <w:rFonts w:hint="cs"/>
          <w:sz w:val="20"/>
          <w:szCs w:val="22"/>
          <w:rtl/>
        </w:rPr>
        <w:t xml:space="preserve"> "</w:t>
      </w:r>
      <w:r w:rsidRPr="001B22EA">
        <w:rPr>
          <w:sz w:val="20"/>
          <w:szCs w:val="22"/>
          <w:rtl/>
        </w:rPr>
        <w:t xml:space="preserve">דעת תורה - </w:t>
      </w:r>
      <w:r w:rsidRPr="001B22EA">
        <w:rPr>
          <w:sz w:val="20"/>
          <w:szCs w:val="22"/>
          <w:u w:val="single"/>
          <w:rtl/>
        </w:rPr>
        <w:t>כדיליף</w:t>
      </w:r>
      <w:r w:rsidRPr="001B22EA">
        <w:rPr>
          <w:sz w:val="20"/>
          <w:szCs w:val="22"/>
          <w:rtl/>
        </w:rPr>
        <w:t xml:space="preserve"> לקמיה.</w:t>
      </w:r>
      <w:r w:rsidRPr="001B22EA">
        <w:rPr>
          <w:rFonts w:hint="cs"/>
          <w:sz w:val="20"/>
          <w:szCs w:val="22"/>
          <w:rtl/>
        </w:rPr>
        <w:t xml:space="preserve"> </w:t>
      </w:r>
      <w:r w:rsidRPr="001B22EA">
        <w:rPr>
          <w:sz w:val="20"/>
          <w:szCs w:val="22"/>
          <w:rtl/>
        </w:rPr>
        <w:t>דעת נוטה - לשון ספק אבל נראה במקצת שושפינשי"ר</w:t>
      </w:r>
      <w:r w:rsidRPr="001B22EA">
        <w:rPr>
          <w:rFonts w:hint="cs"/>
          <w:sz w:val="20"/>
          <w:szCs w:val="22"/>
          <w:rtl/>
        </w:rPr>
        <w:t xml:space="preserve"> (=השערה),</w:t>
      </w:r>
      <w:r w:rsidRPr="001B22EA">
        <w:rPr>
          <w:sz w:val="20"/>
          <w:szCs w:val="22"/>
          <w:rtl/>
        </w:rPr>
        <w:t xml:space="preserve"> דסתם הנאבק עם חבירו כשהוא נותן ימינו לשמאל חבירו וחובקו ידו מגעת מאחוריו עד ירך ימינו</w:t>
      </w:r>
      <w:r w:rsidRPr="001B22EA">
        <w:rPr>
          <w:rFonts w:hint="cs"/>
          <w:sz w:val="20"/>
          <w:szCs w:val="22"/>
          <w:rtl/>
        </w:rPr>
        <w:t>"</w:t>
      </w:r>
      <w:r w:rsidRPr="001B22EA">
        <w:rPr>
          <w:sz w:val="20"/>
          <w:szCs w:val="22"/>
          <w:rtl/>
        </w:rPr>
        <w:t>.</w:t>
      </w:r>
    </w:p>
    <w:p w:rsidR="00E3764C" w:rsidRPr="001B22EA" w:rsidRDefault="00E3764C" w:rsidP="006D4674">
      <w:pPr>
        <w:pStyle w:val="a8"/>
        <w:numPr>
          <w:ilvl w:val="0"/>
          <w:numId w:val="1"/>
        </w:numPr>
        <w:rPr>
          <w:sz w:val="20"/>
          <w:szCs w:val="22"/>
          <w:rtl/>
        </w:rPr>
      </w:pPr>
      <w:r w:rsidRPr="001B22EA">
        <w:rPr>
          <w:b/>
          <w:bCs/>
          <w:sz w:val="20"/>
          <w:szCs w:val="22"/>
          <w:rtl/>
        </w:rPr>
        <w:t>סוטה</w:t>
      </w:r>
      <w:r w:rsidR="00501EF7" w:rsidRPr="001B22EA">
        <w:rPr>
          <w:rFonts w:hint="cs"/>
          <w:b/>
          <w:bCs/>
          <w:sz w:val="20"/>
          <w:szCs w:val="22"/>
          <w:rtl/>
        </w:rPr>
        <w:t xml:space="preserve">, דף מ"ט: </w:t>
      </w:r>
      <w:r w:rsidR="00501EF7" w:rsidRPr="001B22EA">
        <w:rPr>
          <w:rFonts w:hint="cs"/>
          <w:sz w:val="20"/>
          <w:szCs w:val="22"/>
          <w:rtl/>
        </w:rPr>
        <w:t>"</w:t>
      </w:r>
      <w:r w:rsidRPr="001B22EA">
        <w:rPr>
          <w:sz w:val="20"/>
          <w:szCs w:val="22"/>
          <w:rtl/>
        </w:rPr>
        <w:t>וא"ר אילעא בר יברכיה: ש</w:t>
      </w:r>
      <w:bookmarkStart w:id="0" w:name="_GoBack"/>
      <w:bookmarkEnd w:id="0"/>
      <w:r w:rsidRPr="001B22EA">
        <w:rPr>
          <w:sz w:val="20"/>
          <w:szCs w:val="22"/>
          <w:rtl/>
        </w:rPr>
        <w:t xml:space="preserve">ני ת"ח הדרין בעיר אחת ואין נוחין זה לזה בהלכה - אחד מת ואחד גולה, שנאמר: לנוס שמה רוצח אשר ירצח את רעהו בבלי דעת, </w:t>
      </w:r>
      <w:r w:rsidRPr="00C873C4">
        <w:rPr>
          <w:sz w:val="20"/>
          <w:szCs w:val="22"/>
          <w:u w:val="single"/>
          <w:rtl/>
        </w:rPr>
        <w:t>ואין דעת אלא תורה</w:t>
      </w:r>
      <w:r w:rsidRPr="001B22EA">
        <w:rPr>
          <w:sz w:val="20"/>
          <w:szCs w:val="22"/>
          <w:rtl/>
        </w:rPr>
        <w:t>, שנאמר: נדמו עמי מבלי הדעת</w:t>
      </w:r>
      <w:r w:rsidR="00501EF7" w:rsidRPr="001B22EA">
        <w:rPr>
          <w:rFonts w:hint="cs"/>
          <w:sz w:val="20"/>
          <w:szCs w:val="22"/>
          <w:rtl/>
        </w:rPr>
        <w:t>"</w:t>
      </w:r>
      <w:r w:rsidRPr="001B22EA">
        <w:rPr>
          <w:sz w:val="20"/>
          <w:szCs w:val="22"/>
          <w:rtl/>
        </w:rPr>
        <w:t>.</w:t>
      </w:r>
    </w:p>
    <w:p w:rsidR="00E3764C" w:rsidRDefault="00E3764C" w:rsidP="006D4674">
      <w:pPr>
        <w:pStyle w:val="a8"/>
        <w:numPr>
          <w:ilvl w:val="0"/>
          <w:numId w:val="1"/>
        </w:numPr>
        <w:rPr>
          <w:sz w:val="20"/>
          <w:szCs w:val="22"/>
        </w:rPr>
      </w:pPr>
      <w:r w:rsidRPr="001B22EA">
        <w:rPr>
          <w:b/>
          <w:bCs/>
          <w:sz w:val="20"/>
          <w:szCs w:val="22"/>
          <w:rtl/>
        </w:rPr>
        <w:t>פסיקתא זוטרתא</w:t>
      </w:r>
      <w:r w:rsidR="00501EF7" w:rsidRPr="001B22EA">
        <w:rPr>
          <w:rFonts w:hint="cs"/>
          <w:b/>
          <w:bCs/>
          <w:sz w:val="20"/>
          <w:szCs w:val="22"/>
          <w:rtl/>
        </w:rPr>
        <w:t>, פרשת עקב:</w:t>
      </w:r>
      <w:r w:rsidR="00501EF7" w:rsidRPr="001B22EA">
        <w:rPr>
          <w:rFonts w:hint="cs"/>
          <w:sz w:val="20"/>
          <w:szCs w:val="22"/>
          <w:rtl/>
        </w:rPr>
        <w:t xml:space="preserve"> "</w:t>
      </w:r>
      <w:r w:rsidR="00501EF7" w:rsidRPr="001B22EA">
        <w:rPr>
          <w:sz w:val="20"/>
          <w:szCs w:val="22"/>
          <w:rtl/>
        </w:rPr>
        <w:t>כִּי אֵין אֱמֶת וְאֵין  חֶסֶד וְאֵין דַּעַת אֱלֹהִים בָּאָרֶץ</w:t>
      </w:r>
      <w:r w:rsidR="00501EF7" w:rsidRPr="001B22EA">
        <w:rPr>
          <w:rFonts w:hint="cs"/>
          <w:sz w:val="20"/>
          <w:szCs w:val="22"/>
          <w:rtl/>
        </w:rPr>
        <w:t xml:space="preserve">" (הושע ד') - </w:t>
      </w:r>
      <w:r w:rsidRPr="001B22EA">
        <w:rPr>
          <w:sz w:val="20"/>
          <w:szCs w:val="22"/>
          <w:rtl/>
        </w:rPr>
        <w:t>אמת זו תורה שנאמר (משלי כג) אמת קנה ואל תמכור. חסד זו תורה שנאמר (תהלים קיט) חסדך ה' מלאה הארץ חקיך למדני. דעת זו תורה שנאמר (ישעיה ה') גלה עמי מבלי דעת</w:t>
      </w:r>
      <w:r w:rsidR="00C873C4">
        <w:rPr>
          <w:rFonts w:hint="cs"/>
          <w:sz w:val="20"/>
          <w:szCs w:val="22"/>
          <w:rtl/>
        </w:rPr>
        <w:t>,</w:t>
      </w:r>
      <w:r w:rsidRPr="001B22EA">
        <w:rPr>
          <w:sz w:val="20"/>
          <w:szCs w:val="22"/>
          <w:rtl/>
        </w:rPr>
        <w:t xml:space="preserve"> ואמר (ירמיה ט) מי האיש החכם ויבן את זאת וגו' ויאמר ה' על עזבם את תורתי</w:t>
      </w:r>
      <w:r w:rsidR="00501EF7" w:rsidRPr="001B22EA">
        <w:rPr>
          <w:rFonts w:hint="cs"/>
          <w:sz w:val="20"/>
          <w:szCs w:val="22"/>
          <w:rtl/>
        </w:rPr>
        <w:t>"</w:t>
      </w:r>
      <w:r w:rsidRPr="001B22EA">
        <w:rPr>
          <w:sz w:val="20"/>
          <w:szCs w:val="22"/>
          <w:rtl/>
        </w:rPr>
        <w:t>.</w:t>
      </w:r>
    </w:p>
    <w:p w:rsidR="00D57D54" w:rsidRPr="00D57D54" w:rsidRDefault="00D57D54" w:rsidP="00D57D54">
      <w:pPr>
        <w:rPr>
          <w:sz w:val="20"/>
          <w:szCs w:val="22"/>
          <w:rtl/>
        </w:rPr>
      </w:pPr>
      <w:r>
        <w:rPr>
          <w:rFonts w:hint="cs"/>
          <w:sz w:val="20"/>
          <w:szCs w:val="22"/>
          <w:rtl/>
        </w:rPr>
        <w:t>-----</w:t>
      </w:r>
    </w:p>
    <w:p w:rsidR="00501EF7" w:rsidRPr="001B22EA" w:rsidRDefault="00501EF7" w:rsidP="006D4674">
      <w:pPr>
        <w:pStyle w:val="a8"/>
        <w:numPr>
          <w:ilvl w:val="0"/>
          <w:numId w:val="1"/>
        </w:numPr>
        <w:rPr>
          <w:sz w:val="20"/>
          <w:szCs w:val="22"/>
          <w:rtl/>
        </w:rPr>
      </w:pPr>
      <w:r w:rsidRPr="001B22EA">
        <w:rPr>
          <w:b/>
          <w:bCs/>
          <w:sz w:val="20"/>
          <w:szCs w:val="22"/>
          <w:rtl/>
        </w:rPr>
        <w:t>אבות</w:t>
      </w:r>
      <w:r w:rsidRPr="001B22EA">
        <w:rPr>
          <w:rFonts w:hint="cs"/>
          <w:b/>
          <w:bCs/>
          <w:sz w:val="20"/>
          <w:szCs w:val="22"/>
          <w:rtl/>
        </w:rPr>
        <w:t>, פרק ו' משנה א':</w:t>
      </w:r>
      <w:r w:rsidRPr="001B22EA">
        <w:rPr>
          <w:rFonts w:hint="cs"/>
          <w:sz w:val="20"/>
          <w:szCs w:val="22"/>
          <w:rtl/>
        </w:rPr>
        <w:t xml:space="preserve"> "</w:t>
      </w:r>
      <w:r w:rsidRPr="001B22EA">
        <w:rPr>
          <w:sz w:val="20"/>
          <w:szCs w:val="22"/>
          <w:rtl/>
        </w:rPr>
        <w:t>רבי מאיר אומר כל העוסק בתורה לשמה זוכה לדברים הרבה</w:t>
      </w:r>
      <w:r w:rsidR="006D4674" w:rsidRPr="001B22EA">
        <w:rPr>
          <w:rFonts w:hint="cs"/>
          <w:sz w:val="20"/>
          <w:szCs w:val="22"/>
          <w:rtl/>
        </w:rPr>
        <w:t xml:space="preserve"> ... </w:t>
      </w:r>
      <w:r w:rsidRPr="001B22EA">
        <w:rPr>
          <w:sz w:val="20"/>
          <w:szCs w:val="22"/>
          <w:rtl/>
        </w:rPr>
        <w:t>ונהנין ממנה עצה ותושיה בינה וגבורה שנאמר לי עצה ותושיה אני בינה לי גבורה</w:t>
      </w:r>
      <w:r w:rsidR="006D4674" w:rsidRPr="001B22EA">
        <w:rPr>
          <w:rFonts w:hint="cs"/>
          <w:sz w:val="20"/>
          <w:szCs w:val="22"/>
          <w:rtl/>
        </w:rPr>
        <w:t>".</w:t>
      </w:r>
    </w:p>
    <w:p w:rsidR="006D4674" w:rsidRPr="001B22EA" w:rsidRDefault="006D4674" w:rsidP="006D4674">
      <w:pPr>
        <w:pStyle w:val="a8"/>
        <w:numPr>
          <w:ilvl w:val="0"/>
          <w:numId w:val="1"/>
        </w:numPr>
        <w:rPr>
          <w:sz w:val="20"/>
          <w:szCs w:val="22"/>
          <w:rtl/>
        </w:rPr>
      </w:pPr>
      <w:r w:rsidRPr="001B22EA">
        <w:rPr>
          <w:rFonts w:hint="cs"/>
          <w:b/>
          <w:bCs/>
          <w:sz w:val="20"/>
          <w:szCs w:val="22"/>
          <w:rtl/>
        </w:rPr>
        <w:t xml:space="preserve">פירוש "עבודת ישראל" למגיד מקוז'ניץ, שם: </w:t>
      </w:r>
      <w:r w:rsidRPr="001B22EA">
        <w:rPr>
          <w:rFonts w:hint="cs"/>
          <w:sz w:val="20"/>
          <w:szCs w:val="22"/>
          <w:rtl/>
        </w:rPr>
        <w:t>"</w:t>
      </w:r>
      <w:r w:rsidRPr="001B22EA">
        <w:rPr>
          <w:sz w:val="20"/>
          <w:szCs w:val="22"/>
          <w:rtl/>
        </w:rPr>
        <w:t>ונהנין ממנו עצה ותושיה. רצה לומר כי כשהאדם נותן עצה עדיין איננו יודע באם יצליח בה, אבל כשהצדיק מייעץ היא עצה היא תושיה גופא, כי הקדוש ברוך הוא מסכים לעצתו אשר יעץ ובודאי יצליח בה</w:t>
      </w:r>
      <w:r w:rsidRPr="001B22EA">
        <w:rPr>
          <w:rFonts w:hint="cs"/>
          <w:sz w:val="20"/>
          <w:szCs w:val="22"/>
          <w:rtl/>
        </w:rPr>
        <w:t>"</w:t>
      </w:r>
      <w:r w:rsidRPr="001B22EA">
        <w:rPr>
          <w:sz w:val="20"/>
          <w:szCs w:val="22"/>
          <w:rtl/>
        </w:rPr>
        <w:t>.</w:t>
      </w:r>
    </w:p>
    <w:p w:rsidR="006D4674" w:rsidRPr="001B22EA" w:rsidRDefault="00501EF7" w:rsidP="006D4674">
      <w:pPr>
        <w:pStyle w:val="a8"/>
        <w:numPr>
          <w:ilvl w:val="0"/>
          <w:numId w:val="1"/>
        </w:numPr>
        <w:rPr>
          <w:sz w:val="20"/>
          <w:szCs w:val="22"/>
          <w:rtl/>
        </w:rPr>
      </w:pPr>
      <w:r w:rsidRPr="001B22EA">
        <w:rPr>
          <w:rFonts w:hint="cs"/>
          <w:b/>
          <w:bCs/>
          <w:sz w:val="20"/>
          <w:szCs w:val="22"/>
          <w:rtl/>
        </w:rPr>
        <w:t xml:space="preserve">רבי אלחנן וסרמן, מאמר "עקבתא דמשיחא": </w:t>
      </w:r>
      <w:r w:rsidR="003A0D19" w:rsidRPr="001B22EA">
        <w:rPr>
          <w:rFonts w:hint="cs"/>
          <w:sz w:val="20"/>
          <w:szCs w:val="22"/>
          <w:rtl/>
        </w:rPr>
        <w:t xml:space="preserve">"בעל החפץ חיים הקדוש ז"ל רגיל היה לומר: בחיי האדם ישנם רגעים אשר הוא נאלץ להחליט בעניין מסוים ואינו יודע מה להחליט. והנה מאן דהוא אומר לו </w:t>
      </w:r>
      <w:r w:rsidR="003A0D19" w:rsidRPr="009A2D77">
        <w:rPr>
          <w:rFonts w:hint="cs"/>
          <w:sz w:val="20"/>
          <w:szCs w:val="22"/>
          <w:u w:val="single"/>
          <w:rtl/>
        </w:rPr>
        <w:t>הרי תוכל לשאול בעצתו של ה' יתברך בכבודו ובעצמו</w:t>
      </w:r>
      <w:r w:rsidR="003A0D19" w:rsidRPr="001B22EA">
        <w:rPr>
          <w:rFonts w:hint="cs"/>
          <w:sz w:val="20"/>
          <w:szCs w:val="22"/>
          <w:rtl/>
        </w:rPr>
        <w:t xml:space="preserve">. הייתכן? ישתומם האדם. </w:t>
      </w:r>
      <w:r w:rsidR="003A0D19" w:rsidRPr="009A2D77">
        <w:rPr>
          <w:rFonts w:hint="cs"/>
          <w:sz w:val="20"/>
          <w:szCs w:val="22"/>
          <w:u w:val="single"/>
          <w:rtl/>
        </w:rPr>
        <w:t>אכן, אמר החפץ</w:t>
      </w:r>
      <w:r w:rsidR="006D4674" w:rsidRPr="009A2D77">
        <w:rPr>
          <w:rFonts w:hint="cs"/>
          <w:sz w:val="20"/>
          <w:szCs w:val="22"/>
          <w:u w:val="single"/>
          <w:rtl/>
        </w:rPr>
        <w:t xml:space="preserve"> חיים</w:t>
      </w:r>
      <w:r w:rsidR="003A0D19" w:rsidRPr="009A2D77">
        <w:rPr>
          <w:rFonts w:hint="cs"/>
          <w:sz w:val="20"/>
          <w:szCs w:val="22"/>
          <w:u w:val="single"/>
          <w:rtl/>
        </w:rPr>
        <w:t>, אפשרות זו נית</w:t>
      </w:r>
      <w:r w:rsidR="006D4674" w:rsidRPr="009A2D77">
        <w:rPr>
          <w:rFonts w:hint="cs"/>
          <w:sz w:val="20"/>
          <w:szCs w:val="22"/>
          <w:u w:val="single"/>
          <w:rtl/>
        </w:rPr>
        <w:t>נ</w:t>
      </w:r>
      <w:r w:rsidR="003A0D19" w:rsidRPr="009A2D77">
        <w:rPr>
          <w:rFonts w:hint="cs"/>
          <w:sz w:val="20"/>
          <w:szCs w:val="22"/>
          <w:u w:val="single"/>
          <w:rtl/>
        </w:rPr>
        <w:t>ה לכל אדם ואדם: יש לנו תורה הכוללת בתורה תשובות לכל השאלות שבעולם. ליכא מידי דלא רמיזא באורייתא</w:t>
      </w:r>
      <w:r w:rsidR="003A0D19" w:rsidRPr="001B22EA">
        <w:rPr>
          <w:rFonts w:hint="cs"/>
          <w:sz w:val="20"/>
          <w:szCs w:val="22"/>
          <w:rtl/>
        </w:rPr>
        <w:t xml:space="preserve"> ... </w:t>
      </w:r>
    </w:p>
    <w:p w:rsidR="003A0D19" w:rsidRPr="001B22EA" w:rsidRDefault="00E363EE" w:rsidP="006D4674">
      <w:pPr>
        <w:pStyle w:val="a8"/>
        <w:ind w:left="360"/>
        <w:rPr>
          <w:sz w:val="20"/>
          <w:szCs w:val="22"/>
          <w:rtl/>
        </w:rPr>
      </w:pPr>
      <w:r w:rsidRPr="001B22EA">
        <w:rPr>
          <w:rFonts w:hint="cs"/>
          <w:sz w:val="20"/>
          <w:szCs w:val="22"/>
          <w:rtl/>
        </w:rPr>
        <w:t xml:space="preserve">עד הדורות האחרונים ניהלו היהודים את מדיניות הגלות שלהם בהתאם לעצת התורה. אך בזמן האחרון השפילו את כבוד התורה. </w:t>
      </w:r>
      <w:r w:rsidR="000E117E">
        <w:rPr>
          <w:rFonts w:hint="cs"/>
          <w:sz w:val="20"/>
          <w:szCs w:val="22"/>
          <w:u w:val="single"/>
          <w:rtl/>
        </w:rPr>
        <w:t>שואלים לדעת תורה רק בע</w:t>
      </w:r>
      <w:r w:rsidRPr="009A2D77">
        <w:rPr>
          <w:rFonts w:hint="cs"/>
          <w:sz w:val="20"/>
          <w:szCs w:val="22"/>
          <w:u w:val="single"/>
          <w:rtl/>
        </w:rPr>
        <w:t>נ</w:t>
      </w:r>
      <w:r w:rsidR="000E117E">
        <w:rPr>
          <w:rFonts w:hint="cs"/>
          <w:sz w:val="20"/>
          <w:szCs w:val="22"/>
          <w:u w:val="single"/>
          <w:rtl/>
        </w:rPr>
        <w:t>י</w:t>
      </w:r>
      <w:r w:rsidRPr="009A2D77">
        <w:rPr>
          <w:rFonts w:hint="cs"/>
          <w:sz w:val="20"/>
          <w:szCs w:val="22"/>
          <w:u w:val="single"/>
          <w:rtl/>
        </w:rPr>
        <w:t>י</w:t>
      </w:r>
      <w:r w:rsidR="000E117E">
        <w:rPr>
          <w:rFonts w:hint="cs"/>
          <w:sz w:val="20"/>
          <w:szCs w:val="22"/>
          <w:u w:val="single"/>
          <w:rtl/>
        </w:rPr>
        <w:t>ני</w:t>
      </w:r>
      <w:r w:rsidRPr="009A2D77">
        <w:rPr>
          <w:rFonts w:hint="cs"/>
          <w:sz w:val="20"/>
          <w:szCs w:val="22"/>
          <w:u w:val="single"/>
          <w:rtl/>
        </w:rPr>
        <w:t xml:space="preserve"> אמירת קדיש. שאלות מדיניות, היינו שאלות הנוגעות לכלל ישראל, סבורים הם שאין להם כל שייכות לתורה, ולשם כך קיימים המדינאים המקצועיים והסופרים והם </w:t>
      </w:r>
      <w:r w:rsidR="006D4674" w:rsidRPr="009A2D77">
        <w:rPr>
          <w:rFonts w:hint="cs"/>
          <w:sz w:val="20"/>
          <w:szCs w:val="22"/>
          <w:u w:val="single"/>
          <w:rtl/>
        </w:rPr>
        <w:t xml:space="preserve">מנהיגי </w:t>
      </w:r>
      <w:r w:rsidRPr="009A2D77">
        <w:rPr>
          <w:rFonts w:hint="cs"/>
          <w:sz w:val="20"/>
          <w:szCs w:val="22"/>
          <w:u w:val="single"/>
          <w:rtl/>
        </w:rPr>
        <w:t>הדור</w:t>
      </w:r>
      <w:r w:rsidRPr="001B22EA">
        <w:rPr>
          <w:rFonts w:hint="cs"/>
          <w:sz w:val="20"/>
          <w:szCs w:val="22"/>
          <w:rtl/>
        </w:rPr>
        <w:t xml:space="preserve">". </w:t>
      </w:r>
    </w:p>
    <w:p w:rsidR="008C311E" w:rsidRDefault="008C311E" w:rsidP="008C311E">
      <w:pPr>
        <w:pStyle w:val="a8"/>
        <w:numPr>
          <w:ilvl w:val="0"/>
          <w:numId w:val="1"/>
        </w:numPr>
        <w:rPr>
          <w:sz w:val="20"/>
          <w:szCs w:val="22"/>
        </w:rPr>
      </w:pPr>
      <w:r w:rsidRPr="001B22EA">
        <w:rPr>
          <w:b/>
          <w:bCs/>
          <w:sz w:val="20"/>
          <w:szCs w:val="22"/>
          <w:rtl/>
        </w:rPr>
        <w:t>תניא איגרת הקודש</w:t>
      </w:r>
      <w:r w:rsidR="00A33ACA">
        <w:rPr>
          <w:rFonts w:hint="cs"/>
          <w:b/>
          <w:bCs/>
          <w:sz w:val="20"/>
          <w:szCs w:val="22"/>
          <w:rtl/>
        </w:rPr>
        <w:t>,</w:t>
      </w:r>
      <w:r w:rsidRPr="001B22EA">
        <w:rPr>
          <w:b/>
          <w:bCs/>
          <w:sz w:val="20"/>
          <w:szCs w:val="22"/>
          <w:rtl/>
        </w:rPr>
        <w:t xml:space="preserve"> פרק כ</w:t>
      </w:r>
      <w:r w:rsidRPr="001B22EA">
        <w:rPr>
          <w:rFonts w:hint="cs"/>
          <w:b/>
          <w:bCs/>
          <w:sz w:val="20"/>
          <w:szCs w:val="22"/>
          <w:rtl/>
        </w:rPr>
        <w:t>"</w:t>
      </w:r>
      <w:r w:rsidRPr="001B22EA">
        <w:rPr>
          <w:b/>
          <w:bCs/>
          <w:sz w:val="20"/>
          <w:szCs w:val="22"/>
          <w:rtl/>
        </w:rPr>
        <w:t>ב</w:t>
      </w:r>
      <w:r w:rsidRPr="001B22EA">
        <w:rPr>
          <w:rFonts w:hint="cs"/>
          <w:b/>
          <w:bCs/>
          <w:sz w:val="20"/>
          <w:szCs w:val="22"/>
          <w:rtl/>
        </w:rPr>
        <w:t>:</w:t>
      </w:r>
      <w:r w:rsidRPr="001B22EA">
        <w:rPr>
          <w:rFonts w:hint="cs"/>
          <w:sz w:val="20"/>
          <w:szCs w:val="22"/>
          <w:rtl/>
        </w:rPr>
        <w:t xml:space="preserve"> "</w:t>
      </w:r>
      <w:r w:rsidRPr="001B22EA">
        <w:rPr>
          <w:sz w:val="20"/>
          <w:szCs w:val="22"/>
          <w:rtl/>
        </w:rPr>
        <w:t>אהוביי אחיי ורעיי</w:t>
      </w:r>
      <w:r w:rsidR="009A2D77">
        <w:rPr>
          <w:rFonts w:hint="cs"/>
          <w:sz w:val="20"/>
          <w:szCs w:val="22"/>
          <w:rtl/>
        </w:rPr>
        <w:t>,</w:t>
      </w:r>
      <w:r w:rsidRPr="001B22EA">
        <w:rPr>
          <w:sz w:val="20"/>
          <w:szCs w:val="22"/>
          <w:rtl/>
        </w:rPr>
        <w:t xml:space="preserve"> מאהבה מסותרת תוכחת מגולה לכו נא ונוכחה זכרו ימות עולם בינו שנות דור ודור ההיתה כזאת מימות עולם ואיה איפוא מצאתם מנהג זה באחד מכל ספרי חכמי ישראל הראשונים והאחרונים להיות מנהג ותיקון </w:t>
      </w:r>
      <w:r w:rsidRPr="009A2D77">
        <w:rPr>
          <w:sz w:val="20"/>
          <w:szCs w:val="22"/>
          <w:u w:val="single"/>
          <w:rtl/>
        </w:rPr>
        <w:t>לשאול בעצה גשמיות כדת מה לעשות בעניני העולם הגשמי אף לגדולי חכמי ישראל הראשונים כתנאים ואמוראים אשר כל רז לא אנס להו ונהירין להון שבילין דרקיע</w:t>
      </w:r>
      <w:r w:rsidR="009A2D77">
        <w:rPr>
          <w:rFonts w:hint="cs"/>
          <w:sz w:val="20"/>
          <w:szCs w:val="22"/>
          <w:rtl/>
        </w:rPr>
        <w:t>,</w:t>
      </w:r>
      <w:r w:rsidR="000E117E">
        <w:rPr>
          <w:rFonts w:hint="cs"/>
          <w:sz w:val="20"/>
          <w:szCs w:val="22"/>
          <w:rtl/>
        </w:rPr>
        <w:t xml:space="preserve"> </w:t>
      </w:r>
      <w:r w:rsidRPr="001B22EA">
        <w:rPr>
          <w:sz w:val="20"/>
          <w:szCs w:val="22"/>
          <w:rtl/>
        </w:rPr>
        <w:t>כ"א לנביאים ממש אשר היו לפנים בישראל כשמואל הרואה אשר הלך אליו שאול לדרוש ה' על דבר האתונות שנאבדו לאביו כי באמת כל עניני אדם לבד מדברי תורה וי"ש אינם מושגים רק בנבואה ולא לחכמים לחם</w:t>
      </w:r>
      <w:r w:rsidRPr="001B22EA">
        <w:rPr>
          <w:rFonts w:hint="cs"/>
          <w:sz w:val="20"/>
          <w:szCs w:val="22"/>
          <w:rtl/>
        </w:rPr>
        <w:t>".</w:t>
      </w:r>
    </w:p>
    <w:p w:rsidR="00D57D54" w:rsidRPr="00D57D54" w:rsidRDefault="00D57D54" w:rsidP="00D57D54">
      <w:pPr>
        <w:rPr>
          <w:sz w:val="20"/>
          <w:szCs w:val="22"/>
          <w:rtl/>
        </w:rPr>
      </w:pPr>
      <w:r>
        <w:rPr>
          <w:rFonts w:hint="cs"/>
          <w:sz w:val="20"/>
          <w:szCs w:val="22"/>
          <w:rtl/>
        </w:rPr>
        <w:t>-----</w:t>
      </w:r>
    </w:p>
    <w:p w:rsidR="008C311E" w:rsidRPr="001B22EA" w:rsidRDefault="008C311E" w:rsidP="008C311E">
      <w:pPr>
        <w:pStyle w:val="a8"/>
        <w:numPr>
          <w:ilvl w:val="0"/>
          <w:numId w:val="1"/>
        </w:numPr>
        <w:rPr>
          <w:sz w:val="20"/>
          <w:szCs w:val="22"/>
          <w:rtl/>
        </w:rPr>
      </w:pPr>
      <w:r w:rsidRPr="001B22EA">
        <w:rPr>
          <w:rFonts w:hint="cs"/>
          <w:b/>
          <w:bCs/>
          <w:sz w:val="20"/>
          <w:szCs w:val="22"/>
          <w:rtl/>
        </w:rPr>
        <w:t xml:space="preserve">מו"ר הרב ליכטנשטיין זצ"ל, "אם אין דעת </w:t>
      </w:r>
      <w:r w:rsidRPr="001B22EA">
        <w:rPr>
          <w:b/>
          <w:bCs/>
          <w:sz w:val="20"/>
          <w:szCs w:val="22"/>
          <w:rtl/>
        </w:rPr>
        <w:t>–</w:t>
      </w:r>
      <w:r w:rsidRPr="001B22EA">
        <w:rPr>
          <w:rFonts w:hint="cs"/>
          <w:b/>
          <w:bCs/>
          <w:sz w:val="20"/>
          <w:szCs w:val="22"/>
          <w:rtl/>
        </w:rPr>
        <w:t xml:space="preserve"> מנהיגות מניין?"</w:t>
      </w:r>
      <w:r w:rsidR="007703FE">
        <w:rPr>
          <w:rFonts w:hint="cs"/>
          <w:b/>
          <w:bCs/>
          <w:sz w:val="20"/>
          <w:szCs w:val="22"/>
          <w:rtl/>
        </w:rPr>
        <w:t>, ימי העיון בחנוכה תשע"ב</w:t>
      </w:r>
      <w:r w:rsidRPr="001B22EA">
        <w:rPr>
          <w:rFonts w:hint="cs"/>
          <w:b/>
          <w:bCs/>
          <w:sz w:val="20"/>
          <w:szCs w:val="22"/>
          <w:rtl/>
        </w:rPr>
        <w:t>:</w:t>
      </w:r>
      <w:r w:rsidRPr="001B22EA">
        <w:rPr>
          <w:rFonts w:hint="cs"/>
          <w:sz w:val="20"/>
          <w:szCs w:val="22"/>
          <w:rtl/>
        </w:rPr>
        <w:t xml:space="preserve"> "המונח "דעת תורה" נוסד בחוגי היהדות הליטאית, ומשם הלך והתרחב לחוגים דתיים נוספים. אין כאן המקום לדון בגלגוליו ההיסטוריים והחברתיים של מונח זה, ואולם יש לבחון את עניינו ומשמעותו. המונח דעת תורה - כמונח נור</w:t>
      </w:r>
      <w:r w:rsidR="007703FE">
        <w:rPr>
          <w:rFonts w:hint="cs"/>
          <w:sz w:val="20"/>
          <w:szCs w:val="22"/>
          <w:rtl/>
        </w:rPr>
        <w:t xml:space="preserve">מאטיבי ומחייב - מניח שתי הנחות: </w:t>
      </w:r>
      <w:r w:rsidRPr="001B22EA">
        <w:rPr>
          <w:rFonts w:hint="cs"/>
          <w:sz w:val="20"/>
          <w:szCs w:val="22"/>
          <w:rtl/>
        </w:rPr>
        <w:t xml:space="preserve">הנחה א' - אדם שלמד תורה הרבה מוסמך וראוי לייעץ עצות בכל תחום בחיים, בקודש ובחול. הנחה ב' - קיימת חובה הלכתית או מוסרית לציית לדעת התורה של אותו תלמיד חכם באשר היא ... </w:t>
      </w:r>
    </w:p>
    <w:p w:rsidR="008C311E" w:rsidRPr="001B22EA" w:rsidRDefault="008C311E" w:rsidP="001B22EA">
      <w:pPr>
        <w:pStyle w:val="a8"/>
        <w:ind w:left="360"/>
        <w:rPr>
          <w:sz w:val="20"/>
          <w:szCs w:val="22"/>
          <w:rtl/>
        </w:rPr>
      </w:pPr>
      <w:r w:rsidRPr="001B22EA">
        <w:rPr>
          <w:rFonts w:hint="cs"/>
          <w:sz w:val="20"/>
          <w:szCs w:val="22"/>
          <w:rtl/>
        </w:rPr>
        <w:t>הרמב"ם (הלכות ממרים, א' א') מרחיב את חובת הציות לבית הדין הגדול לכל "מעשה הדת": "</w:t>
      </w:r>
      <w:r w:rsidRPr="001B22EA">
        <w:rPr>
          <w:sz w:val="20"/>
          <w:szCs w:val="22"/>
          <w:rtl/>
        </w:rPr>
        <w:t>בית דין הגדול שבירושלים הם עיקר תורה שבעל פה, והם עמודי ההוראה ומהם חק ומשפט יוצא לכל ישראל, ועליהן הבטיחה תורה שנאמר על פי התורה אשר יורוך זו מצות עשה, וכל המאמין במשה רבינו ובתורתו חייב לסמוך מעשה הדת עליהן ולישען עליהן</w:t>
      </w:r>
      <w:r w:rsidRPr="001B22EA">
        <w:rPr>
          <w:rFonts w:hint="cs"/>
          <w:sz w:val="20"/>
          <w:szCs w:val="22"/>
          <w:rtl/>
        </w:rPr>
        <w:t>". אמנם, ברור שגם על פי ניסוח מרחיב זה, אין בידינו מקור מפורש לסמכותה של דעת תורה בכל תחומי החיים כולם ... ואמנם, היו מגדולי ישראל שכלל לא קיבלו את קיומה של "דעת תורה" מחייבת. אדמו"ר הזקן מחב"ד כותב במקום אחד, כי מעולם לא שמענו ולא ראינו אדם מישראל הנדרש לחכמי הדור במילי דעלמא. גדולי הדור מתווים דרך בהלכה ובאמונה, אך לא בעניינים חילוניים. בעניינים אלה יש להיוועץ בעו</w:t>
      </w:r>
      <w:r w:rsidR="001B22EA" w:rsidRPr="001B22EA">
        <w:rPr>
          <w:rFonts w:hint="cs"/>
          <w:sz w:val="20"/>
          <w:szCs w:val="22"/>
          <w:rtl/>
        </w:rPr>
        <w:t>רך דין, ברופא או באיש מקצוע אחר ...</w:t>
      </w:r>
      <w:r w:rsidRPr="001B22EA">
        <w:rPr>
          <w:rFonts w:hint="cs"/>
          <w:sz w:val="20"/>
          <w:szCs w:val="22"/>
          <w:rtl/>
        </w:rPr>
        <w:t xml:space="preserve"> </w:t>
      </w:r>
    </w:p>
    <w:p w:rsidR="008C311E" w:rsidRPr="001B22EA" w:rsidRDefault="008C311E" w:rsidP="001B22EA">
      <w:pPr>
        <w:pStyle w:val="a8"/>
        <w:ind w:left="360"/>
        <w:rPr>
          <w:sz w:val="20"/>
          <w:szCs w:val="22"/>
          <w:rtl/>
        </w:rPr>
      </w:pPr>
      <w:r w:rsidRPr="001B22EA">
        <w:rPr>
          <w:rFonts w:hint="cs"/>
          <w:sz w:val="20"/>
          <w:szCs w:val="22"/>
          <w:rtl/>
        </w:rPr>
        <w:t>דעת תורה היא קביעה שהושמעה מפיו של אדם גדול בתורה. אמנם, גדלות זו עשויה להיות נמדדת בדרכים שונות: האם מדובר על גדול הדור? האם מדובר על כל בית דין של הדיוטות שעומד בקהילה כלשהי? מסברה, ניתן היה לומר שגדול בתורה הוא מי שלמד את מקצועותיה השונים</w:t>
      </w:r>
      <w:r w:rsidR="001B22EA" w:rsidRPr="001B22EA">
        <w:rPr>
          <w:rFonts w:hint="cs"/>
          <w:sz w:val="20"/>
          <w:szCs w:val="22"/>
          <w:rtl/>
        </w:rPr>
        <w:t xml:space="preserve"> ... </w:t>
      </w:r>
      <w:r w:rsidRPr="001B22EA">
        <w:rPr>
          <w:rFonts w:hint="cs"/>
          <w:sz w:val="20"/>
          <w:szCs w:val="22"/>
          <w:rtl/>
        </w:rPr>
        <w:t xml:space="preserve">גישת "דעת תורה" במובנה הרחב והכוללני, מטה את המטוטלת באופן בוטה ביותר לכיוון סמכותם של החכמים שבדור, אשר דעתם </w:t>
      </w:r>
      <w:r w:rsidR="001B22EA" w:rsidRPr="001B22EA">
        <w:rPr>
          <w:rFonts w:hint="cs"/>
          <w:sz w:val="20"/>
          <w:szCs w:val="22"/>
          <w:rtl/>
        </w:rPr>
        <w:t>שלהם, היא היא דעת התורה המחייבת ...</w:t>
      </w:r>
      <w:r w:rsidRPr="001B22EA">
        <w:rPr>
          <w:rFonts w:hint="cs"/>
          <w:sz w:val="20"/>
          <w:szCs w:val="22"/>
          <w:rtl/>
        </w:rPr>
        <w:t xml:space="preserve"> </w:t>
      </w:r>
    </w:p>
    <w:p w:rsidR="009A2D77" w:rsidRDefault="008C311E" w:rsidP="001B22EA">
      <w:pPr>
        <w:pStyle w:val="a8"/>
        <w:ind w:left="360"/>
        <w:rPr>
          <w:sz w:val="20"/>
          <w:szCs w:val="22"/>
          <w:rtl/>
        </w:rPr>
      </w:pPr>
      <w:r w:rsidRPr="001B22EA">
        <w:rPr>
          <w:rFonts w:hint="cs"/>
          <w:sz w:val="20"/>
          <w:szCs w:val="22"/>
          <w:rtl/>
        </w:rPr>
        <w:lastRenderedPageBreak/>
        <w:t>מהי דעת?</w:t>
      </w:r>
      <w:r w:rsidR="001B22EA" w:rsidRPr="001B22EA">
        <w:rPr>
          <w:rFonts w:hint="cs"/>
          <w:sz w:val="20"/>
          <w:szCs w:val="22"/>
          <w:rtl/>
        </w:rPr>
        <w:t xml:space="preserve"> </w:t>
      </w:r>
      <w:r w:rsidRPr="001B22EA">
        <w:rPr>
          <w:rFonts w:hint="cs"/>
          <w:sz w:val="20"/>
          <w:szCs w:val="22"/>
          <w:rtl/>
        </w:rPr>
        <w:t>הרא"ל סיפר, שכאשר בא לנחם את מורו ורבו הרב הוטנר לאחר פטירת אשתו, זכה לנחמו בארבע עיניים. הרב הוטנר סיפר, שנכנס לנחמו תלמיד חכם אחר, וניסה להסביר לו עד כמה הפטירה חיובית, שהרי כעת אשתו בעלמא דקשוט, בעולם שכולו טוב וכו' וכו'. לעיתים קורה ששומעים קולות כאלה בניחום אבלים, ובעיקר כאשר הנפטר הלך לעולמו תוך כדי מצוה או נפל בקרב. הרא"ל הבהיר כי הדבר איננו מתאים כלל ועיקר, ואף הרב הוטנר התנגד לכך, וקרא על אותו תלמיד חכם את דברי המדרש החמורים (ויקרא רבה, פרשה א'):</w:t>
      </w:r>
      <w:r w:rsidR="001B22EA" w:rsidRPr="001B22EA">
        <w:rPr>
          <w:rFonts w:hint="cs"/>
          <w:sz w:val="20"/>
          <w:szCs w:val="22"/>
          <w:rtl/>
        </w:rPr>
        <w:t xml:space="preserve"> </w:t>
      </w:r>
      <w:r w:rsidRPr="001B22EA">
        <w:rPr>
          <w:rFonts w:hint="cs"/>
          <w:sz w:val="20"/>
          <w:szCs w:val="22"/>
          <w:rtl/>
        </w:rPr>
        <w:t>"</w:t>
      </w:r>
      <w:r w:rsidRPr="001B22EA">
        <w:rPr>
          <w:sz w:val="20"/>
          <w:szCs w:val="22"/>
          <w:rtl/>
        </w:rPr>
        <w:t>כל ת</w:t>
      </w:r>
      <w:r w:rsidRPr="001B22EA">
        <w:rPr>
          <w:rFonts w:hint="cs"/>
          <w:sz w:val="20"/>
          <w:szCs w:val="22"/>
          <w:rtl/>
        </w:rPr>
        <w:t xml:space="preserve">למיד חכם </w:t>
      </w:r>
      <w:r w:rsidRPr="001B22EA">
        <w:rPr>
          <w:sz w:val="20"/>
          <w:szCs w:val="22"/>
          <w:rtl/>
        </w:rPr>
        <w:t>שאין בו דעת נבלה טובה הימנו</w:t>
      </w:r>
      <w:r w:rsidRPr="001B22EA">
        <w:rPr>
          <w:rFonts w:hint="cs"/>
          <w:sz w:val="20"/>
          <w:szCs w:val="22"/>
          <w:rtl/>
        </w:rPr>
        <w:t>".</w:t>
      </w:r>
      <w:r w:rsidR="001B22EA" w:rsidRPr="001B22EA">
        <w:rPr>
          <w:rFonts w:hint="cs"/>
          <w:sz w:val="20"/>
          <w:szCs w:val="22"/>
          <w:rtl/>
        </w:rPr>
        <w:t xml:space="preserve"> </w:t>
      </w:r>
      <w:r w:rsidRPr="001B22EA">
        <w:rPr>
          <w:rFonts w:hint="cs"/>
          <w:sz w:val="20"/>
          <w:szCs w:val="22"/>
          <w:rtl/>
        </w:rPr>
        <w:t>הרב הוטנר הוסיף בקולו הרועם: אין מדובר כאן על עם הארץ שאין בו דעת, אלא דווקא על תלמיד חכם, הבקיא בקצות ובנתיבות, אך אין בו דעת המכתיבה לו התנהלות נורמאלית בין הבריות. דווקא אודות תלמיד חכם שכזה קובעים חז"ל כי נבילה טובה הימנו. הרא"ל הדגיש את הקיצוניות שבדברים, והוסיף שאלמלא שמע אותם מרבו במו-אוזניו, לא ברור שהיה אומר אותם מעצמו.</w:t>
      </w:r>
      <w:r w:rsidR="009A2D77">
        <w:rPr>
          <w:rFonts w:hint="cs"/>
          <w:sz w:val="20"/>
          <w:szCs w:val="22"/>
          <w:rtl/>
        </w:rPr>
        <w:t xml:space="preserve"> </w:t>
      </w:r>
      <w:r w:rsidRPr="001B22EA">
        <w:rPr>
          <w:rFonts w:hint="cs"/>
          <w:sz w:val="20"/>
          <w:szCs w:val="22"/>
          <w:rtl/>
        </w:rPr>
        <w:t xml:space="preserve">למדנו מדבריו הנוקבים של הרב הוטנר, שישנה רמה מסוימת של דעת הנחוצה לתלמיד חכם באשר הוא, ובהעדרה - הוא נפגם פגם של ממש. ובכן, אף אם נאחוז בגישה הגורסת חובת ציות לגדולי התורה, מסתבר שהיינו דווקא לתלמיד חכם שיש בו דעת, ולא לתלמיד חכם המלא ידע תורני כרימון, אך על פי המדרש, </w:t>
      </w:r>
      <w:r w:rsidR="001B22EA" w:rsidRPr="001B22EA">
        <w:rPr>
          <w:rFonts w:hint="cs"/>
          <w:sz w:val="20"/>
          <w:szCs w:val="22"/>
          <w:rtl/>
        </w:rPr>
        <w:t xml:space="preserve">נבילה טובה הימנו. </w:t>
      </w:r>
    </w:p>
    <w:p w:rsidR="008C311E" w:rsidRPr="001B22EA" w:rsidRDefault="008C311E" w:rsidP="001B22EA">
      <w:pPr>
        <w:pStyle w:val="a8"/>
        <w:ind w:left="360"/>
        <w:rPr>
          <w:sz w:val="20"/>
          <w:szCs w:val="22"/>
          <w:rtl/>
        </w:rPr>
      </w:pPr>
      <w:r w:rsidRPr="001B22EA">
        <w:rPr>
          <w:rFonts w:hint="cs"/>
          <w:sz w:val="20"/>
          <w:szCs w:val="22"/>
          <w:rtl/>
        </w:rPr>
        <w:t>השאלה הנשאלת מאליה היא מה פשר אותה דעת, ומה מקומה בעולמנו הרוחני והערכי. הדעת שאליה התכוון הרב הוטנר היא תרכובת של שכל ישר (</w:t>
      </w:r>
      <w:r w:rsidRPr="001B22EA">
        <w:rPr>
          <w:sz w:val="20"/>
          <w:szCs w:val="22"/>
        </w:rPr>
        <w:t>common sense</w:t>
      </w:r>
      <w:r w:rsidRPr="001B22EA">
        <w:rPr>
          <w:rFonts w:hint="cs"/>
          <w:sz w:val="20"/>
          <w:szCs w:val="22"/>
          <w:rtl/>
        </w:rPr>
        <w:t>) או שכל "בעל-בתי" (שיש מתלמידי החכמים הנוטים לזלזל בו), עם הבנה מעמיקה של הסיטואציה. הרא"ל הדגיש בעיקר שלוש נקודות שראוי שתלמיד חכם יציב לנגד עיניו כאשר הוא מבקש לייעץ או להדריך את זולתו:</w:t>
      </w:r>
      <w:r w:rsidR="009A2D77">
        <w:rPr>
          <w:rFonts w:hint="cs"/>
          <w:sz w:val="20"/>
          <w:szCs w:val="22"/>
          <w:rtl/>
        </w:rPr>
        <w:t xml:space="preserve"> </w:t>
      </w:r>
      <w:r w:rsidRPr="001B22EA">
        <w:rPr>
          <w:rFonts w:hint="cs"/>
          <w:sz w:val="20"/>
          <w:szCs w:val="22"/>
          <w:rtl/>
        </w:rPr>
        <w:t xml:space="preserve">א. הבנת עולמו ונפשו של </w:t>
      </w:r>
      <w:r w:rsidR="001B22EA" w:rsidRPr="001B22EA">
        <w:rPr>
          <w:rFonts w:hint="cs"/>
          <w:sz w:val="20"/>
          <w:szCs w:val="22"/>
          <w:rtl/>
        </w:rPr>
        <w:t xml:space="preserve">האדם העומד מולו; </w:t>
      </w:r>
      <w:r w:rsidRPr="001B22EA">
        <w:rPr>
          <w:rFonts w:hint="cs"/>
          <w:sz w:val="20"/>
          <w:szCs w:val="22"/>
          <w:rtl/>
        </w:rPr>
        <w:t xml:space="preserve">ב. הבנת המציאות </w:t>
      </w:r>
      <w:r w:rsidR="001B22EA" w:rsidRPr="001B22EA">
        <w:rPr>
          <w:rFonts w:hint="cs"/>
          <w:sz w:val="20"/>
          <w:szCs w:val="22"/>
          <w:rtl/>
        </w:rPr>
        <w:t xml:space="preserve">והסיטואציה המדוברת; </w:t>
      </w:r>
      <w:r w:rsidRPr="001B22EA">
        <w:rPr>
          <w:rFonts w:hint="cs"/>
          <w:sz w:val="20"/>
          <w:szCs w:val="22"/>
          <w:rtl/>
        </w:rPr>
        <w:t xml:space="preserve">ג. חשבון נפש אמיתי וכנה לקבוע האם הוא מצידו אכן בקיא בנושא הנידון, והאם אמנם יש לו מה לומר. </w:t>
      </w:r>
    </w:p>
    <w:p w:rsidR="008C311E" w:rsidRPr="001B22EA" w:rsidRDefault="008C311E" w:rsidP="001B22EA">
      <w:pPr>
        <w:pStyle w:val="a8"/>
        <w:ind w:left="360"/>
        <w:rPr>
          <w:sz w:val="20"/>
          <w:szCs w:val="22"/>
          <w:rtl/>
        </w:rPr>
      </w:pPr>
      <w:r w:rsidRPr="009A2D77">
        <w:rPr>
          <w:rFonts w:hint="cs"/>
          <w:sz w:val="20"/>
          <w:szCs w:val="22"/>
          <w:u w:val="single"/>
          <w:rtl/>
        </w:rPr>
        <w:t>הרא"ל קבע, שבמידה מסוימת יש פינה חמה בליבו למונח דעת תורה. הוא זוכר היטב את מפגשיו הרבים עם הגרש"ז אויערבך; "רבע שעה בחדרו של ר' שלמה זלמן - והרגשת הארה שאין כדוגמתה". ובכן, נאנח הרא"ל, אם כל גדולי התורה היו כר' שלמה זלמן, לא היתה לו כל התנגדות למושג דעת תורה.</w:t>
      </w:r>
      <w:r w:rsidRPr="001B22EA">
        <w:rPr>
          <w:rFonts w:hint="cs"/>
          <w:sz w:val="20"/>
          <w:szCs w:val="22"/>
          <w:rtl/>
        </w:rPr>
        <w:t xml:space="preserve"> זאת, משום שהגרש"ז ידע היטב להשיב בעניינים שהוא מצוי בהם, ולומר "איני יודע" בעניינים שאיננו מצוי בהם. גם רש"י - רבן של ישראל - כתב בכמה וכמה מקומות בפירושו לתורה ולתלמוד "איני יודע" (ו</w:t>
      </w:r>
      <w:r w:rsidR="001B22EA" w:rsidRPr="001B22EA">
        <w:rPr>
          <w:rFonts w:hint="cs"/>
          <w:sz w:val="20"/>
          <w:szCs w:val="22"/>
          <w:rtl/>
        </w:rPr>
        <w:t xml:space="preserve">רבי עקיבא איגר </w:t>
      </w:r>
      <w:r w:rsidRPr="001B22EA">
        <w:rPr>
          <w:rFonts w:hint="cs"/>
          <w:sz w:val="20"/>
          <w:szCs w:val="22"/>
          <w:rtl/>
        </w:rPr>
        <w:t xml:space="preserve">טרח לאסוף ולציין את כל אותם מקורות). מי שאין בו היושר והכנות לומר "איני יודע", או "איני מצוי בתחום חיים זה" - ספק רק האם ניתן להתחשב בדעת התורה המושמעת מפיו. </w:t>
      </w:r>
    </w:p>
    <w:p w:rsidR="008C311E" w:rsidRPr="008C311E" w:rsidRDefault="008C311E" w:rsidP="001B22EA">
      <w:pPr>
        <w:pStyle w:val="a8"/>
        <w:ind w:left="360"/>
        <w:rPr>
          <w:rtl/>
        </w:rPr>
      </w:pPr>
      <w:r w:rsidRPr="00A13896">
        <w:rPr>
          <w:rFonts w:hint="cs"/>
          <w:sz w:val="20"/>
          <w:szCs w:val="22"/>
          <w:u w:val="single"/>
          <w:rtl/>
        </w:rPr>
        <w:t>לצערנו הרב, רבים מאלה המשמיעים דעת תורה עניים בדעת בתחומים שונים</w:t>
      </w:r>
      <w:r w:rsidRPr="001B22EA">
        <w:rPr>
          <w:rFonts w:hint="cs"/>
          <w:sz w:val="20"/>
          <w:szCs w:val="22"/>
          <w:rtl/>
        </w:rPr>
        <w:t>. בגמרא בסנהדרין (יז.) נאמר, שיש להעמיד בסנהדרין דיינים הבקיאים בשבעים לשון. הנצי"ב מסביר, שהשליטה בשפות שונות מקנה לדיין חשיפה לתרבויות שונות ולחוכמות שונות. הדיין שאותו מתאר הנצי"ב הינו פתוח, משכיל ורחב אופקים. זאת, בניגוד גמור לדיין המסתגר בד' אמותיו, עד כדי כך שאפילו שפה אחת - השפה העברית - אינה שגורה על לשונו, ובהגיעו לקטע בדברי רש"י העוסק בדקדוקי לשון, הוא נוהג לדלג עליו; וד"ל</w:t>
      </w:r>
      <w:r w:rsidR="001B22EA" w:rsidRPr="001B22EA">
        <w:rPr>
          <w:rFonts w:hint="cs"/>
          <w:sz w:val="20"/>
          <w:szCs w:val="22"/>
          <w:rtl/>
        </w:rPr>
        <w:t>"</w:t>
      </w:r>
      <w:r w:rsidRPr="001B22EA">
        <w:rPr>
          <w:rFonts w:hint="cs"/>
          <w:sz w:val="20"/>
          <w:szCs w:val="22"/>
          <w:rtl/>
        </w:rPr>
        <w:t xml:space="preserve">. </w:t>
      </w:r>
    </w:p>
    <w:p w:rsidR="008C311E" w:rsidRDefault="00E0476F" w:rsidP="00E0476F">
      <w:pPr>
        <w:rPr>
          <w:rtl/>
        </w:rPr>
      </w:pPr>
      <w:r>
        <w:rPr>
          <w:rFonts w:hint="cs"/>
          <w:rtl/>
        </w:rPr>
        <w:t>----</w:t>
      </w:r>
    </w:p>
    <w:p w:rsidR="006D4674" w:rsidRPr="00E0476F" w:rsidRDefault="003A0D19" w:rsidP="00A13896">
      <w:pPr>
        <w:pStyle w:val="a8"/>
        <w:numPr>
          <w:ilvl w:val="0"/>
          <w:numId w:val="1"/>
        </w:numPr>
        <w:rPr>
          <w:rFonts w:cs="Guttman Yad-Brush"/>
          <w:sz w:val="10"/>
          <w:szCs w:val="12"/>
          <w:rtl/>
        </w:rPr>
      </w:pPr>
      <w:r w:rsidRPr="00E0476F">
        <w:rPr>
          <w:rFonts w:cs="Guttman Yad-Brush" w:hint="cs"/>
          <w:b/>
          <w:bCs/>
          <w:sz w:val="10"/>
          <w:szCs w:val="12"/>
          <w:rtl/>
        </w:rPr>
        <w:t>פרופ' בנימין בראון, דוקטרינת דעת תורה</w:t>
      </w:r>
      <w:r w:rsidR="006D4674" w:rsidRPr="00E0476F">
        <w:rPr>
          <w:rFonts w:cs="Guttman Yad-Brush" w:hint="cs"/>
          <w:b/>
          <w:bCs/>
          <w:sz w:val="10"/>
          <w:szCs w:val="12"/>
          <w:rtl/>
        </w:rPr>
        <w:t xml:space="preserve"> </w:t>
      </w:r>
      <w:r w:rsidR="006D4674" w:rsidRPr="00E0476F">
        <w:rPr>
          <w:rFonts w:cs="Guttman Yad-Brush"/>
          <w:b/>
          <w:bCs/>
          <w:sz w:val="10"/>
          <w:szCs w:val="12"/>
          <w:rtl/>
        </w:rPr>
        <w:t>–</w:t>
      </w:r>
      <w:r w:rsidR="006D4674" w:rsidRPr="00E0476F">
        <w:rPr>
          <w:rFonts w:cs="Guttman Yad-Brush" w:hint="cs"/>
          <w:b/>
          <w:bCs/>
          <w:sz w:val="10"/>
          <w:szCs w:val="12"/>
          <w:rtl/>
        </w:rPr>
        <w:t xml:space="preserve"> שלושה שלבים</w:t>
      </w:r>
      <w:r w:rsidRPr="00E0476F">
        <w:rPr>
          <w:rFonts w:cs="Guttman Yad-Brush" w:hint="cs"/>
          <w:b/>
          <w:bCs/>
          <w:sz w:val="10"/>
          <w:szCs w:val="12"/>
          <w:rtl/>
        </w:rPr>
        <w:t>:</w:t>
      </w:r>
      <w:r w:rsidRPr="00E0476F">
        <w:rPr>
          <w:rFonts w:cs="Guttman Yad-Brush" w:hint="cs"/>
          <w:sz w:val="10"/>
          <w:szCs w:val="12"/>
          <w:rtl/>
        </w:rPr>
        <w:t xml:space="preserve"> "מוסכם על החוקרים כי דוקטרינה זו היא חידוש גמור לעומת המקובל בחברה היהודית המסורתית ... דוקטרינת דעת תורה פטרה את גדולי התורה מן החובה להיזקק למקורות ההלכה. הכרעות דעת תורה ניתנות בלא הסתמכות על </w:t>
      </w:r>
      <w:r w:rsidR="006D4674" w:rsidRPr="00E0476F">
        <w:rPr>
          <w:rFonts w:cs="Guttman Yad-Brush" w:hint="cs"/>
          <w:sz w:val="10"/>
          <w:szCs w:val="12"/>
          <w:rtl/>
        </w:rPr>
        <w:t>ט</w:t>
      </w:r>
      <w:r w:rsidR="00A13896" w:rsidRPr="00E0476F">
        <w:rPr>
          <w:rFonts w:cs="Guttman Yad-Brush" w:hint="cs"/>
          <w:sz w:val="10"/>
          <w:szCs w:val="12"/>
          <w:rtl/>
        </w:rPr>
        <w:t xml:space="preserve">קסטים ובלא הנמקה כלשהי </w:t>
      </w:r>
      <w:r w:rsidRPr="00E0476F">
        <w:rPr>
          <w:rFonts w:cs="Guttman Yad-Brush" w:hint="cs"/>
          <w:sz w:val="10"/>
          <w:szCs w:val="12"/>
          <w:rtl/>
        </w:rPr>
        <w:t>... פסק ההלכה המנומק מאפשר לקוראיו מעקב אחר טיעונו של הפוסק, ומנגד הכרעות דעת תורה הוכרזו כעומדות מעל לכל ערעור ... תמורה זו הוצדקה בכך שהכרעות ד</w:t>
      </w:r>
      <w:r w:rsidR="006D4674" w:rsidRPr="00E0476F">
        <w:rPr>
          <w:rFonts w:cs="Guttman Yad-Brush" w:hint="cs"/>
          <w:sz w:val="10"/>
          <w:szCs w:val="12"/>
          <w:rtl/>
        </w:rPr>
        <w:t xml:space="preserve">עת תורה </w:t>
      </w:r>
      <w:r w:rsidRPr="00E0476F">
        <w:rPr>
          <w:rFonts w:cs="Guttman Yad-Brush" w:hint="cs"/>
          <w:sz w:val="10"/>
          <w:szCs w:val="12"/>
          <w:rtl/>
        </w:rPr>
        <w:t xml:space="preserve">נשענות על יכולות על-טבעיות שגדולי התורה ניחנו בהן </w:t>
      </w:r>
      <w:r w:rsidRPr="00E0476F">
        <w:rPr>
          <w:rFonts w:cs="Guttman Yad-Brush"/>
          <w:sz w:val="10"/>
          <w:szCs w:val="12"/>
          <w:rtl/>
        </w:rPr>
        <w:t>–</w:t>
      </w:r>
      <w:r w:rsidRPr="00E0476F">
        <w:rPr>
          <w:rFonts w:cs="Guttman Yad-Brush" w:hint="cs"/>
          <w:sz w:val="10"/>
          <w:szCs w:val="12"/>
          <w:rtl/>
        </w:rPr>
        <w:t xml:space="preserve"> רוח הקודש, השראת שכינה וכו', ולכן אין להחיל עליהן את הגבלותיה של הפסיקה ההלכתית הרגילה ... </w:t>
      </w:r>
    </w:p>
    <w:p w:rsidR="003A0D19" w:rsidRPr="00E0476F" w:rsidRDefault="003A0D19" w:rsidP="006D4674">
      <w:pPr>
        <w:pStyle w:val="a8"/>
        <w:ind w:left="360"/>
        <w:rPr>
          <w:rFonts w:cs="Guttman Yad-Brush"/>
          <w:sz w:val="10"/>
          <w:szCs w:val="12"/>
          <w:rtl/>
        </w:rPr>
      </w:pPr>
      <w:r w:rsidRPr="00E0476F">
        <w:rPr>
          <w:rFonts w:cs="Guttman Yad-Brush" w:hint="cs"/>
          <w:sz w:val="10"/>
          <w:szCs w:val="12"/>
          <w:rtl/>
        </w:rPr>
        <w:t>מבחינה רעיונית עומדת דוקטרינת דעת תורה על שני צירים: א. סמכות החכמים ובכל</w:t>
      </w:r>
      <w:r w:rsidR="006D4674" w:rsidRPr="00E0476F">
        <w:rPr>
          <w:rFonts w:cs="Guttman Yad-Brush" w:hint="cs"/>
          <w:sz w:val="10"/>
          <w:szCs w:val="12"/>
          <w:rtl/>
        </w:rPr>
        <w:t>ל</w:t>
      </w:r>
      <w:r w:rsidRPr="00E0476F">
        <w:rPr>
          <w:rFonts w:cs="Guttman Yad-Brush" w:hint="cs"/>
          <w:sz w:val="10"/>
          <w:szCs w:val="12"/>
          <w:rtl/>
        </w:rPr>
        <w:t xml:space="preserve"> זה חובת הציות להוראותיה: ב. התפיסה שלפיה התורה כוללת תשובה לכל שאלה</w:t>
      </w:r>
      <w:r w:rsidR="006D4674" w:rsidRPr="00E0476F">
        <w:rPr>
          <w:rFonts w:cs="Guttman Yad-Brush" w:hint="cs"/>
          <w:sz w:val="10"/>
          <w:szCs w:val="12"/>
          <w:rtl/>
        </w:rPr>
        <w:t>".</w:t>
      </w:r>
    </w:p>
    <w:p w:rsidR="00E363EE" w:rsidRPr="00E0476F" w:rsidRDefault="00E0476F" w:rsidP="006D4674">
      <w:pPr>
        <w:pStyle w:val="a8"/>
        <w:numPr>
          <w:ilvl w:val="0"/>
          <w:numId w:val="1"/>
        </w:numPr>
        <w:rPr>
          <w:rFonts w:cs="Guttman Yad-Brush"/>
          <w:sz w:val="10"/>
          <w:szCs w:val="12"/>
          <w:rtl/>
        </w:rPr>
      </w:pPr>
      <w:r w:rsidRPr="00E0476F">
        <w:rPr>
          <w:rFonts w:cs="Guttman Yad-Brush"/>
          <w:sz w:val="10"/>
          <w:szCs w:val="12"/>
          <w:rtl/>
        </w:rPr>
        <w:drawing>
          <wp:anchor distT="0" distB="0" distL="114300" distR="114300" simplePos="0" relativeHeight="251658240" behindDoc="1" locked="0" layoutInCell="1" allowOverlap="1" wp14:anchorId="7A6D698E" wp14:editId="5277636C">
            <wp:simplePos x="0" y="0"/>
            <wp:positionH relativeFrom="margin">
              <wp:align>left</wp:align>
            </wp:positionH>
            <wp:positionV relativeFrom="paragraph">
              <wp:posOffset>449580</wp:posOffset>
            </wp:positionV>
            <wp:extent cx="3295650" cy="1476375"/>
            <wp:effectExtent l="0" t="0" r="0" b="9525"/>
            <wp:wrapTight wrapText="bothSides">
              <wp:wrapPolygon edited="0">
                <wp:start x="0" y="0"/>
                <wp:lineTo x="0" y="21461"/>
                <wp:lineTo x="21475" y="21461"/>
                <wp:lineTo x="21475" y="0"/>
                <wp:lineTo x="0" y="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5650" cy="1476375"/>
                    </a:xfrm>
                    <a:prstGeom prst="rect">
                      <a:avLst/>
                    </a:prstGeom>
                  </pic:spPr>
                </pic:pic>
              </a:graphicData>
            </a:graphic>
            <wp14:sizeRelH relativeFrom="page">
              <wp14:pctWidth>0</wp14:pctWidth>
            </wp14:sizeRelH>
            <wp14:sizeRelV relativeFrom="page">
              <wp14:pctHeight>0</wp14:pctHeight>
            </wp14:sizeRelV>
          </wp:anchor>
        </w:drawing>
      </w:r>
      <w:r w:rsidR="006D4674" w:rsidRPr="00E0476F">
        <w:rPr>
          <w:rFonts w:cs="Guttman Yad-Brush" w:hint="cs"/>
          <w:b/>
          <w:bCs/>
          <w:sz w:val="10"/>
          <w:szCs w:val="12"/>
          <w:rtl/>
        </w:rPr>
        <w:t>עלון "גילוי דעת", שבט תשע"ט:</w:t>
      </w:r>
      <w:r w:rsidR="006D4674" w:rsidRPr="00E0476F">
        <w:rPr>
          <w:rFonts w:cs="Guttman Yad-Brush" w:hint="cs"/>
          <w:sz w:val="10"/>
          <w:szCs w:val="12"/>
          <w:rtl/>
        </w:rPr>
        <w:t xml:space="preserve"> "</w:t>
      </w:r>
      <w:r w:rsidR="00E363EE" w:rsidRPr="00E0476F">
        <w:rPr>
          <w:rFonts w:cs="Guttman Yad-Brush"/>
          <w:sz w:val="10"/>
          <w:szCs w:val="12"/>
          <w:rtl/>
        </w:rPr>
        <w:t>אחד הדיונים המרכזיים העולים מדי מערכת בחירות בציונות הדתית וגם לאורך נקודות הכרעה קריטיות במהלך כהונות הכנסות השונות, הוא מידת ההשפעה אותה צריך לתת לרבני המגזר בקבלת ההחלטות הפוליטיות</w:t>
      </w:r>
      <w:r w:rsidR="006D4674" w:rsidRPr="00E0476F">
        <w:rPr>
          <w:rFonts w:cs="Guttman Yad-Brush" w:hint="cs"/>
          <w:sz w:val="10"/>
          <w:szCs w:val="12"/>
          <w:rtl/>
        </w:rPr>
        <w:t>.</w:t>
      </w:r>
      <w:r w:rsidR="006D4674" w:rsidRPr="00E0476F">
        <w:rPr>
          <w:rFonts w:cs="Guttman Yad-Brush"/>
          <w:sz w:val="10"/>
          <w:szCs w:val="12"/>
          <w:rtl/>
        </w:rPr>
        <w:t xml:space="preserve"> </w:t>
      </w:r>
      <w:r w:rsidR="00E363EE" w:rsidRPr="00E0476F">
        <w:rPr>
          <w:rFonts w:cs="Guttman Yad-Brush"/>
          <w:sz w:val="10"/>
          <w:szCs w:val="12"/>
          <w:rtl/>
        </w:rPr>
        <w:t>הדבר קיבל ביטוי משמעותי לאור פרישת נפתלי בנט ואיילת שקד מהבית היהודי כאשר מידת המחויבות לרבנים הועלתה כסיבה מרכזית לפרישה, במיוחד לאחר שראש המל"ל נשלח להפעיל לחץ על הרב חיים דרוקמן שבנט לא יפרוש מהממשלה</w:t>
      </w:r>
      <w:r w:rsidR="006D4674" w:rsidRPr="00E0476F">
        <w:rPr>
          <w:rFonts w:cs="Guttman Yad-Brush" w:hint="cs"/>
          <w:sz w:val="10"/>
          <w:szCs w:val="12"/>
          <w:rtl/>
        </w:rPr>
        <w:t xml:space="preserve">. </w:t>
      </w:r>
      <w:r w:rsidR="00E363EE" w:rsidRPr="00E0476F">
        <w:rPr>
          <w:rFonts w:cs="Guttman Yad-Brush"/>
          <w:sz w:val="10"/>
          <w:szCs w:val="12"/>
          <w:rtl/>
        </w:rPr>
        <w:t>עלון 'גילוי דעת' פנה לפוליטיקאים מרכזיים במגזר הדתי לאומי, בעבר, בהווה וכאלו שמקווים להיות גם בעתיד, ושאל אותם מה מקומם של הרבנים בהנהגת המפלגה? בניגוד למה שאולי היה מצופה התשובות שהתקבלו היו מפתיעות בחלקן. בנט, לא נשאיר אתכם במתח, סרב לענות - "לא עונים בכלל לשאלונים</w:t>
      </w:r>
      <w:r w:rsidR="006D4674" w:rsidRPr="00E0476F">
        <w:rPr>
          <w:rFonts w:cs="Guttman Yad-Brush" w:hint="cs"/>
          <w:sz w:val="10"/>
          <w:szCs w:val="12"/>
          <w:rtl/>
        </w:rPr>
        <w:t>".</w:t>
      </w:r>
    </w:p>
    <w:p w:rsidR="006D4674" w:rsidRPr="00E0476F" w:rsidRDefault="00E363EE" w:rsidP="006D4674">
      <w:pPr>
        <w:pStyle w:val="a8"/>
        <w:ind w:left="360"/>
        <w:rPr>
          <w:rFonts w:cs="Guttman Yad-Brush"/>
          <w:sz w:val="10"/>
          <w:szCs w:val="12"/>
          <w:rtl/>
        </w:rPr>
      </w:pPr>
      <w:r w:rsidRPr="00E0476F">
        <w:rPr>
          <w:rFonts w:cs="Guttman Yad-Brush"/>
          <w:sz w:val="10"/>
          <w:szCs w:val="12"/>
          <w:rtl/>
        </w:rPr>
        <w:t>שר החקלאות אורי אריאל</w:t>
      </w:r>
      <w:r w:rsidR="006D4674" w:rsidRPr="00E0476F">
        <w:rPr>
          <w:rFonts w:cs="Guttman Yad-Brush" w:hint="cs"/>
          <w:sz w:val="10"/>
          <w:szCs w:val="12"/>
          <w:rtl/>
        </w:rPr>
        <w:t xml:space="preserve">: </w:t>
      </w:r>
      <w:r w:rsidRPr="00E0476F">
        <w:rPr>
          <w:rFonts w:cs="Guttman Yad-Brush"/>
          <w:sz w:val="10"/>
          <w:szCs w:val="12"/>
          <w:rtl/>
        </w:rPr>
        <w:t>"לרבני המפלגה יש מקום ייחודי ומהותי במפלגה; הם הרוח והדעת, והם יודעים את דעת תורה. את דעתם יש לשמוע בעניינים רבים שנמצאים על סדר היום שאנו מקדמים</w:t>
      </w:r>
      <w:r w:rsidR="006D4674" w:rsidRPr="00E0476F">
        <w:rPr>
          <w:rFonts w:cs="Guttman Yad-Brush" w:hint="cs"/>
          <w:sz w:val="10"/>
          <w:szCs w:val="12"/>
          <w:rtl/>
        </w:rPr>
        <w:t xml:space="preserve">" ... </w:t>
      </w:r>
    </w:p>
    <w:p w:rsidR="00E363EE" w:rsidRPr="00E0476F" w:rsidRDefault="00E363EE" w:rsidP="006D4674">
      <w:pPr>
        <w:pStyle w:val="a8"/>
        <w:ind w:left="360"/>
        <w:rPr>
          <w:rFonts w:cs="Guttman Yad-Brush"/>
          <w:sz w:val="10"/>
          <w:szCs w:val="12"/>
          <w:rtl/>
        </w:rPr>
      </w:pPr>
      <w:r w:rsidRPr="00E0476F">
        <w:rPr>
          <w:rFonts w:cs="Guttman Yad-Brush"/>
          <w:sz w:val="10"/>
          <w:szCs w:val="12"/>
          <w:rtl/>
        </w:rPr>
        <w:t>סגן שר הביטחון הרב אלי בן דהן:</w:t>
      </w:r>
      <w:r w:rsidR="006D4674" w:rsidRPr="00E0476F">
        <w:rPr>
          <w:rFonts w:cs="Guttman Yad-Brush" w:hint="cs"/>
          <w:sz w:val="10"/>
          <w:szCs w:val="12"/>
          <w:rtl/>
        </w:rPr>
        <w:t xml:space="preserve"> </w:t>
      </w:r>
      <w:r w:rsidRPr="00E0476F">
        <w:rPr>
          <w:rFonts w:cs="Guttman Yad-Brush"/>
          <w:sz w:val="10"/>
          <w:szCs w:val="12"/>
          <w:rtl/>
        </w:rPr>
        <w:t>"בארבע השנים האחרונות קיבלה עליה סיעת הבית היהוד</w:t>
      </w:r>
      <w:r w:rsidR="006D4674" w:rsidRPr="00E0476F">
        <w:rPr>
          <w:rFonts w:cs="Guttman Yad-Brush"/>
          <w:sz w:val="10"/>
          <w:szCs w:val="12"/>
          <w:rtl/>
        </w:rPr>
        <w:t>י להתייעץ עם רבני הציונות הדתית</w:t>
      </w:r>
      <w:r w:rsidR="006D4674" w:rsidRPr="00E0476F">
        <w:rPr>
          <w:rFonts w:cs="Guttman Yad-Brush" w:hint="cs"/>
          <w:sz w:val="10"/>
          <w:szCs w:val="12"/>
          <w:rtl/>
        </w:rPr>
        <w:t xml:space="preserve"> ... </w:t>
      </w:r>
      <w:r w:rsidRPr="00E0476F">
        <w:rPr>
          <w:rFonts w:cs="Guttman Yad-Brush"/>
          <w:sz w:val="10"/>
          <w:szCs w:val="12"/>
          <w:rtl/>
        </w:rPr>
        <w:t>פעם בחודש ישבתי כנציג הסיעה עם הרבנים ודנו בנושאים שנוגעים לענייני דת ומדינה, ענייני חינוך וכל נושא שהרבנים רצו שסיעת הבית היהודי תיתן את דעתה עליהם. זהו דגם נכון וראוי</w:t>
      </w:r>
      <w:r w:rsidR="006D4674" w:rsidRPr="00E0476F">
        <w:rPr>
          <w:rFonts w:cs="Guttman Yad-Brush" w:hint="cs"/>
          <w:sz w:val="10"/>
          <w:szCs w:val="12"/>
          <w:rtl/>
        </w:rPr>
        <w:t xml:space="preserve"> ... </w:t>
      </w:r>
      <w:r w:rsidRPr="00E0476F">
        <w:rPr>
          <w:rFonts w:cs="Guttman Yad-Brush"/>
          <w:sz w:val="10"/>
          <w:szCs w:val="12"/>
          <w:rtl/>
        </w:rPr>
        <w:t>איני רואה מקום שהרבנים יהיו מעורבים במהלכים פוליטיים או במינויים פוליטיים או בהתערבות מי יעמוד בראש הרשימה או בהרכב הרשימה עצמה. אני יכול לומר חד-משמעית שלא הייתה פעם אחת שהסיעה לא שמעה לדעת הרבנים, ובהזדמנות זו אני מודה לרבנים על הזמן שהקדישו להדרכת סיעת הבית היהודי".</w:t>
      </w:r>
    </w:p>
    <w:p w:rsidR="00E363EE" w:rsidRPr="00E0476F" w:rsidRDefault="00E363EE" w:rsidP="00AC7DCE">
      <w:pPr>
        <w:pStyle w:val="a8"/>
        <w:ind w:left="360"/>
        <w:rPr>
          <w:rFonts w:cs="Guttman Yad-Brush"/>
          <w:sz w:val="10"/>
          <w:szCs w:val="12"/>
          <w:rtl/>
        </w:rPr>
      </w:pPr>
      <w:r w:rsidRPr="00E0476F">
        <w:rPr>
          <w:rFonts w:cs="Guttman Yad-Brush"/>
          <w:sz w:val="10"/>
          <w:szCs w:val="12"/>
          <w:rtl/>
        </w:rPr>
        <w:t>סגנית שר החוץ חברת הכנסת ציפי חוטובלי:</w:t>
      </w:r>
      <w:r w:rsidR="006D4674" w:rsidRPr="00E0476F">
        <w:rPr>
          <w:rFonts w:cs="Guttman Yad-Brush" w:hint="cs"/>
          <w:sz w:val="10"/>
          <w:szCs w:val="12"/>
          <w:rtl/>
        </w:rPr>
        <w:t xml:space="preserve"> </w:t>
      </w:r>
      <w:r w:rsidRPr="00E0476F">
        <w:rPr>
          <w:rFonts w:cs="Guttman Yad-Brush"/>
          <w:sz w:val="10"/>
          <w:szCs w:val="12"/>
          <w:rtl/>
        </w:rPr>
        <w:t>"לרבנים יש תפקיד חשוב בהנהגה הרוחנית של הציבור הישראלי, אך יש לזכור שהמערכת הפוליטית דורשת מנהיגות מסוג אחר. חכמי ישראל לאורך הדורות ראו זאת כחלק מההפרדה הברורה בין כהונה למלכות</w:t>
      </w:r>
      <w:r w:rsidR="006D4674" w:rsidRPr="00E0476F">
        <w:rPr>
          <w:rFonts w:cs="Guttman Yad-Brush" w:hint="cs"/>
          <w:sz w:val="10"/>
          <w:szCs w:val="12"/>
          <w:rtl/>
        </w:rPr>
        <w:t xml:space="preserve">. </w:t>
      </w:r>
      <w:r w:rsidRPr="00E0476F">
        <w:rPr>
          <w:rFonts w:cs="Guttman Yad-Brush"/>
          <w:sz w:val="10"/>
          <w:szCs w:val="12"/>
          <w:rtl/>
        </w:rPr>
        <w:t>המהר"ל מפראג אמר כי כהונה ומלוכה הן שני כתרים, והמוכן לאחד אינו מוכן לשני. באופן מעשי הפוליטיקה דורשת כישורים של מדינאות ומעשה</w:t>
      </w:r>
      <w:r w:rsidR="006D4674" w:rsidRPr="00E0476F">
        <w:rPr>
          <w:rFonts w:cs="Guttman Yad-Brush" w:hint="cs"/>
          <w:sz w:val="10"/>
          <w:szCs w:val="12"/>
          <w:rtl/>
        </w:rPr>
        <w:t xml:space="preserve"> ... </w:t>
      </w:r>
      <w:r w:rsidRPr="00E0476F">
        <w:rPr>
          <w:rFonts w:cs="Guttman Yad-Brush"/>
          <w:sz w:val="10"/>
          <w:szCs w:val="12"/>
          <w:rtl/>
        </w:rPr>
        <w:t>תפקידו של הרב הוא לפתח את התורה בבית המדרש ולהפיץ אותה, ותפקיד המנהיג הוא לתת מענה מעשי לסוגיות מדיניות, ביטחוניות וכלכליות על פי אמות המוסר שלנו כאומה יהודית</w:t>
      </w:r>
      <w:r w:rsidR="006D4674" w:rsidRPr="00E0476F">
        <w:rPr>
          <w:rFonts w:cs="Guttman Yad-Brush" w:hint="cs"/>
          <w:sz w:val="10"/>
          <w:szCs w:val="12"/>
          <w:rtl/>
        </w:rPr>
        <w:t>".</w:t>
      </w:r>
    </w:p>
    <w:sectPr w:rsidR="00E363EE" w:rsidRPr="00E0476F" w:rsidSect="001B22EA">
      <w:pgSz w:w="11906" w:h="16838"/>
      <w:pgMar w:top="720" w:right="720" w:bottom="568"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5AE" w:rsidRDefault="009665AE" w:rsidP="001250C8">
      <w:pPr>
        <w:spacing w:line="240" w:lineRule="auto"/>
      </w:pPr>
      <w:r>
        <w:separator/>
      </w:r>
    </w:p>
  </w:endnote>
  <w:endnote w:type="continuationSeparator" w:id="0">
    <w:p w:rsidR="009665AE" w:rsidRDefault="009665AE"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5AE" w:rsidRDefault="009665AE" w:rsidP="001250C8">
      <w:pPr>
        <w:spacing w:line="240" w:lineRule="auto"/>
      </w:pPr>
      <w:r>
        <w:separator/>
      </w:r>
    </w:p>
  </w:footnote>
  <w:footnote w:type="continuationSeparator" w:id="0">
    <w:p w:rsidR="009665AE" w:rsidRDefault="009665AE"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D150A9"/>
    <w:multiLevelType w:val="hybridMultilevel"/>
    <w:tmpl w:val="0956612E"/>
    <w:lvl w:ilvl="0" w:tplc="9474B93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64C"/>
    <w:rsid w:val="000E117E"/>
    <w:rsid w:val="000F46A0"/>
    <w:rsid w:val="001250C8"/>
    <w:rsid w:val="001333CB"/>
    <w:rsid w:val="00147F87"/>
    <w:rsid w:val="001B22EA"/>
    <w:rsid w:val="002E1DB7"/>
    <w:rsid w:val="003A0D19"/>
    <w:rsid w:val="00501EF7"/>
    <w:rsid w:val="00633934"/>
    <w:rsid w:val="00656813"/>
    <w:rsid w:val="006932E1"/>
    <w:rsid w:val="006A29B5"/>
    <w:rsid w:val="006D4674"/>
    <w:rsid w:val="007703FE"/>
    <w:rsid w:val="008A0A58"/>
    <w:rsid w:val="008C311E"/>
    <w:rsid w:val="009665AE"/>
    <w:rsid w:val="009A2D77"/>
    <w:rsid w:val="009D4C79"/>
    <w:rsid w:val="00A13896"/>
    <w:rsid w:val="00A13A6B"/>
    <w:rsid w:val="00A33ACA"/>
    <w:rsid w:val="00AC7DCE"/>
    <w:rsid w:val="00B45A22"/>
    <w:rsid w:val="00C873C4"/>
    <w:rsid w:val="00C96126"/>
    <w:rsid w:val="00D57D54"/>
    <w:rsid w:val="00E0476F"/>
    <w:rsid w:val="00E363EE"/>
    <w:rsid w:val="00E3764C"/>
    <w:rsid w:val="00E93D7D"/>
    <w:rsid w:val="00F22F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CC7AC-BEA3-498B-84BC-AE806E1A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semiHidden/>
    <w:unhideWhenUsed/>
    <w:rsid w:val="001250C8"/>
    <w:rPr>
      <w:vertAlign w:val="superscript"/>
    </w:rPr>
  </w:style>
  <w:style w:type="paragraph" w:styleId="NormalWeb">
    <w:name w:val="Normal (Web)"/>
    <w:basedOn w:val="a"/>
    <w:uiPriority w:val="99"/>
    <w:semiHidden/>
    <w:unhideWhenUsed/>
    <w:rsid w:val="00E363EE"/>
    <w:pPr>
      <w:bidi w:val="0"/>
      <w:spacing w:before="100" w:beforeAutospacing="1" w:after="100" w:afterAutospacing="1" w:line="240" w:lineRule="auto"/>
      <w:jc w:val="left"/>
    </w:pPr>
    <w:rPr>
      <w:rFonts w:ascii="Times New Roman" w:eastAsia="Times New Roman" w:hAnsi="Times New Roman" w:cs="Times New Roman"/>
      <w:sz w:val="24"/>
    </w:rPr>
  </w:style>
  <w:style w:type="paragraph" w:styleId="a8">
    <w:name w:val="List Paragraph"/>
    <w:basedOn w:val="a"/>
    <w:uiPriority w:val="34"/>
    <w:qFormat/>
    <w:rsid w:val="006D4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998078">
      <w:bodyDiv w:val="1"/>
      <w:marLeft w:val="0"/>
      <w:marRight w:val="0"/>
      <w:marTop w:val="0"/>
      <w:marBottom w:val="0"/>
      <w:divBdr>
        <w:top w:val="none" w:sz="0" w:space="0" w:color="auto"/>
        <w:left w:val="none" w:sz="0" w:space="0" w:color="auto"/>
        <w:bottom w:val="none" w:sz="0" w:space="0" w:color="auto"/>
        <w:right w:val="none" w:sz="0" w:space="0" w:color="auto"/>
      </w:divBdr>
      <w:divsChild>
        <w:div w:id="1740711455">
          <w:marLeft w:val="0"/>
          <w:marRight w:val="0"/>
          <w:marTop w:val="0"/>
          <w:marBottom w:val="300"/>
          <w:divBdr>
            <w:top w:val="none" w:sz="0" w:space="0" w:color="auto"/>
            <w:left w:val="none" w:sz="0" w:space="0" w:color="auto"/>
            <w:bottom w:val="none" w:sz="0" w:space="0" w:color="auto"/>
            <w:right w:val="none" w:sz="0" w:space="0" w:color="auto"/>
          </w:divBdr>
          <w:divsChild>
            <w:div w:id="654845200">
              <w:marLeft w:val="0"/>
              <w:marRight w:val="0"/>
              <w:marTop w:val="0"/>
              <w:marBottom w:val="0"/>
              <w:divBdr>
                <w:top w:val="none" w:sz="0" w:space="0" w:color="auto"/>
                <w:left w:val="none" w:sz="0" w:space="0" w:color="auto"/>
                <w:bottom w:val="none" w:sz="0" w:space="0" w:color="auto"/>
                <w:right w:val="none" w:sz="0" w:space="0" w:color="auto"/>
              </w:divBdr>
              <w:divsChild>
                <w:div w:id="262803175">
                  <w:marLeft w:val="0"/>
                  <w:marRight w:val="0"/>
                  <w:marTop w:val="0"/>
                  <w:marBottom w:val="0"/>
                  <w:divBdr>
                    <w:top w:val="none" w:sz="0" w:space="0" w:color="auto"/>
                    <w:left w:val="none" w:sz="0" w:space="0" w:color="auto"/>
                    <w:bottom w:val="none" w:sz="0" w:space="0" w:color="auto"/>
                    <w:right w:val="none" w:sz="0" w:space="0" w:color="auto"/>
                  </w:divBdr>
                  <w:divsChild>
                    <w:div w:id="1831477871">
                      <w:marLeft w:val="0"/>
                      <w:marRight w:val="0"/>
                      <w:marTop w:val="0"/>
                      <w:marBottom w:val="0"/>
                      <w:divBdr>
                        <w:top w:val="none" w:sz="0" w:space="0" w:color="auto"/>
                        <w:left w:val="none" w:sz="0" w:space="0" w:color="auto"/>
                        <w:bottom w:val="none" w:sz="0" w:space="0" w:color="auto"/>
                        <w:right w:val="none" w:sz="0" w:space="0" w:color="auto"/>
                      </w:divBdr>
                      <w:divsChild>
                        <w:div w:id="3442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745231">
      <w:bodyDiv w:val="1"/>
      <w:marLeft w:val="0"/>
      <w:marRight w:val="0"/>
      <w:marTop w:val="0"/>
      <w:marBottom w:val="0"/>
      <w:divBdr>
        <w:top w:val="none" w:sz="0" w:space="0" w:color="auto"/>
        <w:left w:val="none" w:sz="0" w:space="0" w:color="auto"/>
        <w:bottom w:val="none" w:sz="0" w:space="0" w:color="auto"/>
        <w:right w:val="none" w:sz="0" w:space="0" w:color="auto"/>
      </w:divBdr>
      <w:divsChild>
        <w:div w:id="1942640458">
          <w:marLeft w:val="0"/>
          <w:marRight w:val="0"/>
          <w:marTop w:val="0"/>
          <w:marBottom w:val="0"/>
          <w:divBdr>
            <w:top w:val="none" w:sz="0" w:space="0" w:color="auto"/>
            <w:left w:val="none" w:sz="0" w:space="0" w:color="auto"/>
            <w:bottom w:val="none" w:sz="0" w:space="0" w:color="auto"/>
            <w:right w:val="none" w:sz="0" w:space="0" w:color="auto"/>
          </w:divBdr>
          <w:divsChild>
            <w:div w:id="13315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4874">
      <w:bodyDiv w:val="1"/>
      <w:marLeft w:val="0"/>
      <w:marRight w:val="0"/>
      <w:marTop w:val="0"/>
      <w:marBottom w:val="0"/>
      <w:divBdr>
        <w:top w:val="none" w:sz="0" w:space="0" w:color="auto"/>
        <w:left w:val="none" w:sz="0" w:space="0" w:color="auto"/>
        <w:bottom w:val="none" w:sz="0" w:space="0" w:color="auto"/>
        <w:right w:val="none" w:sz="0" w:space="0" w:color="auto"/>
      </w:divBdr>
      <w:divsChild>
        <w:div w:id="539249268">
          <w:marLeft w:val="0"/>
          <w:marRight w:val="0"/>
          <w:marTop w:val="0"/>
          <w:marBottom w:val="0"/>
          <w:divBdr>
            <w:top w:val="none" w:sz="0" w:space="0" w:color="auto"/>
            <w:left w:val="none" w:sz="0" w:space="0" w:color="auto"/>
            <w:bottom w:val="none" w:sz="0" w:space="0" w:color="auto"/>
            <w:right w:val="none" w:sz="0" w:space="0" w:color="auto"/>
          </w:divBdr>
          <w:divsChild>
            <w:div w:id="5647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אודי</Template>
  <TotalTime>96</TotalTime>
  <Pages>2</Pages>
  <Words>1582</Words>
  <Characters>7914</Characters>
  <Application>Microsoft Office Word</Application>
  <DocSecurity>0</DocSecurity>
  <Lines>65</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2019-02-26T14:48:00Z</dcterms:created>
  <dcterms:modified xsi:type="dcterms:W3CDTF">2026-07-28T15:36:00Z</dcterms:modified>
</cp:coreProperties>
</file>