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E313F" w:rsidRDefault="00B45A22" w:rsidP="00024877">
      <w:pPr>
        <w:rPr>
          <w:rtl/>
        </w:rPr>
      </w:pPr>
      <w:r w:rsidRPr="001250C8">
        <w:rPr>
          <w:rFonts w:hint="cs"/>
          <w:rtl/>
        </w:rPr>
        <w:t>בס"ד</w:t>
      </w:r>
      <w:r w:rsidR="009E313F">
        <w:rPr>
          <w:rFonts w:hint="cs"/>
          <w:rtl/>
        </w:rPr>
        <w:t xml:space="preserve">, </w:t>
      </w:r>
      <w:r w:rsidR="00024877">
        <w:rPr>
          <w:rFonts w:hint="cs"/>
          <w:rtl/>
        </w:rPr>
        <w:t>מנחם אב תשפ"ו</w:t>
      </w:r>
    </w:p>
    <w:p w:rsidR="00F877CD" w:rsidRDefault="00E05DAB" w:rsidP="00126215">
      <w:pPr>
        <w:pStyle w:val="a3"/>
        <w:rPr>
          <w:rtl/>
        </w:rPr>
      </w:pPr>
      <w:r>
        <w:rPr>
          <w:rFonts w:hint="cs"/>
          <w:rtl/>
        </w:rPr>
        <w:t>חולין ד</w:t>
      </w:r>
      <w:r w:rsidR="00126215">
        <w:rPr>
          <w:rFonts w:hint="cs"/>
          <w:rtl/>
        </w:rPr>
        <w:t>ף</w:t>
      </w:r>
      <w:r>
        <w:rPr>
          <w:rFonts w:hint="cs"/>
          <w:rtl/>
        </w:rPr>
        <w:t xml:space="preserve"> ק"ד, </w:t>
      </w:r>
      <w:r w:rsidR="009E313F">
        <w:rPr>
          <w:rFonts w:hint="cs"/>
          <w:rtl/>
        </w:rPr>
        <w:t xml:space="preserve">פתיחה לפרק כל הבשר </w:t>
      </w:r>
    </w:p>
    <w:p w:rsidR="009E313F" w:rsidRDefault="007C6754" w:rsidP="009E313F">
      <w:pPr>
        <w:pStyle w:val="a3"/>
        <w:rPr>
          <w:rtl/>
        </w:rPr>
      </w:pPr>
      <w:r w:rsidRPr="007C6754">
        <w:rPr>
          <w:rFonts w:hint="cs"/>
          <w:noProof/>
          <w:sz w:val="22"/>
          <w:szCs w:val="26"/>
          <w:rtl/>
        </w:rPr>
        <mc:AlternateContent>
          <mc:Choice Requires="wps">
            <w:drawing>
              <wp:anchor distT="0" distB="0" distL="114300" distR="114300" simplePos="0" relativeHeight="251659264" behindDoc="0" locked="0" layoutInCell="1" allowOverlap="1">
                <wp:simplePos x="0" y="0"/>
                <wp:positionH relativeFrom="column">
                  <wp:posOffset>3361465</wp:posOffset>
                </wp:positionH>
                <wp:positionV relativeFrom="paragraph">
                  <wp:posOffset>304836</wp:posOffset>
                </wp:positionV>
                <wp:extent cx="6275" cy="3257177"/>
                <wp:effectExtent l="19050" t="19050" r="32385" b="19685"/>
                <wp:wrapNone/>
                <wp:docPr id="1" name="מחבר ישר 1"/>
                <wp:cNvGraphicFramePr/>
                <a:graphic xmlns:a="http://schemas.openxmlformats.org/drawingml/2006/main">
                  <a:graphicData uri="http://schemas.microsoft.com/office/word/2010/wordprocessingShape">
                    <wps:wsp>
                      <wps:cNvCnPr/>
                      <wps:spPr>
                        <a:xfrm>
                          <a:off x="0" y="0"/>
                          <a:ext cx="6275" cy="3257177"/>
                        </a:xfrm>
                        <a:prstGeom prst="line">
                          <a:avLst/>
                        </a:prstGeom>
                        <a:ln w="28575"/>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722571F" id="מחבר ישר 1" o:spid="_x0000_s1026" style="position:absolute;left:0;text-align:lef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64.7pt,24pt" to="265.2pt,280.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" strokecolor="#5b9bd5 [3204]" strokeweight="2.25pt">
                <v:stroke joinstyle="miter"/>
              </v:line>
            </w:pict>
          </mc:Fallback>
        </mc:AlternateContent>
      </w:r>
      <w:r w:rsidRPr="007C6754">
        <w:rPr>
          <w:rFonts w:hint="cs"/>
          <w:sz w:val="22"/>
          <w:szCs w:val="26"/>
          <w:rtl/>
        </w:rPr>
        <w:t xml:space="preserve">א. </w:t>
      </w:r>
      <w:r w:rsidR="009E313F" w:rsidRPr="007C6754">
        <w:rPr>
          <w:rFonts w:hint="cs"/>
          <w:sz w:val="22"/>
          <w:szCs w:val="26"/>
          <w:rtl/>
        </w:rPr>
        <w:t>מיפוי וסקירת הנושאים בפרק</w:t>
      </w:r>
    </w:p>
    <w:p w:rsidR="007C6754" w:rsidRDefault="007C6754" w:rsidP="009E313F">
      <w:pPr>
        <w:rPr>
          <w:b/>
          <w:bCs/>
          <w:rtl/>
        </w:rPr>
        <w:sectPr w:rsidR="007C6754" w:rsidSect="00F877CD">
          <w:pgSz w:w="11906" w:h="16838"/>
          <w:pgMar w:top="720" w:right="720" w:bottom="426" w:left="720" w:header="708" w:footer="708" w:gutter="0"/>
          <w:cols w:space="708"/>
          <w:bidi/>
          <w:rtlGutter/>
          <w:docGrid w:linePitch="360"/>
        </w:sectPr>
      </w:pPr>
    </w:p>
    <w:p w:rsidR="009E313F" w:rsidRPr="007C6754" w:rsidRDefault="009E313F" w:rsidP="009E313F">
      <w:pPr>
        <w:rPr>
          <w:b/>
          <w:bCs/>
          <w:sz w:val="20"/>
          <w:szCs w:val="22"/>
          <w:rtl/>
        </w:rPr>
      </w:pPr>
      <w:r w:rsidRPr="007C6754">
        <w:rPr>
          <w:rFonts w:hint="cs"/>
          <w:b/>
          <w:bCs/>
          <w:sz w:val="20"/>
          <w:szCs w:val="22"/>
          <w:rtl/>
        </w:rPr>
        <w:lastRenderedPageBreak/>
        <w:t>א. איסורי בשר בחלב</w:t>
      </w:r>
    </w:p>
    <w:p w:rsidR="009E313F" w:rsidRPr="007C6754" w:rsidRDefault="009E313F" w:rsidP="007C6754">
      <w:pPr>
        <w:ind w:firstLine="201"/>
        <w:rPr>
          <w:sz w:val="20"/>
          <w:szCs w:val="22"/>
          <w:rtl/>
        </w:rPr>
      </w:pPr>
      <w:r w:rsidRPr="007C6754">
        <w:rPr>
          <w:rFonts w:hint="cs"/>
          <w:sz w:val="20"/>
          <w:szCs w:val="22"/>
          <w:rtl/>
        </w:rPr>
        <w:t xml:space="preserve">בישול \ אכילה \ הנאה </w:t>
      </w:r>
      <w:r w:rsidRPr="007C6754">
        <w:rPr>
          <w:sz w:val="20"/>
          <w:szCs w:val="22"/>
          <w:rtl/>
        </w:rPr>
        <w:t>–</w:t>
      </w:r>
      <w:r w:rsidRPr="007C6754">
        <w:rPr>
          <w:rFonts w:hint="cs"/>
          <w:sz w:val="20"/>
          <w:szCs w:val="22"/>
          <w:rtl/>
        </w:rPr>
        <w:t xml:space="preserve"> והיחס ביניהם.</w:t>
      </w:r>
    </w:p>
    <w:p w:rsidR="009E313F" w:rsidRPr="007C6754" w:rsidRDefault="009E313F" w:rsidP="009E313F">
      <w:pPr>
        <w:rPr>
          <w:sz w:val="20"/>
          <w:szCs w:val="22"/>
          <w:rtl/>
        </w:rPr>
      </w:pPr>
    </w:p>
    <w:p w:rsidR="009E313F" w:rsidRPr="007C6754" w:rsidRDefault="009E313F" w:rsidP="009E313F">
      <w:pPr>
        <w:rPr>
          <w:b/>
          <w:bCs/>
          <w:sz w:val="20"/>
          <w:szCs w:val="22"/>
          <w:rtl/>
        </w:rPr>
      </w:pPr>
      <w:r w:rsidRPr="007C6754">
        <w:rPr>
          <w:rFonts w:hint="cs"/>
          <w:b/>
          <w:bCs/>
          <w:sz w:val="20"/>
          <w:szCs w:val="22"/>
          <w:rtl/>
        </w:rPr>
        <w:t>ב. הגדרת האיסור</w:t>
      </w:r>
    </w:p>
    <w:p w:rsidR="009E313F" w:rsidRPr="007C6754" w:rsidRDefault="009E313F" w:rsidP="007C6754">
      <w:pPr>
        <w:ind w:firstLine="201"/>
        <w:rPr>
          <w:sz w:val="20"/>
          <w:szCs w:val="22"/>
          <w:rtl/>
        </w:rPr>
      </w:pPr>
      <w:r w:rsidRPr="007C6754">
        <w:rPr>
          <w:rFonts w:hint="cs"/>
          <w:b/>
          <w:bCs/>
          <w:sz w:val="20"/>
          <w:szCs w:val="22"/>
          <w:rtl/>
        </w:rPr>
        <w:t xml:space="preserve">1. הבשר </w:t>
      </w:r>
      <w:r w:rsidRPr="007C6754">
        <w:rPr>
          <w:b/>
          <w:bCs/>
          <w:sz w:val="20"/>
          <w:szCs w:val="22"/>
          <w:rtl/>
        </w:rPr>
        <w:t>–</w:t>
      </w:r>
      <w:r w:rsidRPr="007C6754">
        <w:rPr>
          <w:rFonts w:hint="cs"/>
          <w:b/>
          <w:bCs/>
          <w:sz w:val="20"/>
          <w:szCs w:val="22"/>
          <w:rtl/>
        </w:rPr>
        <w:t xml:space="preserve"> </w:t>
      </w:r>
      <w:r w:rsidRPr="007C6754">
        <w:rPr>
          <w:rFonts w:hint="cs"/>
          <w:sz w:val="20"/>
          <w:szCs w:val="22"/>
          <w:rtl/>
        </w:rPr>
        <w:t xml:space="preserve">בהמה, חיה, עוף, דגים. </w:t>
      </w:r>
    </w:p>
    <w:p w:rsidR="009E313F" w:rsidRPr="007C6754" w:rsidRDefault="009E313F" w:rsidP="007C6754">
      <w:pPr>
        <w:ind w:firstLine="201"/>
        <w:rPr>
          <w:sz w:val="20"/>
          <w:szCs w:val="22"/>
          <w:rtl/>
        </w:rPr>
      </w:pPr>
      <w:r w:rsidRPr="007C6754">
        <w:rPr>
          <w:rFonts w:hint="cs"/>
          <w:b/>
          <w:bCs/>
          <w:sz w:val="20"/>
          <w:szCs w:val="22"/>
          <w:rtl/>
        </w:rPr>
        <w:t xml:space="preserve">2. החלב </w:t>
      </w:r>
      <w:r w:rsidRPr="007C6754">
        <w:rPr>
          <w:b/>
          <w:bCs/>
          <w:sz w:val="20"/>
          <w:szCs w:val="22"/>
          <w:rtl/>
        </w:rPr>
        <w:t>–</w:t>
      </w:r>
      <w:r w:rsidRPr="007C6754">
        <w:rPr>
          <w:rFonts w:hint="cs"/>
          <w:b/>
          <w:bCs/>
          <w:sz w:val="20"/>
          <w:szCs w:val="22"/>
          <w:rtl/>
        </w:rPr>
        <w:t xml:space="preserve"> </w:t>
      </w:r>
      <w:r w:rsidRPr="007C6754">
        <w:rPr>
          <w:rFonts w:hint="cs"/>
          <w:sz w:val="20"/>
          <w:szCs w:val="22"/>
          <w:rtl/>
        </w:rPr>
        <w:t xml:space="preserve">בין חלב ל"מי חלב". </w:t>
      </w:r>
    </w:p>
    <w:p w:rsidR="009E313F" w:rsidRPr="007C6754" w:rsidRDefault="009E313F" w:rsidP="007C6754">
      <w:pPr>
        <w:ind w:firstLine="201"/>
        <w:rPr>
          <w:b/>
          <w:bCs/>
          <w:sz w:val="20"/>
          <w:szCs w:val="22"/>
          <w:rtl/>
        </w:rPr>
      </w:pPr>
      <w:r w:rsidRPr="007C6754">
        <w:rPr>
          <w:rFonts w:hint="cs"/>
          <w:b/>
          <w:bCs/>
          <w:sz w:val="20"/>
          <w:szCs w:val="22"/>
          <w:rtl/>
        </w:rPr>
        <w:t>3. התערובת בין שניהם:</w:t>
      </w:r>
    </w:p>
    <w:p w:rsidR="009E313F" w:rsidRPr="007C6754" w:rsidRDefault="009E313F" w:rsidP="007C6754">
      <w:pPr>
        <w:ind w:firstLine="343"/>
        <w:rPr>
          <w:b/>
          <w:bCs/>
          <w:sz w:val="20"/>
          <w:szCs w:val="22"/>
          <w:rtl/>
        </w:rPr>
      </w:pPr>
      <w:r w:rsidRPr="007C6754">
        <w:rPr>
          <w:rFonts w:hint="cs"/>
          <w:b/>
          <w:bCs/>
          <w:sz w:val="20"/>
          <w:szCs w:val="22"/>
          <w:rtl/>
        </w:rPr>
        <w:t xml:space="preserve">א. אופן העירוב: </w:t>
      </w:r>
    </w:p>
    <w:p w:rsidR="009E313F" w:rsidRPr="007C6754" w:rsidRDefault="009E313F" w:rsidP="007C6754">
      <w:pPr>
        <w:ind w:left="343"/>
        <w:rPr>
          <w:sz w:val="20"/>
          <w:szCs w:val="22"/>
          <w:rtl/>
        </w:rPr>
      </w:pPr>
      <w:r w:rsidRPr="007C6754">
        <w:rPr>
          <w:rFonts w:hint="cs"/>
          <w:sz w:val="20"/>
          <w:szCs w:val="22"/>
          <w:rtl/>
        </w:rPr>
        <w:t xml:space="preserve">1. בישול: טיגון, בישול אחר בישול, בישול בחמי טבריה ועוד. </w:t>
      </w:r>
    </w:p>
    <w:p w:rsidR="009E313F" w:rsidRPr="007C6754" w:rsidRDefault="009E313F" w:rsidP="007C6754">
      <w:pPr>
        <w:ind w:firstLine="343"/>
        <w:rPr>
          <w:sz w:val="20"/>
          <w:szCs w:val="22"/>
          <w:rtl/>
        </w:rPr>
      </w:pPr>
      <w:r w:rsidRPr="007C6754">
        <w:rPr>
          <w:rFonts w:hint="cs"/>
          <w:sz w:val="20"/>
          <w:szCs w:val="22"/>
          <w:rtl/>
        </w:rPr>
        <w:t xml:space="preserve">2. חליפי בישול: מליח, כבוש ועוד. </w:t>
      </w:r>
    </w:p>
    <w:p w:rsidR="009E313F" w:rsidRPr="007C6754" w:rsidRDefault="009E313F" w:rsidP="007C6754">
      <w:pPr>
        <w:ind w:firstLine="343"/>
        <w:rPr>
          <w:sz w:val="20"/>
          <w:szCs w:val="22"/>
          <w:rtl/>
        </w:rPr>
      </w:pPr>
      <w:r w:rsidRPr="007C6754">
        <w:rPr>
          <w:rFonts w:hint="cs"/>
          <w:sz w:val="20"/>
          <w:szCs w:val="22"/>
          <w:rtl/>
        </w:rPr>
        <w:t xml:space="preserve">3. עירוב קר. </w:t>
      </w:r>
    </w:p>
    <w:p w:rsidR="009E313F" w:rsidRPr="007C6754" w:rsidRDefault="009E313F" w:rsidP="007C6754">
      <w:pPr>
        <w:ind w:firstLine="343"/>
        <w:rPr>
          <w:b/>
          <w:bCs/>
          <w:sz w:val="20"/>
          <w:szCs w:val="22"/>
          <w:rtl/>
        </w:rPr>
      </w:pPr>
      <w:r w:rsidRPr="007C6754">
        <w:rPr>
          <w:rFonts w:hint="cs"/>
          <w:b/>
          <w:bCs/>
          <w:sz w:val="20"/>
          <w:szCs w:val="22"/>
          <w:rtl/>
        </w:rPr>
        <w:t>ב. שיעור העירוב:</w:t>
      </w:r>
    </w:p>
    <w:p w:rsidR="009E313F" w:rsidRPr="007C6754" w:rsidRDefault="009E313F" w:rsidP="007C6754">
      <w:pPr>
        <w:ind w:firstLine="343"/>
        <w:rPr>
          <w:sz w:val="20"/>
          <w:szCs w:val="22"/>
          <w:rtl/>
        </w:rPr>
      </w:pPr>
      <w:r w:rsidRPr="007C6754">
        <w:rPr>
          <w:rFonts w:hint="cs"/>
          <w:sz w:val="20"/>
          <w:szCs w:val="22"/>
          <w:rtl/>
        </w:rPr>
        <w:t xml:space="preserve">1. נתינת טעם, ודין "נותן טעם בר נותן טעם". </w:t>
      </w:r>
    </w:p>
    <w:p w:rsidR="009E313F" w:rsidRDefault="009E313F" w:rsidP="007C6754">
      <w:pPr>
        <w:ind w:firstLine="343"/>
        <w:rPr>
          <w:sz w:val="20"/>
          <w:szCs w:val="22"/>
          <w:rtl/>
        </w:rPr>
      </w:pPr>
      <w:r w:rsidRPr="007C6754">
        <w:rPr>
          <w:rFonts w:hint="cs"/>
          <w:sz w:val="20"/>
          <w:szCs w:val="22"/>
          <w:rtl/>
        </w:rPr>
        <w:t xml:space="preserve">2. ביטול בשישים. </w:t>
      </w:r>
    </w:p>
    <w:p w:rsidR="009E313F" w:rsidRPr="00F877CD" w:rsidRDefault="009E313F" w:rsidP="007C6754">
      <w:pPr>
        <w:ind w:firstLine="343"/>
        <w:rPr>
          <w:rtl/>
        </w:rPr>
      </w:pPr>
      <w:r w:rsidRPr="007C6754">
        <w:rPr>
          <w:rFonts w:hint="cs"/>
          <w:sz w:val="20"/>
          <w:szCs w:val="22"/>
          <w:rtl/>
        </w:rPr>
        <w:t>3. חתיכה נעשית נבילה.</w:t>
      </w:r>
    </w:p>
    <w:p w:rsidR="007C6754" w:rsidRDefault="007C6754" w:rsidP="009E313F">
      <w:pPr>
        <w:rPr>
          <w:b/>
          <w:bCs/>
          <w:sz w:val="20"/>
          <w:szCs w:val="22"/>
          <w:rtl/>
        </w:rPr>
      </w:pPr>
    </w:p>
    <w:p w:rsidR="009E313F" w:rsidRPr="007C6754" w:rsidRDefault="009E313F" w:rsidP="009E313F">
      <w:pPr>
        <w:rPr>
          <w:b/>
          <w:bCs/>
          <w:sz w:val="20"/>
          <w:szCs w:val="22"/>
          <w:rtl/>
        </w:rPr>
      </w:pPr>
      <w:r w:rsidRPr="007C6754">
        <w:rPr>
          <w:rFonts w:hint="cs"/>
          <w:b/>
          <w:bCs/>
          <w:sz w:val="20"/>
          <w:szCs w:val="22"/>
          <w:rtl/>
        </w:rPr>
        <w:t>ג. גזירות והרחקות דרבנן</w:t>
      </w:r>
    </w:p>
    <w:p w:rsidR="009E313F" w:rsidRPr="007C6754" w:rsidRDefault="009E313F" w:rsidP="009E313F">
      <w:pPr>
        <w:ind w:firstLine="720"/>
        <w:rPr>
          <w:sz w:val="20"/>
          <w:szCs w:val="22"/>
          <w:rtl/>
        </w:rPr>
      </w:pPr>
      <w:r w:rsidRPr="007C6754">
        <w:rPr>
          <w:rFonts w:hint="cs"/>
          <w:sz w:val="20"/>
          <w:szCs w:val="22"/>
          <w:rtl/>
        </w:rPr>
        <w:t xml:space="preserve">1. אכילה על שולחן אחד. </w:t>
      </w:r>
    </w:p>
    <w:p w:rsidR="009E313F" w:rsidRPr="007C6754" w:rsidRDefault="009E313F" w:rsidP="009E313F">
      <w:pPr>
        <w:ind w:firstLine="720"/>
        <w:rPr>
          <w:sz w:val="20"/>
          <w:szCs w:val="22"/>
          <w:rtl/>
        </w:rPr>
      </w:pPr>
      <w:r w:rsidRPr="007C6754">
        <w:rPr>
          <w:rFonts w:hint="cs"/>
          <w:sz w:val="20"/>
          <w:szCs w:val="22"/>
          <w:rtl/>
        </w:rPr>
        <w:t xml:space="preserve">2. אחסון משותף. </w:t>
      </w:r>
    </w:p>
    <w:p w:rsidR="009E313F" w:rsidRPr="007C6754" w:rsidRDefault="009E313F" w:rsidP="009E313F">
      <w:pPr>
        <w:ind w:firstLine="720"/>
        <w:rPr>
          <w:sz w:val="20"/>
          <w:szCs w:val="22"/>
          <w:rtl/>
        </w:rPr>
      </w:pPr>
      <w:r w:rsidRPr="007C6754">
        <w:rPr>
          <w:rFonts w:hint="cs"/>
          <w:sz w:val="20"/>
          <w:szCs w:val="22"/>
          <w:rtl/>
        </w:rPr>
        <w:t xml:space="preserve">3. אכילת בשר אחר חלב וחלב אחר בשר. </w:t>
      </w:r>
    </w:p>
    <w:p w:rsidR="009E313F" w:rsidRPr="007C6754" w:rsidRDefault="009E313F" w:rsidP="009E313F">
      <w:pPr>
        <w:ind w:firstLine="720"/>
        <w:rPr>
          <w:sz w:val="20"/>
          <w:szCs w:val="22"/>
          <w:rtl/>
        </w:rPr>
      </w:pPr>
      <w:r w:rsidRPr="007C6754">
        <w:rPr>
          <w:rFonts w:hint="cs"/>
          <w:sz w:val="20"/>
          <w:szCs w:val="22"/>
          <w:rtl/>
        </w:rPr>
        <w:t xml:space="preserve">[4. מראית עין.] </w:t>
      </w:r>
    </w:p>
    <w:p w:rsidR="009E313F" w:rsidRPr="007C6754" w:rsidRDefault="009E313F" w:rsidP="009E313F">
      <w:pPr>
        <w:rPr>
          <w:sz w:val="20"/>
          <w:szCs w:val="22"/>
          <w:rtl/>
        </w:rPr>
      </w:pPr>
    </w:p>
    <w:p w:rsidR="009E313F" w:rsidRPr="007C6754" w:rsidRDefault="009E313F" w:rsidP="009E313F">
      <w:pPr>
        <w:rPr>
          <w:b/>
          <w:bCs/>
          <w:sz w:val="20"/>
          <w:szCs w:val="22"/>
          <w:rtl/>
        </w:rPr>
      </w:pPr>
      <w:r w:rsidRPr="007C6754">
        <w:rPr>
          <w:rFonts w:hint="cs"/>
          <w:b/>
          <w:bCs/>
          <w:sz w:val="20"/>
          <w:szCs w:val="22"/>
          <w:rtl/>
        </w:rPr>
        <w:t>ד. נושאים נוספים</w:t>
      </w:r>
    </w:p>
    <w:p w:rsidR="009E313F" w:rsidRPr="007C6754" w:rsidRDefault="009E313F" w:rsidP="007C6754">
      <w:pPr>
        <w:ind w:left="720"/>
        <w:rPr>
          <w:sz w:val="20"/>
          <w:szCs w:val="22"/>
          <w:rtl/>
        </w:rPr>
      </w:pPr>
      <w:r w:rsidRPr="007C6754">
        <w:rPr>
          <w:rFonts w:hint="cs"/>
          <w:sz w:val="20"/>
          <w:szCs w:val="22"/>
          <w:rtl/>
        </w:rPr>
        <w:t xml:space="preserve">1. </w:t>
      </w:r>
      <w:r w:rsidRPr="007C6754">
        <w:rPr>
          <w:rFonts w:hint="cs"/>
          <w:b/>
          <w:bCs/>
          <w:sz w:val="20"/>
          <w:szCs w:val="22"/>
          <w:rtl/>
        </w:rPr>
        <w:t>הלכות נטילת ידיים:</w:t>
      </w:r>
      <w:r w:rsidRPr="007C6754">
        <w:rPr>
          <w:rFonts w:hint="cs"/>
          <w:sz w:val="20"/>
          <w:szCs w:val="22"/>
          <w:rtl/>
        </w:rPr>
        <w:t xml:space="preserve"> מים ראשונים, מים אחרונים, נטילת ידיים שחרית והלכותיהם.</w:t>
      </w:r>
    </w:p>
    <w:p w:rsidR="009E313F" w:rsidRPr="007C6754" w:rsidRDefault="009E313F" w:rsidP="009E313F">
      <w:pPr>
        <w:rPr>
          <w:sz w:val="20"/>
          <w:szCs w:val="22"/>
          <w:rtl/>
        </w:rPr>
      </w:pPr>
      <w:r w:rsidRPr="007C6754">
        <w:rPr>
          <w:sz w:val="20"/>
          <w:szCs w:val="22"/>
          <w:rtl/>
        </w:rPr>
        <w:tab/>
      </w:r>
      <w:r w:rsidRPr="007C6754">
        <w:rPr>
          <w:rFonts w:hint="cs"/>
          <w:sz w:val="20"/>
          <w:szCs w:val="22"/>
          <w:rtl/>
        </w:rPr>
        <w:t xml:space="preserve">2. </w:t>
      </w:r>
      <w:r w:rsidRPr="007C6754">
        <w:rPr>
          <w:rFonts w:hint="cs"/>
          <w:b/>
          <w:bCs/>
          <w:sz w:val="20"/>
          <w:szCs w:val="22"/>
          <w:rtl/>
        </w:rPr>
        <w:t>הלכות אכילת כחל</w:t>
      </w:r>
      <w:r w:rsidRPr="007C6754">
        <w:rPr>
          <w:rFonts w:hint="cs"/>
          <w:sz w:val="20"/>
          <w:szCs w:val="22"/>
          <w:rtl/>
        </w:rPr>
        <w:t xml:space="preserve">. </w:t>
      </w:r>
    </w:p>
    <w:p w:rsidR="007C6754" w:rsidRPr="007C6754" w:rsidRDefault="009E313F" w:rsidP="009E313F">
      <w:pPr>
        <w:rPr>
          <w:sz w:val="20"/>
          <w:szCs w:val="22"/>
          <w:rtl/>
        </w:rPr>
      </w:pPr>
      <w:r w:rsidRPr="007C6754">
        <w:rPr>
          <w:sz w:val="20"/>
          <w:szCs w:val="22"/>
          <w:rtl/>
        </w:rPr>
        <w:tab/>
      </w:r>
      <w:r w:rsidRPr="007C6754">
        <w:rPr>
          <w:rFonts w:hint="cs"/>
          <w:sz w:val="20"/>
          <w:szCs w:val="22"/>
          <w:rtl/>
        </w:rPr>
        <w:t xml:space="preserve">3. </w:t>
      </w:r>
      <w:r w:rsidRPr="007C6754">
        <w:rPr>
          <w:rFonts w:hint="cs"/>
          <w:b/>
          <w:bCs/>
          <w:sz w:val="20"/>
          <w:szCs w:val="22"/>
          <w:rtl/>
        </w:rPr>
        <w:t>הלכות מליחה</w:t>
      </w:r>
      <w:r w:rsidRPr="007C6754">
        <w:rPr>
          <w:rFonts w:hint="cs"/>
          <w:sz w:val="20"/>
          <w:szCs w:val="22"/>
          <w:rtl/>
        </w:rPr>
        <w:t xml:space="preserve">. </w:t>
      </w:r>
    </w:p>
    <w:p w:rsidR="007C6754" w:rsidRDefault="007C6754" w:rsidP="009E313F">
      <w:pPr>
        <w:rPr>
          <w:rtl/>
        </w:rPr>
      </w:pPr>
    </w:p>
    <w:p w:rsidR="007C6754" w:rsidRDefault="007C6754" w:rsidP="009E313F">
      <w:pPr>
        <w:rPr>
          <w:rtl/>
        </w:rPr>
      </w:pPr>
    </w:p>
    <w:p w:rsidR="007C6754" w:rsidRDefault="007C6754" w:rsidP="009E313F">
      <w:pPr>
        <w:rPr>
          <w:rtl/>
        </w:rPr>
      </w:pPr>
    </w:p>
    <w:p w:rsidR="007C6754" w:rsidRDefault="007C6754" w:rsidP="009E313F">
      <w:pPr>
        <w:rPr>
          <w:sz w:val="24"/>
          <w:szCs w:val="26"/>
          <w:rtl/>
        </w:rPr>
        <w:sectPr w:rsidR="007C6754" w:rsidSect="007C6754">
          <w:type w:val="continuous"/>
          <w:pgSz w:w="11906" w:h="16838"/>
          <w:pgMar w:top="720" w:right="720" w:bottom="426" w:left="720" w:header="708" w:footer="708" w:gutter="0"/>
          <w:cols w:num="2" w:space="708"/>
          <w:bidi/>
          <w:rtlGutter/>
          <w:docGrid w:linePitch="360"/>
        </w:sectPr>
      </w:pPr>
    </w:p>
    <w:p w:rsidR="009E313F" w:rsidRPr="009E313F" w:rsidRDefault="009E313F" w:rsidP="009E313F">
      <w:pPr>
        <w:rPr>
          <w:sz w:val="24"/>
          <w:szCs w:val="26"/>
          <w:rtl/>
        </w:rPr>
      </w:pPr>
    </w:p>
    <w:p w:rsidR="004B1136" w:rsidRDefault="004B1136" w:rsidP="00F877CD">
      <w:pPr>
        <w:pStyle w:val="a3"/>
        <w:rPr>
          <w:sz w:val="22"/>
          <w:szCs w:val="26"/>
          <w:rtl/>
        </w:rPr>
      </w:pPr>
    </w:p>
    <w:p w:rsidR="009E313F" w:rsidRPr="00F877CD" w:rsidRDefault="00243970" w:rsidP="00F877CD">
      <w:pPr>
        <w:pStyle w:val="a3"/>
        <w:rPr>
          <w:rtl/>
        </w:rPr>
      </w:pPr>
      <w:r>
        <w:rPr>
          <w:rFonts w:hint="cs"/>
          <w:sz w:val="22"/>
          <w:szCs w:val="26"/>
          <w:rtl/>
        </w:rPr>
        <w:t xml:space="preserve">ב. </w:t>
      </w:r>
      <w:r w:rsidR="00F877CD" w:rsidRPr="007C6754">
        <w:rPr>
          <w:rFonts w:hint="cs"/>
          <w:sz w:val="22"/>
          <w:szCs w:val="26"/>
          <w:rtl/>
        </w:rPr>
        <w:t>טע</w:t>
      </w:r>
      <w:r w:rsidR="009E313F" w:rsidRPr="007C6754">
        <w:rPr>
          <w:rFonts w:hint="cs"/>
          <w:sz w:val="22"/>
          <w:szCs w:val="26"/>
          <w:rtl/>
        </w:rPr>
        <w:t>מי איסור בשר בחלב</w:t>
      </w:r>
    </w:p>
    <w:p w:rsidR="00597D01" w:rsidRPr="004B1136" w:rsidRDefault="00597D01" w:rsidP="00F877CD">
      <w:pPr>
        <w:rPr>
          <w:b/>
          <w:bCs/>
          <w:sz w:val="24"/>
          <w:u w:val="single"/>
          <w:rtl/>
        </w:rPr>
      </w:pPr>
      <w:r w:rsidRPr="004B1136">
        <w:rPr>
          <w:rFonts w:hint="cs"/>
          <w:b/>
          <w:bCs/>
          <w:sz w:val="24"/>
          <w:u w:val="single"/>
          <w:rtl/>
        </w:rPr>
        <w:t>א.</w:t>
      </w:r>
      <w:r w:rsidR="00F877CD" w:rsidRPr="004B1136">
        <w:rPr>
          <w:rFonts w:hint="cs"/>
          <w:b/>
          <w:bCs/>
          <w:sz w:val="24"/>
          <w:u w:val="single"/>
          <w:rtl/>
        </w:rPr>
        <w:t xml:space="preserve"> המקור בתורה</w:t>
      </w:r>
    </w:p>
    <w:p w:rsidR="009E313F" w:rsidRPr="004B1136" w:rsidRDefault="009E313F" w:rsidP="002250A5">
      <w:pPr>
        <w:pStyle w:val="a8"/>
        <w:numPr>
          <w:ilvl w:val="0"/>
          <w:numId w:val="1"/>
        </w:numPr>
        <w:ind w:left="360"/>
        <w:rPr>
          <w:sz w:val="24"/>
        </w:rPr>
      </w:pPr>
      <w:r w:rsidRPr="004B1136">
        <w:rPr>
          <w:rFonts w:hint="cs"/>
          <w:b/>
          <w:bCs/>
          <w:sz w:val="24"/>
          <w:rtl/>
        </w:rPr>
        <w:t>שמות כ"ג, י"ט:</w:t>
      </w:r>
      <w:r w:rsidRPr="004B1136">
        <w:rPr>
          <w:rFonts w:hint="cs"/>
          <w:sz w:val="24"/>
          <w:rtl/>
        </w:rPr>
        <w:t xml:space="preserve"> "</w:t>
      </w:r>
      <w:r w:rsidRPr="004B1136">
        <w:rPr>
          <w:sz w:val="24"/>
          <w:rtl/>
        </w:rPr>
        <w:t xml:space="preserve">רֵאשִׁית בִּכּוּרֵי אַדְמָתְךָ תָּבִיא בֵּית </w:t>
      </w:r>
      <w:r w:rsidR="002250A5" w:rsidRPr="004B1136">
        <w:rPr>
          <w:rFonts w:hint="cs"/>
          <w:sz w:val="24"/>
          <w:rtl/>
        </w:rPr>
        <w:t xml:space="preserve">ה' </w:t>
      </w:r>
      <w:r w:rsidRPr="004B1136">
        <w:rPr>
          <w:sz w:val="24"/>
          <w:rtl/>
        </w:rPr>
        <w:t>אֱלֹהֶיךָ לֹא תְבַשֵּׁל גְּדִי בַּחֲלֵב אִמּוֹ</w:t>
      </w:r>
      <w:r w:rsidRPr="004B1136">
        <w:rPr>
          <w:rFonts w:hint="cs"/>
          <w:sz w:val="24"/>
          <w:rtl/>
        </w:rPr>
        <w:t>".</w:t>
      </w:r>
    </w:p>
    <w:p w:rsidR="005642B8" w:rsidRPr="004B1136" w:rsidRDefault="005642B8" w:rsidP="005642B8">
      <w:pPr>
        <w:pStyle w:val="a8"/>
        <w:numPr>
          <w:ilvl w:val="0"/>
          <w:numId w:val="1"/>
        </w:numPr>
        <w:ind w:left="360"/>
        <w:rPr>
          <w:sz w:val="24"/>
        </w:rPr>
      </w:pPr>
      <w:r w:rsidRPr="004B1136">
        <w:rPr>
          <w:b/>
          <w:bCs/>
          <w:sz w:val="24"/>
          <w:rtl/>
        </w:rPr>
        <w:t>שמות ל</w:t>
      </w:r>
      <w:r w:rsidRPr="004B1136">
        <w:rPr>
          <w:rFonts w:hint="cs"/>
          <w:b/>
          <w:bCs/>
          <w:sz w:val="24"/>
          <w:rtl/>
        </w:rPr>
        <w:t>"</w:t>
      </w:r>
      <w:r w:rsidRPr="004B1136">
        <w:rPr>
          <w:b/>
          <w:bCs/>
          <w:sz w:val="24"/>
          <w:rtl/>
        </w:rPr>
        <w:t>ד</w:t>
      </w:r>
      <w:r w:rsidRPr="004B1136">
        <w:rPr>
          <w:rFonts w:hint="cs"/>
          <w:b/>
          <w:bCs/>
          <w:sz w:val="24"/>
          <w:rtl/>
        </w:rPr>
        <w:t>, כ"ו:</w:t>
      </w:r>
      <w:r w:rsidRPr="004B1136">
        <w:rPr>
          <w:rFonts w:hint="cs"/>
          <w:sz w:val="24"/>
          <w:rtl/>
        </w:rPr>
        <w:t xml:space="preserve"> "</w:t>
      </w:r>
      <w:r w:rsidRPr="004B1136">
        <w:rPr>
          <w:sz w:val="24"/>
          <w:rtl/>
        </w:rPr>
        <w:t>רֵאשִׁית בִּכּוּרֵי אַדְמָתְךָ תָּבִיא בֵּית ה' אֱלֹהֶיךָ לֹא תְבַשֵּׁל גְּדִי בַּחֲלֵב אִמּוֹ</w:t>
      </w:r>
      <w:r w:rsidRPr="004B1136">
        <w:rPr>
          <w:rFonts w:hint="cs"/>
          <w:sz w:val="24"/>
          <w:rtl/>
        </w:rPr>
        <w:t>".</w:t>
      </w:r>
    </w:p>
    <w:p w:rsidR="005642B8" w:rsidRPr="004B1136" w:rsidRDefault="005642B8" w:rsidP="005642B8">
      <w:pPr>
        <w:pStyle w:val="a8"/>
        <w:numPr>
          <w:ilvl w:val="0"/>
          <w:numId w:val="1"/>
        </w:numPr>
        <w:ind w:left="360"/>
        <w:rPr>
          <w:sz w:val="24"/>
        </w:rPr>
      </w:pPr>
      <w:r w:rsidRPr="004B1136">
        <w:rPr>
          <w:b/>
          <w:bCs/>
          <w:sz w:val="24"/>
          <w:rtl/>
        </w:rPr>
        <w:t>דברים י</w:t>
      </w:r>
      <w:r w:rsidRPr="004B1136">
        <w:rPr>
          <w:rFonts w:hint="cs"/>
          <w:b/>
          <w:bCs/>
          <w:sz w:val="24"/>
          <w:rtl/>
        </w:rPr>
        <w:t>"</w:t>
      </w:r>
      <w:r w:rsidRPr="004B1136">
        <w:rPr>
          <w:b/>
          <w:bCs/>
          <w:sz w:val="24"/>
          <w:rtl/>
        </w:rPr>
        <w:t>ד</w:t>
      </w:r>
      <w:r w:rsidRPr="004B1136">
        <w:rPr>
          <w:rFonts w:hint="cs"/>
          <w:b/>
          <w:bCs/>
          <w:sz w:val="24"/>
          <w:rtl/>
        </w:rPr>
        <w:t>, כ"א:</w:t>
      </w:r>
      <w:r w:rsidRPr="004B1136">
        <w:rPr>
          <w:rFonts w:hint="cs"/>
          <w:sz w:val="24"/>
          <w:rtl/>
        </w:rPr>
        <w:t xml:space="preserve"> "</w:t>
      </w:r>
      <w:r w:rsidRPr="004B1136">
        <w:rPr>
          <w:sz w:val="24"/>
          <w:rtl/>
        </w:rPr>
        <w:t>לֹא תֹאכְלוּ כָל נְבֵלָה לַגֵּר אֲשֶׁר בִּשְׁעָרֶיךָ תִּתְּנֶנָּה וַאֲכָלָהּ אוֹ מָכֹר לְנָכְרִי כִּי עַם קָדוֹשׁ אַתָּה לַה' אֱלֹהֶיךָ לֹא תְבַשֵּׁל גְּדִי בַּחֲלֵב אִמּוֹ</w:t>
      </w:r>
      <w:r w:rsidRPr="004B1136">
        <w:rPr>
          <w:rFonts w:hint="cs"/>
          <w:sz w:val="24"/>
          <w:rtl/>
        </w:rPr>
        <w:t>".</w:t>
      </w:r>
    </w:p>
    <w:p w:rsidR="009E313F" w:rsidRPr="004B1136" w:rsidRDefault="009E313F" w:rsidP="00F877CD">
      <w:pPr>
        <w:pStyle w:val="a8"/>
        <w:numPr>
          <w:ilvl w:val="0"/>
          <w:numId w:val="1"/>
        </w:numPr>
        <w:ind w:left="360"/>
        <w:rPr>
          <w:sz w:val="24"/>
          <w:rtl/>
        </w:rPr>
      </w:pPr>
      <w:r w:rsidRPr="004B1136">
        <w:rPr>
          <w:rFonts w:hint="cs"/>
          <w:b/>
          <w:bCs/>
          <w:sz w:val="24"/>
          <w:rtl/>
        </w:rPr>
        <w:t xml:space="preserve">רש"י </w:t>
      </w:r>
      <w:r w:rsidR="009F6BEC" w:rsidRPr="004B1136">
        <w:rPr>
          <w:rFonts w:hint="cs"/>
          <w:b/>
          <w:bCs/>
          <w:sz w:val="24"/>
          <w:rtl/>
        </w:rPr>
        <w:t xml:space="preserve">שמות כ"ג, </w:t>
      </w:r>
      <w:r w:rsidRPr="004B1136">
        <w:rPr>
          <w:rFonts w:hint="cs"/>
          <w:b/>
          <w:bCs/>
          <w:sz w:val="24"/>
          <w:rtl/>
        </w:rPr>
        <w:t>שם</w:t>
      </w:r>
      <w:r w:rsidR="00EE4854" w:rsidRPr="004B1136">
        <w:rPr>
          <w:rFonts w:hint="cs"/>
          <w:b/>
          <w:bCs/>
          <w:sz w:val="24"/>
          <w:rtl/>
        </w:rPr>
        <w:t xml:space="preserve"> </w:t>
      </w:r>
      <w:r w:rsidR="00EE4854" w:rsidRPr="004B1136">
        <w:rPr>
          <w:rFonts w:hint="cs"/>
          <w:sz w:val="24"/>
          <w:rtl/>
        </w:rPr>
        <w:t xml:space="preserve">(על פי </w:t>
      </w:r>
      <w:r w:rsidR="00EE4854" w:rsidRPr="004B1136">
        <w:rPr>
          <w:rFonts w:hint="cs"/>
          <w:sz w:val="24"/>
          <w:u w:val="single"/>
          <w:rtl/>
        </w:rPr>
        <w:t>אחת</w:t>
      </w:r>
      <w:r w:rsidR="00EE4854" w:rsidRPr="004B1136">
        <w:rPr>
          <w:rFonts w:hint="cs"/>
          <w:sz w:val="24"/>
          <w:rtl/>
        </w:rPr>
        <w:t xml:space="preserve"> הדעות ב</w:t>
      </w:r>
      <w:r w:rsidR="00597D01" w:rsidRPr="004B1136">
        <w:rPr>
          <w:rFonts w:hint="cs"/>
          <w:sz w:val="24"/>
          <w:rtl/>
        </w:rPr>
        <w:t>גמרא להלן ב</w:t>
      </w:r>
      <w:r w:rsidR="00EE4854" w:rsidRPr="004B1136">
        <w:rPr>
          <w:rFonts w:hint="cs"/>
          <w:sz w:val="24"/>
          <w:rtl/>
        </w:rPr>
        <w:t>דף קט"ז)</w:t>
      </w:r>
      <w:r w:rsidR="00597D01" w:rsidRPr="004B1136">
        <w:rPr>
          <w:rFonts w:hint="cs"/>
          <w:sz w:val="24"/>
          <w:rtl/>
        </w:rPr>
        <w:t>:</w:t>
      </w:r>
      <w:r w:rsidRPr="004B1136">
        <w:rPr>
          <w:rFonts w:hint="cs"/>
          <w:sz w:val="24"/>
          <w:rtl/>
        </w:rPr>
        <w:t xml:space="preserve"> </w:t>
      </w:r>
      <w:r w:rsidR="00EE4854" w:rsidRPr="004B1136">
        <w:rPr>
          <w:rFonts w:hint="cs"/>
          <w:sz w:val="24"/>
          <w:rtl/>
        </w:rPr>
        <w:t>"</w:t>
      </w:r>
      <w:r w:rsidRPr="004B1136">
        <w:rPr>
          <w:sz w:val="24"/>
          <w:rtl/>
        </w:rPr>
        <w:t>ובג' מקומות נכתב בתורה א' לאיסור אכילה וא' לאיסור הנאה וא' לאיסור בישול</w:t>
      </w:r>
      <w:r w:rsidR="00EE4854" w:rsidRPr="004B1136">
        <w:rPr>
          <w:rFonts w:hint="cs"/>
          <w:sz w:val="24"/>
          <w:rtl/>
        </w:rPr>
        <w:t>".</w:t>
      </w:r>
      <w:r w:rsidRPr="004B1136">
        <w:rPr>
          <w:sz w:val="24"/>
          <w:rtl/>
        </w:rPr>
        <w:t> </w:t>
      </w:r>
    </w:p>
    <w:p w:rsidR="009E313F" w:rsidRPr="004B1136" w:rsidRDefault="009E313F" w:rsidP="00F877CD">
      <w:pPr>
        <w:pStyle w:val="a8"/>
        <w:numPr>
          <w:ilvl w:val="0"/>
          <w:numId w:val="1"/>
        </w:numPr>
        <w:ind w:left="360"/>
        <w:rPr>
          <w:sz w:val="24"/>
        </w:rPr>
      </w:pPr>
      <w:r w:rsidRPr="004B1136">
        <w:rPr>
          <w:rFonts w:hint="cs"/>
          <w:b/>
          <w:bCs/>
          <w:sz w:val="24"/>
          <w:rtl/>
        </w:rPr>
        <w:t>רמב"ן שמות, ל"ד כ"ו:</w:t>
      </w:r>
      <w:r w:rsidRPr="004B1136">
        <w:rPr>
          <w:rFonts w:hint="cs"/>
          <w:sz w:val="24"/>
          <w:rtl/>
        </w:rPr>
        <w:t xml:space="preserve"> </w:t>
      </w:r>
      <w:r w:rsidR="00EE4854" w:rsidRPr="004B1136">
        <w:rPr>
          <w:rFonts w:hint="cs"/>
          <w:sz w:val="24"/>
          <w:rtl/>
        </w:rPr>
        <w:t>"</w:t>
      </w:r>
      <w:r w:rsidR="00597D01" w:rsidRPr="004B1136">
        <w:rPr>
          <w:sz w:val="24"/>
          <w:rtl/>
        </w:rPr>
        <w:t>ראשית בכורי אדמת</w:t>
      </w:r>
      <w:r w:rsidR="00597D01" w:rsidRPr="004B1136">
        <w:rPr>
          <w:rFonts w:hint="cs"/>
          <w:sz w:val="24"/>
          <w:rtl/>
        </w:rPr>
        <w:t xml:space="preserve">ך </w:t>
      </w:r>
      <w:r w:rsidR="00597D01" w:rsidRPr="004B1136">
        <w:rPr>
          <w:sz w:val="24"/>
          <w:rtl/>
        </w:rPr>
        <w:t>–</w:t>
      </w:r>
      <w:r w:rsidR="00597D01" w:rsidRPr="004B1136">
        <w:rPr>
          <w:rFonts w:hint="cs"/>
          <w:sz w:val="24"/>
          <w:rtl/>
        </w:rPr>
        <w:t xml:space="preserve"> בעבור כי </w:t>
      </w:r>
      <w:r w:rsidRPr="004B1136">
        <w:rPr>
          <w:sz w:val="24"/>
          <w:rtl/>
        </w:rPr>
        <w:t>הזכיר שיביאו בכורי כל אשר בארצם לבית ה' יסמוך לזה לא תבשל גדי בחלב אמו</w:t>
      </w:r>
      <w:r w:rsidR="009F6BEC" w:rsidRPr="004B1136">
        <w:rPr>
          <w:rFonts w:hint="cs"/>
          <w:sz w:val="24"/>
          <w:rtl/>
        </w:rPr>
        <w:t>,</w:t>
      </w:r>
      <w:r w:rsidRPr="004B1136">
        <w:rPr>
          <w:sz w:val="24"/>
          <w:rtl/>
        </w:rPr>
        <w:t xml:space="preserve"> </w:t>
      </w:r>
      <w:r w:rsidRPr="004B1136">
        <w:rPr>
          <w:sz w:val="24"/>
          <w:u w:val="single"/>
          <w:rtl/>
        </w:rPr>
        <w:t>כי בעת בכורי האדמה יביאו גם כל בכור בהמה הגדיים וטלאים</w:t>
      </w:r>
      <w:r w:rsidR="009F6BEC" w:rsidRPr="004B1136">
        <w:rPr>
          <w:rFonts w:hint="cs"/>
          <w:sz w:val="24"/>
          <w:u w:val="single"/>
          <w:rtl/>
        </w:rPr>
        <w:t>,</w:t>
      </w:r>
      <w:r w:rsidRPr="004B1136">
        <w:rPr>
          <w:sz w:val="24"/>
          <w:u w:val="single"/>
          <w:rtl/>
        </w:rPr>
        <w:t xml:space="preserve"> ובעת ההיא יגדלו הגדיים ויהיה החלב</w:t>
      </w:r>
      <w:r w:rsidRPr="004B1136">
        <w:rPr>
          <w:sz w:val="24"/>
          <w:rtl/>
        </w:rPr>
        <w:t xml:space="preserve"> ופעמים רבים יעלו האם עם הבכור בהיותו יונק בעבור שלא ימות</w:t>
      </w:r>
      <w:r w:rsidR="009F6BEC" w:rsidRPr="004B1136">
        <w:rPr>
          <w:rFonts w:hint="cs"/>
          <w:sz w:val="24"/>
          <w:rtl/>
        </w:rPr>
        <w:t>,</w:t>
      </w:r>
      <w:r w:rsidRPr="004B1136">
        <w:rPr>
          <w:sz w:val="24"/>
          <w:rtl/>
        </w:rPr>
        <w:t xml:space="preserve"> והנה הבאים לחוג יתענגו לאכול הבכורות בכל המטעמים עם הכהנים </w:t>
      </w:r>
      <w:r w:rsidRPr="004B1136">
        <w:rPr>
          <w:sz w:val="24"/>
          <w:u w:val="single"/>
          <w:rtl/>
        </w:rPr>
        <w:t>ולכך הזכיר אסורם עם הבכורים</w:t>
      </w:r>
      <w:r w:rsidR="00EE4854" w:rsidRPr="004B1136">
        <w:rPr>
          <w:rFonts w:hint="cs"/>
          <w:sz w:val="24"/>
          <w:rtl/>
        </w:rPr>
        <w:t>.</w:t>
      </w:r>
      <w:r w:rsidRPr="004B1136">
        <w:rPr>
          <w:sz w:val="24"/>
          <w:rtl/>
        </w:rPr>
        <w:t xml:space="preserve"> </w:t>
      </w:r>
      <w:r w:rsidRPr="004B1136">
        <w:rPr>
          <w:sz w:val="24"/>
          <w:u w:val="single"/>
          <w:rtl/>
        </w:rPr>
        <w:t>אבל במשנה תורה</w:t>
      </w:r>
      <w:r w:rsidRPr="004B1136">
        <w:rPr>
          <w:sz w:val="24"/>
          <w:u w:val="single"/>
        </w:rPr>
        <w:t xml:space="preserve"> </w:t>
      </w:r>
      <w:r w:rsidRPr="004B1136">
        <w:rPr>
          <w:sz w:val="24"/>
          <w:u w:val="single"/>
          <w:rtl/>
        </w:rPr>
        <w:t>הזכיר המצוה הזו עם אסור המאכלים</w:t>
      </w:r>
      <w:r w:rsidRPr="004B1136">
        <w:rPr>
          <w:sz w:val="24"/>
          <w:rtl/>
        </w:rPr>
        <w:t xml:space="preserve"> אחר שהזכיר בהמה טמאה ודגים ועופות טמאים ונבלה</w:t>
      </w:r>
      <w:r w:rsidR="009F6BEC" w:rsidRPr="004B1136">
        <w:rPr>
          <w:rFonts w:hint="cs"/>
          <w:sz w:val="24"/>
          <w:rtl/>
        </w:rPr>
        <w:t>,</w:t>
      </w:r>
      <w:r w:rsidRPr="004B1136">
        <w:rPr>
          <w:sz w:val="24"/>
          <w:rtl/>
        </w:rPr>
        <w:t xml:space="preserve"> כי שם יאות להזכיר זה כי הוא איסור מאכל לא איסור הבשול בלבד כאשר יחשבו קטני אמנה מחוסרי הדעת</w:t>
      </w:r>
      <w:r w:rsidR="00EE4854" w:rsidRPr="004B1136">
        <w:rPr>
          <w:rFonts w:hint="cs"/>
          <w:sz w:val="24"/>
          <w:rtl/>
        </w:rPr>
        <w:t>".</w:t>
      </w:r>
    </w:p>
    <w:p w:rsidR="005642B8" w:rsidRPr="004B1136" w:rsidRDefault="005642B8" w:rsidP="003D3C58">
      <w:pPr>
        <w:pStyle w:val="a8"/>
        <w:numPr>
          <w:ilvl w:val="0"/>
          <w:numId w:val="1"/>
        </w:numPr>
        <w:ind w:left="360"/>
        <w:rPr>
          <w:sz w:val="24"/>
          <w:rtl/>
        </w:rPr>
      </w:pPr>
      <w:r w:rsidRPr="004B1136">
        <w:rPr>
          <w:b/>
          <w:bCs/>
          <w:sz w:val="24"/>
          <w:rtl/>
        </w:rPr>
        <w:t>תוספות חולין</w:t>
      </w:r>
      <w:r w:rsidR="009F6BEC" w:rsidRPr="004B1136">
        <w:rPr>
          <w:rFonts w:hint="cs"/>
          <w:b/>
          <w:bCs/>
          <w:sz w:val="24"/>
          <w:rtl/>
        </w:rPr>
        <w:t>,</w:t>
      </w:r>
      <w:r w:rsidRPr="004B1136">
        <w:rPr>
          <w:b/>
          <w:bCs/>
          <w:sz w:val="24"/>
          <w:rtl/>
        </w:rPr>
        <w:t xml:space="preserve"> דף ק</w:t>
      </w:r>
      <w:r w:rsidR="009F6BEC" w:rsidRPr="004B1136">
        <w:rPr>
          <w:rFonts w:hint="cs"/>
          <w:b/>
          <w:bCs/>
          <w:sz w:val="24"/>
          <w:rtl/>
        </w:rPr>
        <w:t>"</w:t>
      </w:r>
      <w:r w:rsidRPr="004B1136">
        <w:rPr>
          <w:b/>
          <w:bCs/>
          <w:sz w:val="24"/>
          <w:rtl/>
        </w:rPr>
        <w:t>ג</w:t>
      </w:r>
      <w:r w:rsidR="009F6BEC" w:rsidRPr="004B1136">
        <w:rPr>
          <w:rFonts w:hint="cs"/>
          <w:b/>
          <w:bCs/>
          <w:sz w:val="24"/>
          <w:rtl/>
        </w:rPr>
        <w:t>:</w:t>
      </w:r>
      <w:r w:rsidR="009F6BEC" w:rsidRPr="004B1136">
        <w:rPr>
          <w:rFonts w:hint="cs"/>
          <w:sz w:val="24"/>
          <w:rtl/>
        </w:rPr>
        <w:t xml:space="preserve"> "כל הבשר אסור לבשל בחלב - </w:t>
      </w:r>
      <w:r w:rsidRPr="004B1136">
        <w:rPr>
          <w:sz w:val="24"/>
          <w:rtl/>
        </w:rPr>
        <w:t>תימה דלא תני בארץ ובחו"ל בפני הבית ושלא בפני הבית בחולין ובמוקדשין כמו בהנך פירקין</w:t>
      </w:r>
      <w:r w:rsidR="003D3C58" w:rsidRPr="004B1136">
        <w:rPr>
          <w:rFonts w:hint="cs"/>
          <w:sz w:val="24"/>
          <w:rtl/>
        </w:rPr>
        <w:t xml:space="preserve">; </w:t>
      </w:r>
      <w:r w:rsidRPr="004B1136">
        <w:rPr>
          <w:sz w:val="24"/>
          <w:rtl/>
        </w:rPr>
        <w:t>ובתוספתא תני להו</w:t>
      </w:r>
      <w:r w:rsidR="003D3C58" w:rsidRPr="004B1136">
        <w:rPr>
          <w:rFonts w:hint="cs"/>
          <w:sz w:val="24"/>
          <w:rtl/>
        </w:rPr>
        <w:t>!</w:t>
      </w:r>
      <w:r w:rsidRPr="004B1136">
        <w:rPr>
          <w:sz w:val="24"/>
          <w:rtl/>
        </w:rPr>
        <w:t xml:space="preserve"> ושמא מאי דשייר במתניתין פירש בברייתא</w:t>
      </w:r>
      <w:r w:rsidR="003D3C58" w:rsidRPr="004B1136">
        <w:rPr>
          <w:rFonts w:hint="cs"/>
          <w:sz w:val="24"/>
          <w:rtl/>
        </w:rPr>
        <w:t>,</w:t>
      </w:r>
      <w:r w:rsidRPr="004B1136">
        <w:rPr>
          <w:sz w:val="24"/>
          <w:rtl/>
        </w:rPr>
        <w:t xml:space="preserve"> </w:t>
      </w:r>
      <w:r w:rsidRPr="004B1136">
        <w:rPr>
          <w:sz w:val="24"/>
          <w:u w:val="single"/>
          <w:rtl/>
        </w:rPr>
        <w:t>ואשמעינן דחייל איסור בשר בחלב אאיסור מוקדשין</w:t>
      </w:r>
      <w:r w:rsidR="003D3C58" w:rsidRPr="004B1136">
        <w:rPr>
          <w:rFonts w:hint="cs"/>
          <w:sz w:val="24"/>
          <w:rtl/>
        </w:rPr>
        <w:t>.</w:t>
      </w:r>
      <w:r w:rsidRPr="004B1136">
        <w:rPr>
          <w:sz w:val="24"/>
          <w:rtl/>
        </w:rPr>
        <w:t xml:space="preserve"> </w:t>
      </w:r>
      <w:r w:rsidRPr="004B1136">
        <w:rPr>
          <w:sz w:val="24"/>
          <w:u w:val="single"/>
          <w:rtl/>
        </w:rPr>
        <w:t>ורשב"ם פי' דאיצטריך משום חו"ל דס"ד דאינו נוהג בח"ל משום דאיתקש לבכורים (שמות כג) בחד קרא ראשית בכורי אדמתך לא תבשל גדי בחלב אמו</w:t>
      </w:r>
      <w:r w:rsidR="003D3C58" w:rsidRPr="004B1136">
        <w:rPr>
          <w:rFonts w:hint="cs"/>
          <w:sz w:val="24"/>
          <w:rtl/>
        </w:rPr>
        <w:t>.</w:t>
      </w:r>
      <w:r w:rsidRPr="004B1136">
        <w:rPr>
          <w:sz w:val="24"/>
          <w:rtl/>
        </w:rPr>
        <w:t xml:space="preserve"> ולפירושו ניחא הא דאמר בפ' ראשית הגז (לקמן דף קלו.) דארצך דבכורים אתא למעוטי חו"ל</w:t>
      </w:r>
      <w:r w:rsidR="003D3C58" w:rsidRPr="004B1136">
        <w:rPr>
          <w:rFonts w:hint="cs"/>
          <w:sz w:val="24"/>
          <w:rtl/>
        </w:rPr>
        <w:t>,</w:t>
      </w:r>
      <w:r w:rsidRPr="004B1136">
        <w:rPr>
          <w:sz w:val="24"/>
          <w:rtl/>
        </w:rPr>
        <w:t xml:space="preserve"> דאע"ג דהיא מצוה התלויה בארץ איצטריך משום דאיתקיש לבשר בחלב</w:t>
      </w:r>
      <w:r w:rsidR="006108C8" w:rsidRPr="004B1136">
        <w:rPr>
          <w:rFonts w:hint="cs"/>
          <w:sz w:val="24"/>
          <w:rtl/>
        </w:rPr>
        <w:t>"</w:t>
      </w:r>
      <w:r w:rsidRPr="004B1136">
        <w:rPr>
          <w:sz w:val="24"/>
          <w:rtl/>
        </w:rPr>
        <w:t>.</w:t>
      </w:r>
    </w:p>
    <w:p w:rsidR="00597D01" w:rsidRPr="004B1136" w:rsidRDefault="00597D01" w:rsidP="00F877CD">
      <w:pPr>
        <w:rPr>
          <w:sz w:val="24"/>
          <w:rtl/>
        </w:rPr>
      </w:pPr>
    </w:p>
    <w:p w:rsidR="004B1136" w:rsidRDefault="004B1136" w:rsidP="00F877CD">
      <w:pPr>
        <w:rPr>
          <w:b/>
          <w:bCs/>
          <w:sz w:val="24"/>
          <w:u w:val="single"/>
          <w:rtl/>
        </w:rPr>
      </w:pPr>
    </w:p>
    <w:p w:rsidR="004B1136" w:rsidRDefault="004B1136" w:rsidP="00F877CD">
      <w:pPr>
        <w:rPr>
          <w:b/>
          <w:bCs/>
          <w:sz w:val="24"/>
          <w:u w:val="single"/>
          <w:rtl/>
        </w:rPr>
      </w:pPr>
    </w:p>
    <w:p w:rsidR="004B1136" w:rsidRDefault="004B1136" w:rsidP="00F877CD">
      <w:pPr>
        <w:rPr>
          <w:b/>
          <w:bCs/>
          <w:sz w:val="24"/>
          <w:u w:val="single"/>
          <w:rtl/>
        </w:rPr>
      </w:pPr>
    </w:p>
    <w:p w:rsidR="00597D01" w:rsidRPr="004B1136" w:rsidRDefault="00597D01" w:rsidP="00F877CD">
      <w:pPr>
        <w:rPr>
          <w:b/>
          <w:bCs/>
          <w:sz w:val="24"/>
          <w:u w:val="single"/>
          <w:rtl/>
        </w:rPr>
      </w:pPr>
      <w:r w:rsidRPr="004B1136">
        <w:rPr>
          <w:rFonts w:hint="cs"/>
          <w:b/>
          <w:bCs/>
          <w:sz w:val="24"/>
          <w:u w:val="single"/>
          <w:rtl/>
        </w:rPr>
        <w:lastRenderedPageBreak/>
        <w:t>ב. טעמא דקרא</w:t>
      </w:r>
    </w:p>
    <w:p w:rsidR="0025091F" w:rsidRPr="004B1136" w:rsidRDefault="0025091F" w:rsidP="00F877CD">
      <w:pPr>
        <w:pStyle w:val="a8"/>
        <w:numPr>
          <w:ilvl w:val="0"/>
          <w:numId w:val="1"/>
        </w:numPr>
        <w:ind w:left="360"/>
        <w:rPr>
          <w:sz w:val="24"/>
        </w:rPr>
      </w:pPr>
      <w:r w:rsidRPr="004B1136">
        <w:rPr>
          <w:rFonts w:hint="cs"/>
          <w:b/>
          <w:bCs/>
          <w:sz w:val="24"/>
          <w:rtl/>
        </w:rPr>
        <w:t xml:space="preserve">רמב"ם, סוף הלכות מעילה: </w:t>
      </w:r>
      <w:r w:rsidRPr="004B1136">
        <w:rPr>
          <w:rFonts w:hint="cs"/>
          <w:sz w:val="24"/>
          <w:rtl/>
        </w:rPr>
        <w:t>"</w:t>
      </w:r>
      <w:r w:rsidRPr="004B1136">
        <w:rPr>
          <w:sz w:val="24"/>
          <w:rtl/>
        </w:rPr>
        <w:t xml:space="preserve">החוקים הן המצות </w:t>
      </w:r>
      <w:r w:rsidRPr="004B1136">
        <w:rPr>
          <w:sz w:val="24"/>
          <w:u w:val="single"/>
          <w:rtl/>
        </w:rPr>
        <w:t>שאין טעמן ידוע</w:t>
      </w:r>
      <w:r w:rsidRPr="004B1136">
        <w:rPr>
          <w:sz w:val="24"/>
          <w:rtl/>
        </w:rPr>
        <w:t xml:space="preserve"> אמרו חכמים חוקים חקתי לך ואין לך רשות להרהר בהן ויצרו של אדם נוקפו בהן ואומות העולם משיבין עליהן כגון איסור בשר חזיר </w:t>
      </w:r>
      <w:r w:rsidRPr="004B1136">
        <w:rPr>
          <w:sz w:val="24"/>
          <w:u w:val="single"/>
          <w:rtl/>
        </w:rPr>
        <w:t>ובשר בחלב</w:t>
      </w:r>
      <w:r w:rsidRPr="004B1136">
        <w:rPr>
          <w:sz w:val="24"/>
          <w:rtl/>
        </w:rPr>
        <w:t xml:space="preserve"> ועגלה ערופה ופרה אדומה ושעיר המשתלח</w:t>
      </w:r>
      <w:r w:rsidRPr="004B1136">
        <w:rPr>
          <w:rFonts w:hint="cs"/>
          <w:sz w:val="24"/>
          <w:rtl/>
        </w:rPr>
        <w:t>".</w:t>
      </w:r>
    </w:p>
    <w:p w:rsidR="009E313F" w:rsidRPr="004B1136" w:rsidRDefault="009E313F" w:rsidP="006108C8">
      <w:pPr>
        <w:pStyle w:val="a8"/>
        <w:numPr>
          <w:ilvl w:val="0"/>
          <w:numId w:val="1"/>
        </w:numPr>
        <w:ind w:left="360"/>
        <w:rPr>
          <w:sz w:val="24"/>
          <w:rtl/>
        </w:rPr>
      </w:pPr>
      <w:r w:rsidRPr="004B1136">
        <w:rPr>
          <w:rFonts w:hint="cs"/>
          <w:b/>
          <w:bCs/>
          <w:sz w:val="24"/>
          <w:rtl/>
        </w:rPr>
        <w:t>רמב"ן דברים</w:t>
      </w:r>
      <w:r w:rsidR="00EE4854" w:rsidRPr="004B1136">
        <w:rPr>
          <w:rFonts w:hint="cs"/>
          <w:b/>
          <w:bCs/>
          <w:sz w:val="24"/>
          <w:rtl/>
        </w:rPr>
        <w:t>, י"ד כ"א</w:t>
      </w:r>
      <w:r w:rsidR="0025091F" w:rsidRPr="004B1136">
        <w:rPr>
          <w:rFonts w:hint="cs"/>
          <w:b/>
          <w:bCs/>
          <w:sz w:val="24"/>
          <w:rtl/>
        </w:rPr>
        <w:t xml:space="preserve"> (וכעין זה ברשב"ם ובראב"ע)</w:t>
      </w:r>
      <w:r w:rsidR="00EE4854" w:rsidRPr="004B1136">
        <w:rPr>
          <w:rFonts w:hint="cs"/>
          <w:b/>
          <w:bCs/>
          <w:sz w:val="24"/>
          <w:rtl/>
        </w:rPr>
        <w:t>:</w:t>
      </w:r>
      <w:r w:rsidR="00EE4854" w:rsidRPr="004B1136">
        <w:rPr>
          <w:rFonts w:hint="cs"/>
          <w:sz w:val="24"/>
          <w:rtl/>
        </w:rPr>
        <w:t xml:space="preserve"> </w:t>
      </w:r>
      <w:r w:rsidRPr="004B1136">
        <w:rPr>
          <w:rFonts w:hint="cs"/>
          <w:sz w:val="24"/>
          <w:rtl/>
        </w:rPr>
        <w:t xml:space="preserve">"וטעם כי עם קדוש אתה לה' אלהיך - דבק עם לא תבשל גדי בחלב אמו - כי איננו מאכל נתעב, אבל יאסור אותו </w:t>
      </w:r>
      <w:r w:rsidRPr="004B1136">
        <w:rPr>
          <w:rFonts w:hint="cs"/>
          <w:sz w:val="24"/>
          <w:u w:val="single"/>
          <w:rtl/>
        </w:rPr>
        <w:t>להיותנו קדושים במאכלים</w:t>
      </w:r>
      <w:r w:rsidR="006108C8" w:rsidRPr="004B1136">
        <w:rPr>
          <w:rFonts w:hint="cs"/>
          <w:sz w:val="24"/>
          <w:rtl/>
        </w:rPr>
        <w:t>;</w:t>
      </w:r>
      <w:r w:rsidRPr="004B1136">
        <w:rPr>
          <w:rFonts w:hint="cs"/>
          <w:sz w:val="24"/>
          <w:rtl/>
        </w:rPr>
        <w:t xml:space="preserve"> או </w:t>
      </w:r>
      <w:r w:rsidRPr="004B1136">
        <w:rPr>
          <w:rFonts w:hint="cs"/>
          <w:sz w:val="24"/>
          <w:u w:val="single"/>
          <w:rtl/>
        </w:rPr>
        <w:t>להיותנו קדושים שלא נהיה עם אכזרי לא ירחמו שנחלוב את האם ונוציא ממנה החלב שנבשל בו הבן</w:t>
      </w:r>
      <w:r w:rsidRPr="004B1136">
        <w:rPr>
          <w:rFonts w:hint="cs"/>
          <w:sz w:val="24"/>
          <w:rtl/>
        </w:rPr>
        <w:t xml:space="preserve">. ואף על פי שכל בשר בחלב יכנס בלאו הזה, כי כל מינקת תקרא אם וכל יונק יקרא גדי, והוא דרך הבישול, </w:t>
      </w:r>
      <w:r w:rsidRPr="004B1136">
        <w:rPr>
          <w:rFonts w:hint="cs"/>
          <w:sz w:val="24"/>
          <w:u w:val="single"/>
          <w:rtl/>
        </w:rPr>
        <w:t>והנה בכולם אכזריות</w:t>
      </w:r>
      <w:r w:rsidRPr="004B1136">
        <w:rPr>
          <w:rFonts w:hint="cs"/>
          <w:sz w:val="24"/>
          <w:rtl/>
        </w:rPr>
        <w:t>".</w:t>
      </w:r>
    </w:p>
    <w:p w:rsidR="009E313F" w:rsidRPr="004B1136" w:rsidRDefault="009E313F" w:rsidP="006108C8">
      <w:pPr>
        <w:pStyle w:val="a8"/>
        <w:numPr>
          <w:ilvl w:val="0"/>
          <w:numId w:val="1"/>
        </w:numPr>
        <w:ind w:left="360"/>
        <w:rPr>
          <w:sz w:val="24"/>
          <w:rtl/>
        </w:rPr>
      </w:pPr>
      <w:r w:rsidRPr="004B1136">
        <w:rPr>
          <w:rFonts w:hint="cs"/>
          <w:b/>
          <w:bCs/>
          <w:sz w:val="24"/>
          <w:rtl/>
        </w:rPr>
        <w:t xml:space="preserve">מורה </w:t>
      </w:r>
      <w:r w:rsidR="00EE4854" w:rsidRPr="004B1136">
        <w:rPr>
          <w:rFonts w:hint="cs"/>
          <w:b/>
          <w:bCs/>
          <w:sz w:val="24"/>
          <w:rtl/>
        </w:rPr>
        <w:t>ה</w:t>
      </w:r>
      <w:r w:rsidRPr="004B1136">
        <w:rPr>
          <w:rFonts w:hint="cs"/>
          <w:b/>
          <w:bCs/>
          <w:sz w:val="24"/>
          <w:rtl/>
        </w:rPr>
        <w:t>נבוכים</w:t>
      </w:r>
      <w:r w:rsidR="00EE4854" w:rsidRPr="004B1136">
        <w:rPr>
          <w:rFonts w:hint="cs"/>
          <w:b/>
          <w:bCs/>
          <w:sz w:val="24"/>
          <w:rtl/>
        </w:rPr>
        <w:t>, ג' מ"ח:</w:t>
      </w:r>
      <w:r w:rsidR="00EE4854" w:rsidRPr="004B1136">
        <w:rPr>
          <w:rFonts w:hint="cs"/>
          <w:sz w:val="24"/>
          <w:rtl/>
        </w:rPr>
        <w:t xml:space="preserve"> </w:t>
      </w:r>
      <w:r w:rsidRPr="004B1136">
        <w:rPr>
          <w:rFonts w:hint="cs"/>
          <w:sz w:val="24"/>
          <w:rtl/>
        </w:rPr>
        <w:t xml:space="preserve">"ואמנם איסור בשר בחלב עם היותו </w:t>
      </w:r>
      <w:r w:rsidRPr="004B1136">
        <w:rPr>
          <w:rFonts w:hint="cs"/>
          <w:sz w:val="24"/>
          <w:u w:val="single"/>
          <w:rtl/>
        </w:rPr>
        <w:t>מזון עב מאד</w:t>
      </w:r>
      <w:r w:rsidRPr="004B1136">
        <w:rPr>
          <w:rFonts w:hint="cs"/>
          <w:sz w:val="24"/>
          <w:rtl/>
        </w:rPr>
        <w:t xml:space="preserve"> בלא ספק ומוליד מלוי רב</w:t>
      </w:r>
      <w:r w:rsidR="006108C8" w:rsidRPr="004B1136">
        <w:rPr>
          <w:rFonts w:hint="cs"/>
          <w:sz w:val="24"/>
          <w:rtl/>
        </w:rPr>
        <w:t xml:space="preserve">. </w:t>
      </w:r>
      <w:r w:rsidRPr="004B1136">
        <w:rPr>
          <w:rFonts w:hint="cs"/>
          <w:sz w:val="24"/>
          <w:rtl/>
        </w:rPr>
        <w:t xml:space="preserve">אין רחוק אצלי שיש בו </w:t>
      </w:r>
      <w:r w:rsidRPr="004B1136">
        <w:rPr>
          <w:rFonts w:hint="cs"/>
          <w:sz w:val="24"/>
          <w:u w:val="single"/>
          <w:rtl/>
        </w:rPr>
        <w:t>ריח עבודה זרה</w:t>
      </w:r>
      <w:r w:rsidRPr="004B1136">
        <w:rPr>
          <w:rFonts w:hint="cs"/>
          <w:sz w:val="24"/>
          <w:rtl/>
        </w:rPr>
        <w:t>, אולי כך היו עושין בעבודה מעבודתיה או בחג מחגיהם, וממה שמחזק זה אצלי זכר התורה אותו שני פעמים, תחלת מה שצותה עליו עם מצות החג שלש פעמים בשנה יראה כל זכורך, כאלו אמר בעת חגיכם ובואכם לפני לא תבשל מה שתבשל שם על דרך פלוני כמו שהיו הם עושים, זהו הטעם החזק אצלי בענין, ואמנם לא ראיתי זה כתוב במה שראיתיה מספרי הצאב"ה".</w:t>
      </w:r>
    </w:p>
    <w:p w:rsidR="00EE4854" w:rsidRPr="004B1136" w:rsidRDefault="00597D01" w:rsidP="00F877CD">
      <w:pPr>
        <w:pStyle w:val="a8"/>
        <w:numPr>
          <w:ilvl w:val="0"/>
          <w:numId w:val="1"/>
        </w:numPr>
        <w:ind w:left="360"/>
        <w:rPr>
          <w:sz w:val="24"/>
        </w:rPr>
      </w:pPr>
      <w:r w:rsidRPr="004B1136">
        <w:rPr>
          <w:rFonts w:hint="cs"/>
          <w:b/>
          <w:bCs/>
          <w:sz w:val="24"/>
          <w:rtl/>
        </w:rPr>
        <w:t xml:space="preserve">ספר </w:t>
      </w:r>
      <w:r w:rsidR="00EE4854" w:rsidRPr="004B1136">
        <w:rPr>
          <w:rFonts w:hint="cs"/>
          <w:b/>
          <w:bCs/>
          <w:sz w:val="24"/>
          <w:rtl/>
        </w:rPr>
        <w:t>החינוך</w:t>
      </w:r>
      <w:r w:rsidRPr="004B1136">
        <w:rPr>
          <w:rFonts w:hint="cs"/>
          <w:b/>
          <w:bCs/>
          <w:sz w:val="24"/>
          <w:rtl/>
        </w:rPr>
        <w:t>, מצוה צ"ב:</w:t>
      </w:r>
      <w:r w:rsidRPr="004B1136">
        <w:rPr>
          <w:rFonts w:hint="cs"/>
          <w:sz w:val="24"/>
          <w:rtl/>
        </w:rPr>
        <w:t xml:space="preserve"> </w:t>
      </w:r>
      <w:r w:rsidR="00EE4854" w:rsidRPr="004B1136">
        <w:rPr>
          <w:rFonts w:hint="cs"/>
          <w:sz w:val="24"/>
          <w:rtl/>
        </w:rPr>
        <w:t xml:space="preserve">"משרשי מצוה זו, לפי הדומה שהוא כענין מה שכתבנו במצות מכשפה, כי יש </w:t>
      </w:r>
      <w:r w:rsidR="00EE4854" w:rsidRPr="004B1136">
        <w:rPr>
          <w:rFonts w:hint="cs"/>
          <w:sz w:val="24"/>
          <w:u w:val="single"/>
          <w:rtl/>
        </w:rPr>
        <w:t>בעולם דברים שנאסר לנו תערובתן</w:t>
      </w:r>
      <w:r w:rsidR="00EE4854" w:rsidRPr="004B1136">
        <w:rPr>
          <w:rFonts w:hint="cs"/>
          <w:sz w:val="24"/>
          <w:rtl/>
        </w:rPr>
        <w:t xml:space="preserve"> בסיבת הענין שאמרנו שם, ואפשר שתערובת הבשר עם החלב במעשה הבישול יהיה סיבת איסורו מן היסוד ההוא</w:t>
      </w:r>
      <w:r w:rsidR="004A1AE2" w:rsidRPr="004B1136">
        <w:rPr>
          <w:rFonts w:hint="cs"/>
          <w:sz w:val="24"/>
          <w:rtl/>
        </w:rPr>
        <w:t xml:space="preserve"> ... </w:t>
      </w:r>
      <w:r w:rsidR="00EE4854" w:rsidRPr="004B1136">
        <w:rPr>
          <w:rFonts w:hint="cs"/>
          <w:sz w:val="24"/>
          <w:rtl/>
        </w:rPr>
        <w:t xml:space="preserve">וכל זה מורה שיסוד טעמו הוא </w:t>
      </w:r>
      <w:r w:rsidR="00EE4854" w:rsidRPr="004B1136">
        <w:rPr>
          <w:rFonts w:hint="cs"/>
          <w:sz w:val="24"/>
          <w:u w:val="single"/>
          <w:rtl/>
        </w:rPr>
        <w:t>מחמת התערובת</w:t>
      </w:r>
      <w:r w:rsidR="00EE4854" w:rsidRPr="004B1136">
        <w:rPr>
          <w:rFonts w:hint="cs"/>
          <w:sz w:val="24"/>
          <w:rtl/>
        </w:rPr>
        <w:t>, וכענין שאמרנו בכשוף. זה נאמר מתוך הדחק, ועדיין צריכים אנו למודעי המקובל. והרמב"ם זכרונו לברכה כתב בענין טעם אחר, אמר כי יש עובדי עבודה זרה יעבדוה במעשה תערובת בשר עם חלב, ולכן הרחיקה התורה אותו התערובת, וכל זה איננו שווה לי".</w:t>
      </w:r>
    </w:p>
    <w:p w:rsidR="001306C1" w:rsidRPr="004B1136" w:rsidRDefault="001306C1" w:rsidP="001306C1">
      <w:pPr>
        <w:pStyle w:val="a8"/>
        <w:numPr>
          <w:ilvl w:val="0"/>
          <w:numId w:val="1"/>
        </w:numPr>
        <w:ind w:left="360"/>
        <w:rPr>
          <w:sz w:val="24"/>
        </w:rPr>
      </w:pPr>
      <w:r w:rsidRPr="004B1136">
        <w:rPr>
          <w:rFonts w:hint="cs"/>
          <w:b/>
          <w:bCs/>
          <w:sz w:val="24"/>
          <w:rtl/>
        </w:rPr>
        <w:t>רבינו בחיי, שמות כ"ג (וכעין זה בכלי יקר שם):</w:t>
      </w:r>
      <w:r w:rsidRPr="004B1136">
        <w:rPr>
          <w:rFonts w:hint="cs"/>
          <w:sz w:val="24"/>
          <w:rtl/>
        </w:rPr>
        <w:t xml:space="preserve"> "ועל דרך </w:t>
      </w:r>
      <w:r w:rsidRPr="004B1136">
        <w:rPr>
          <w:sz w:val="24"/>
          <w:rtl/>
        </w:rPr>
        <w:t>הקבלה כבר ידעת כי כל המצות כלן אלהיות וכל אחת מהן מצויירת לציורי דברים של מעלה אף כי החקים זכרון ודוגמא של מעלה כי על כן נקראו חקים לפי שהם חקוקים למעלה</w:t>
      </w:r>
      <w:r w:rsidRPr="004B1136">
        <w:rPr>
          <w:rFonts w:hint="cs"/>
          <w:sz w:val="24"/>
          <w:rtl/>
        </w:rPr>
        <w:t>.</w:t>
      </w:r>
      <w:r w:rsidRPr="004B1136">
        <w:rPr>
          <w:sz w:val="24"/>
          <w:rtl/>
        </w:rPr>
        <w:t xml:space="preserve"> </w:t>
      </w:r>
      <w:r w:rsidRPr="004B1136">
        <w:rPr>
          <w:sz w:val="24"/>
          <w:u w:val="single"/>
          <w:rtl/>
        </w:rPr>
        <w:t>והבשר והחלב דוגמא ורמז כנגדם למעלה דברים מיוחדים</w:t>
      </w:r>
      <w:r w:rsidRPr="004B1136">
        <w:rPr>
          <w:sz w:val="24"/>
          <w:rtl/>
        </w:rPr>
        <w:t>, וכשם שהבשר והחלב כל אחד מותר בפני עצמו כן הדברים ההם כל אחד ואחד מיוחד בפני עצמו</w:t>
      </w:r>
      <w:r w:rsidRPr="004B1136">
        <w:rPr>
          <w:rFonts w:hint="cs"/>
          <w:sz w:val="24"/>
          <w:rtl/>
        </w:rPr>
        <w:t>.</w:t>
      </w:r>
      <w:r w:rsidRPr="004B1136">
        <w:rPr>
          <w:sz w:val="24"/>
          <w:rtl/>
        </w:rPr>
        <w:t xml:space="preserve"> </w:t>
      </w:r>
      <w:r w:rsidRPr="004B1136">
        <w:rPr>
          <w:sz w:val="24"/>
          <w:u w:val="single"/>
          <w:rtl/>
        </w:rPr>
        <w:t>וכשם שאין עקר האסור אלא החבור</w:t>
      </w:r>
      <w:r w:rsidRPr="004B1136">
        <w:rPr>
          <w:sz w:val="24"/>
          <w:rtl/>
        </w:rPr>
        <w:t xml:space="preserve"> והתורה הרחיקתו וגזרה ביניהם הבדל ורחוק, כן הדברים ההם יש לנו להבין כי יש ביניהם הבדל ואין להשוות קדושה של מעלה לקדושה של מטה אע"פ שהכל מיוחד זה בזה</w:t>
      </w:r>
      <w:r w:rsidRPr="004B1136">
        <w:rPr>
          <w:rFonts w:hint="cs"/>
          <w:sz w:val="24"/>
          <w:rtl/>
        </w:rPr>
        <w:t>.</w:t>
      </w:r>
      <w:r w:rsidRPr="004B1136">
        <w:rPr>
          <w:sz w:val="24"/>
          <w:rtl/>
        </w:rPr>
        <w:t xml:space="preserve"> ובעוה"ז שיש בו יצר הרע נצטרך ליחד אותם ומיחדין ואומרין כי הוא ושמו אחד, וע"כ אמרו רז"ל לעתיד לבא הקב"ה מגלה להם לישראל מפני מה בשר בחלב אסור, כוונו במאמר זה כי אע"פ שהיא מצוה מוטלת עלינו נוהגת במזוננו ומאכלנו בעולם הגופני הזה אין העולם הזה כדאי ואיננו ראוי להתגלות בו הטעם והסוד מפני שהעולם הזה יש בו יצר הרע ולא תסבלהו דעת הבריות</w:t>
      </w:r>
      <w:r w:rsidRPr="004B1136">
        <w:rPr>
          <w:rFonts w:hint="cs"/>
          <w:sz w:val="24"/>
          <w:rtl/>
        </w:rPr>
        <w:t xml:space="preserve"> ... </w:t>
      </w:r>
      <w:r w:rsidRPr="004B1136">
        <w:rPr>
          <w:sz w:val="24"/>
          <w:u w:val="single"/>
          <w:rtl/>
        </w:rPr>
        <w:t>אבל לעתיד לבא בזמן בטול יצה"ר והוא זמן תחיית המתים שם יבינו הכל הסוד מעקרו ושם יוסיף מעלה והשגה ונוכל להבדיל ונכיר שהוא אחד ושמו אחד</w:t>
      </w:r>
      <w:r w:rsidRPr="004B1136">
        <w:rPr>
          <w:rFonts w:hint="cs"/>
          <w:sz w:val="24"/>
          <w:rtl/>
        </w:rPr>
        <w:t xml:space="preserve"> ... </w:t>
      </w:r>
      <w:r w:rsidRPr="004B1136">
        <w:rPr>
          <w:sz w:val="24"/>
          <w:u w:val="single"/>
          <w:rtl/>
        </w:rPr>
        <w:t>ומכאן תתעורר למה שאכלו המלאכים בשר בחלב שנאמר (בראשית יח) ויקח חמאה וחלב ובן הבקר, כי המלאכים אין להם יצר הרע</w:t>
      </w:r>
      <w:r w:rsidRPr="004B1136">
        <w:rPr>
          <w:rFonts w:hint="cs"/>
          <w:sz w:val="24"/>
          <w:rtl/>
        </w:rPr>
        <w:t xml:space="preserve">". </w:t>
      </w:r>
    </w:p>
    <w:p w:rsidR="007C6754" w:rsidRPr="004B1136" w:rsidRDefault="007C6754" w:rsidP="007C6754">
      <w:pPr>
        <w:pStyle w:val="a8"/>
        <w:numPr>
          <w:ilvl w:val="0"/>
          <w:numId w:val="1"/>
        </w:numPr>
        <w:ind w:left="360"/>
        <w:rPr>
          <w:sz w:val="24"/>
          <w:rtl/>
        </w:rPr>
      </w:pPr>
      <w:r w:rsidRPr="004B1136">
        <w:rPr>
          <w:rFonts w:hint="cs"/>
          <w:b/>
          <w:bCs/>
          <w:sz w:val="24"/>
          <w:rtl/>
        </w:rPr>
        <w:t>ליקוטי הלכות למוהרנ"ת, בשר בחלב ג':</w:t>
      </w:r>
      <w:r w:rsidRPr="004B1136">
        <w:rPr>
          <w:rFonts w:hint="cs"/>
          <w:sz w:val="24"/>
          <w:rtl/>
        </w:rPr>
        <w:t xml:space="preserve"> "וזה בחינת איסור בשר בחלב שאף על פי שזה היתר וזה היתר, אף על פי כן כשמתחברים יחד בשר בחלב נעשה חתיכה דאיסורא ... </w:t>
      </w:r>
      <w:r w:rsidRPr="004B1136">
        <w:rPr>
          <w:rFonts w:hint="cs"/>
          <w:sz w:val="24"/>
          <w:u w:val="single"/>
          <w:rtl/>
        </w:rPr>
        <w:t>וצריך לשמור מאוד את בחינת הגבולים</w:t>
      </w:r>
      <w:r w:rsidRPr="004B1136">
        <w:rPr>
          <w:rFonts w:hint="cs"/>
          <w:sz w:val="24"/>
          <w:rtl/>
        </w:rPr>
        <w:t xml:space="preserve"> ... </w:t>
      </w:r>
      <w:r w:rsidRPr="004B1136">
        <w:rPr>
          <w:rFonts w:hint="cs"/>
          <w:sz w:val="24"/>
          <w:u w:val="single"/>
          <w:rtl/>
        </w:rPr>
        <w:t>וזה בחינת כל איסורי כלאים ואיסור בשר בחלב</w:t>
      </w:r>
      <w:r w:rsidRPr="004B1136">
        <w:rPr>
          <w:rFonts w:hint="cs"/>
          <w:sz w:val="24"/>
          <w:rtl/>
        </w:rPr>
        <w:t xml:space="preserve">, כי צריכין לשמור שיהיה כל דבר בגבולו ובמקומו, כי להתערב חס ושלום שני דברים הסותרים זה את זה שכל אחד יש לו גבול אחר, אזי יהיה נסתר הגבול של כל אחד. וכשנסתר ונפרץ הגבול חס ושלום משם הוא יניקת החיצונים ... </w:t>
      </w:r>
      <w:r w:rsidRPr="004B1136">
        <w:rPr>
          <w:rFonts w:hint="cs"/>
          <w:sz w:val="24"/>
          <w:u w:val="single"/>
          <w:rtl/>
        </w:rPr>
        <w:t>כי בשר וחלב הם שני הפכים: כי בשר הוא מבחינת תוקף הצמצום, בחינת השמאל ... וחלב הוא בבחינת המתקת והרחבת הצמצום והגבול</w:t>
      </w:r>
      <w:r w:rsidRPr="004B1136">
        <w:rPr>
          <w:rFonts w:hint="cs"/>
          <w:sz w:val="24"/>
          <w:rtl/>
        </w:rPr>
        <w:t xml:space="preserve">, כי דם נעכר ונעשה חלב ... ועל כן אסור לערב בשר בחלב יחד כי הם סותרים זה את זה כי באמת צריכים דיקא שני הבחינות של בשר ושל חלב, כי הצמצום הוא קיום העולם, ואף על פי כן צריכין לראות ולהמתיק ולהרחיב הצמצום". </w:t>
      </w:r>
    </w:p>
    <w:p w:rsidR="00597D01" w:rsidRPr="004B1136" w:rsidRDefault="00597D01" w:rsidP="00F877CD">
      <w:pPr>
        <w:rPr>
          <w:sz w:val="24"/>
          <w:rtl/>
        </w:rPr>
      </w:pPr>
    </w:p>
    <w:p w:rsidR="004B1136" w:rsidRDefault="004B1136">
      <w:pPr>
        <w:bidi w:val="0"/>
        <w:spacing w:after="160" w:line="259" w:lineRule="auto"/>
        <w:jc w:val="left"/>
        <w:rPr>
          <w:b/>
          <w:bCs/>
          <w:sz w:val="24"/>
          <w:u w:val="single"/>
        </w:rPr>
      </w:pPr>
      <w:r>
        <w:rPr>
          <w:b/>
          <w:bCs/>
          <w:sz w:val="24"/>
          <w:u w:val="single"/>
          <w:rtl/>
        </w:rPr>
        <w:br w:type="page"/>
      </w:r>
    </w:p>
    <w:p w:rsidR="004A1AE2" w:rsidRPr="004B1136" w:rsidRDefault="004A1AE2" w:rsidP="00F877CD">
      <w:pPr>
        <w:rPr>
          <w:b/>
          <w:bCs/>
          <w:sz w:val="24"/>
          <w:u w:val="single"/>
          <w:rtl/>
        </w:rPr>
      </w:pPr>
      <w:r w:rsidRPr="004B1136">
        <w:rPr>
          <w:rFonts w:hint="cs"/>
          <w:b/>
          <w:bCs/>
          <w:sz w:val="24"/>
          <w:u w:val="single"/>
          <w:rtl/>
        </w:rPr>
        <w:lastRenderedPageBreak/>
        <w:t>ג. איסור בישול ואיסור אכילה</w:t>
      </w:r>
      <w:r w:rsidR="00126215">
        <w:rPr>
          <w:rFonts w:hint="cs"/>
          <w:b/>
          <w:bCs/>
          <w:sz w:val="24"/>
          <w:u w:val="single"/>
          <w:rtl/>
        </w:rPr>
        <w:t xml:space="preserve"> והנאה</w:t>
      </w:r>
    </w:p>
    <w:p w:rsidR="004A1AE2" w:rsidRPr="004B1136" w:rsidRDefault="004A1AE2" w:rsidP="00397781">
      <w:pPr>
        <w:pStyle w:val="a8"/>
        <w:numPr>
          <w:ilvl w:val="0"/>
          <w:numId w:val="1"/>
        </w:numPr>
        <w:ind w:left="360"/>
        <w:rPr>
          <w:sz w:val="24"/>
          <w:rtl/>
        </w:rPr>
      </w:pPr>
      <w:r w:rsidRPr="004B1136">
        <w:rPr>
          <w:rFonts w:hint="cs"/>
          <w:b/>
          <w:bCs/>
          <w:sz w:val="24"/>
          <w:rtl/>
        </w:rPr>
        <w:t>רמב"ם ספר המצוות, לא תעשה קפ"ז:</w:t>
      </w:r>
      <w:r w:rsidRPr="004B1136">
        <w:rPr>
          <w:rFonts w:hint="cs"/>
          <w:sz w:val="24"/>
          <w:rtl/>
        </w:rPr>
        <w:t xml:space="preserve"> "</w:t>
      </w:r>
      <w:r w:rsidRPr="004B1136">
        <w:rPr>
          <w:rFonts w:hint="eastAsia"/>
          <w:sz w:val="24"/>
          <w:rtl/>
        </w:rPr>
        <w:t>ולמקשה</w:t>
      </w:r>
      <w:r w:rsidRPr="004B1136">
        <w:rPr>
          <w:sz w:val="24"/>
          <w:rtl/>
        </w:rPr>
        <w:t xml:space="preserve"> </w:t>
      </w:r>
      <w:r w:rsidRPr="004B1136">
        <w:rPr>
          <w:rFonts w:hint="eastAsia"/>
          <w:sz w:val="24"/>
          <w:rtl/>
        </w:rPr>
        <w:t>שיקשה</w:t>
      </w:r>
      <w:r w:rsidRPr="004B1136">
        <w:rPr>
          <w:sz w:val="24"/>
          <w:rtl/>
        </w:rPr>
        <w:t xml:space="preserve"> </w:t>
      </w:r>
      <w:r w:rsidRPr="004B1136">
        <w:rPr>
          <w:rFonts w:hint="eastAsia"/>
          <w:sz w:val="24"/>
          <w:rtl/>
        </w:rPr>
        <w:t>ויאמר</w:t>
      </w:r>
      <w:r w:rsidRPr="004B1136">
        <w:rPr>
          <w:sz w:val="24"/>
          <w:rtl/>
        </w:rPr>
        <w:t xml:space="preserve"> </w:t>
      </w:r>
      <w:r w:rsidRPr="004B1136">
        <w:rPr>
          <w:rFonts w:hint="eastAsia"/>
          <w:sz w:val="24"/>
          <w:rtl/>
        </w:rPr>
        <w:t>לאי</w:t>
      </w:r>
      <w:r w:rsidRPr="004B1136">
        <w:rPr>
          <w:sz w:val="24"/>
          <w:rtl/>
        </w:rPr>
        <w:t xml:space="preserve"> </w:t>
      </w:r>
      <w:r w:rsidRPr="004B1136">
        <w:rPr>
          <w:rFonts w:hint="eastAsia"/>
          <w:sz w:val="24"/>
          <w:rtl/>
        </w:rPr>
        <w:t>זה</w:t>
      </w:r>
      <w:r w:rsidRPr="004B1136">
        <w:rPr>
          <w:sz w:val="24"/>
          <w:rtl/>
        </w:rPr>
        <w:t xml:space="preserve"> </w:t>
      </w:r>
      <w:r w:rsidRPr="004B1136">
        <w:rPr>
          <w:rFonts w:hint="eastAsia"/>
          <w:sz w:val="24"/>
          <w:rtl/>
        </w:rPr>
        <w:t>דבר</w:t>
      </w:r>
      <w:r w:rsidRPr="004B1136">
        <w:rPr>
          <w:sz w:val="24"/>
          <w:rtl/>
        </w:rPr>
        <w:t xml:space="preserve"> </w:t>
      </w:r>
      <w:r w:rsidRPr="004B1136">
        <w:rPr>
          <w:rFonts w:hint="eastAsia"/>
          <w:sz w:val="24"/>
          <w:rtl/>
        </w:rPr>
        <w:t>מנית</w:t>
      </w:r>
      <w:r w:rsidRPr="004B1136">
        <w:rPr>
          <w:sz w:val="24"/>
          <w:rtl/>
        </w:rPr>
        <w:t xml:space="preserve"> </w:t>
      </w:r>
      <w:r w:rsidRPr="004B1136">
        <w:rPr>
          <w:rFonts w:hint="eastAsia"/>
          <w:sz w:val="24"/>
          <w:rtl/>
        </w:rPr>
        <w:t>איסור</w:t>
      </w:r>
      <w:r w:rsidRPr="004B1136">
        <w:rPr>
          <w:sz w:val="24"/>
          <w:rtl/>
        </w:rPr>
        <w:t xml:space="preserve"> </w:t>
      </w:r>
      <w:r w:rsidRPr="004B1136">
        <w:rPr>
          <w:rFonts w:hint="eastAsia"/>
          <w:sz w:val="24"/>
          <w:rtl/>
        </w:rPr>
        <w:t>אכילתו</w:t>
      </w:r>
      <w:r w:rsidRPr="004B1136">
        <w:rPr>
          <w:sz w:val="24"/>
          <w:rtl/>
        </w:rPr>
        <w:t xml:space="preserve"> </w:t>
      </w:r>
      <w:r w:rsidRPr="004B1136">
        <w:rPr>
          <w:rFonts w:hint="eastAsia"/>
          <w:sz w:val="24"/>
          <w:rtl/>
        </w:rPr>
        <w:t>ואיסור</w:t>
      </w:r>
      <w:r w:rsidRPr="004B1136">
        <w:rPr>
          <w:sz w:val="24"/>
          <w:rtl/>
        </w:rPr>
        <w:t xml:space="preserve"> </w:t>
      </w:r>
      <w:r w:rsidRPr="004B1136">
        <w:rPr>
          <w:rFonts w:hint="eastAsia"/>
          <w:sz w:val="24"/>
          <w:rtl/>
        </w:rPr>
        <w:t>בשולו</w:t>
      </w:r>
      <w:r w:rsidRPr="004B1136">
        <w:rPr>
          <w:sz w:val="24"/>
          <w:rtl/>
        </w:rPr>
        <w:t xml:space="preserve"> </w:t>
      </w:r>
      <w:r w:rsidRPr="004B1136">
        <w:rPr>
          <w:rFonts w:hint="eastAsia"/>
          <w:sz w:val="24"/>
          <w:rtl/>
        </w:rPr>
        <w:t>שתי</w:t>
      </w:r>
      <w:r w:rsidRPr="004B1136">
        <w:rPr>
          <w:sz w:val="24"/>
          <w:rtl/>
        </w:rPr>
        <w:t xml:space="preserve"> </w:t>
      </w:r>
      <w:r w:rsidRPr="004B1136">
        <w:rPr>
          <w:rFonts w:hint="eastAsia"/>
          <w:sz w:val="24"/>
          <w:rtl/>
        </w:rPr>
        <w:t>מצות</w:t>
      </w:r>
      <w:r w:rsidRPr="004B1136">
        <w:rPr>
          <w:sz w:val="24"/>
          <w:rtl/>
        </w:rPr>
        <w:t xml:space="preserve"> </w:t>
      </w:r>
      <w:r w:rsidRPr="004B1136">
        <w:rPr>
          <w:rFonts w:hint="eastAsia"/>
          <w:sz w:val="24"/>
          <w:rtl/>
        </w:rPr>
        <w:t>ולא</w:t>
      </w:r>
      <w:r w:rsidRPr="004B1136">
        <w:rPr>
          <w:sz w:val="24"/>
          <w:rtl/>
        </w:rPr>
        <w:t xml:space="preserve"> </w:t>
      </w:r>
      <w:r w:rsidRPr="004B1136">
        <w:rPr>
          <w:rFonts w:hint="eastAsia"/>
          <w:sz w:val="24"/>
          <w:rtl/>
        </w:rPr>
        <w:t>תמנ</w:t>
      </w:r>
      <w:r w:rsidRPr="004B1136">
        <w:rPr>
          <w:sz w:val="24"/>
          <w:rtl/>
        </w:rPr>
        <w:t xml:space="preserve">' </w:t>
      </w:r>
      <w:r w:rsidRPr="004B1136">
        <w:rPr>
          <w:rFonts w:hint="eastAsia"/>
          <w:sz w:val="24"/>
          <w:rtl/>
        </w:rPr>
        <w:t>איסור</w:t>
      </w:r>
      <w:r w:rsidRPr="004B1136">
        <w:rPr>
          <w:sz w:val="24"/>
          <w:rtl/>
        </w:rPr>
        <w:t xml:space="preserve"> </w:t>
      </w:r>
      <w:r w:rsidRPr="004B1136">
        <w:rPr>
          <w:rFonts w:hint="eastAsia"/>
          <w:sz w:val="24"/>
          <w:rtl/>
        </w:rPr>
        <w:t>הנאתו</w:t>
      </w:r>
      <w:r w:rsidRPr="004B1136">
        <w:rPr>
          <w:sz w:val="24"/>
          <w:rtl/>
        </w:rPr>
        <w:t xml:space="preserve"> </w:t>
      </w:r>
      <w:r w:rsidRPr="004B1136">
        <w:rPr>
          <w:rFonts w:hint="eastAsia"/>
          <w:sz w:val="24"/>
          <w:rtl/>
        </w:rPr>
        <w:t>מצו</w:t>
      </w:r>
      <w:r w:rsidRPr="004B1136">
        <w:rPr>
          <w:sz w:val="24"/>
          <w:rtl/>
        </w:rPr>
        <w:t xml:space="preserve">' </w:t>
      </w:r>
      <w:r w:rsidRPr="004B1136">
        <w:rPr>
          <w:rFonts w:hint="eastAsia"/>
          <w:sz w:val="24"/>
          <w:rtl/>
        </w:rPr>
        <w:t>שלישי</w:t>
      </w:r>
      <w:r w:rsidRPr="004B1136">
        <w:rPr>
          <w:sz w:val="24"/>
          <w:rtl/>
        </w:rPr>
        <w:t>'</w:t>
      </w:r>
      <w:r w:rsidRPr="004B1136">
        <w:rPr>
          <w:rFonts w:hint="cs"/>
          <w:sz w:val="24"/>
          <w:rtl/>
        </w:rPr>
        <w:t>?!</w:t>
      </w:r>
      <w:r w:rsidRPr="004B1136">
        <w:rPr>
          <w:sz w:val="24"/>
          <w:rtl/>
        </w:rPr>
        <w:t xml:space="preserve"> </w:t>
      </w:r>
      <w:r w:rsidRPr="004B1136">
        <w:rPr>
          <w:rFonts w:hint="eastAsia"/>
          <w:sz w:val="24"/>
          <w:rtl/>
        </w:rPr>
        <w:t>הנה</w:t>
      </w:r>
      <w:r w:rsidRPr="004B1136">
        <w:rPr>
          <w:sz w:val="24"/>
          <w:rtl/>
        </w:rPr>
        <w:t xml:space="preserve"> </w:t>
      </w:r>
      <w:r w:rsidRPr="004B1136">
        <w:rPr>
          <w:rFonts w:hint="eastAsia"/>
          <w:sz w:val="24"/>
          <w:rtl/>
        </w:rPr>
        <w:t>ידע</w:t>
      </w:r>
      <w:r w:rsidRPr="004B1136">
        <w:rPr>
          <w:sz w:val="24"/>
          <w:rtl/>
        </w:rPr>
        <w:t xml:space="preserve"> </w:t>
      </w:r>
      <w:r w:rsidRPr="004B1136">
        <w:rPr>
          <w:rFonts w:hint="eastAsia"/>
          <w:sz w:val="24"/>
          <w:rtl/>
        </w:rPr>
        <w:t>המקש</w:t>
      </w:r>
      <w:r w:rsidRPr="004B1136">
        <w:rPr>
          <w:sz w:val="24"/>
          <w:rtl/>
        </w:rPr>
        <w:t xml:space="preserve">' </w:t>
      </w:r>
      <w:r w:rsidRPr="004B1136">
        <w:rPr>
          <w:rFonts w:hint="eastAsia"/>
          <w:sz w:val="24"/>
          <w:u w:val="single"/>
          <w:rtl/>
        </w:rPr>
        <w:t>שאיסור</w:t>
      </w:r>
      <w:r w:rsidRPr="004B1136">
        <w:rPr>
          <w:sz w:val="24"/>
          <w:u w:val="single"/>
          <w:rtl/>
        </w:rPr>
        <w:t xml:space="preserve"> </w:t>
      </w:r>
      <w:r w:rsidRPr="004B1136">
        <w:rPr>
          <w:rFonts w:hint="eastAsia"/>
          <w:sz w:val="24"/>
          <w:u w:val="single"/>
          <w:rtl/>
        </w:rPr>
        <w:t>הנאה</w:t>
      </w:r>
      <w:r w:rsidRPr="004B1136">
        <w:rPr>
          <w:sz w:val="24"/>
          <w:u w:val="single"/>
          <w:rtl/>
        </w:rPr>
        <w:t xml:space="preserve"> </w:t>
      </w:r>
      <w:r w:rsidRPr="004B1136">
        <w:rPr>
          <w:rFonts w:hint="eastAsia"/>
          <w:sz w:val="24"/>
          <w:u w:val="single"/>
          <w:rtl/>
        </w:rPr>
        <w:t>אין</w:t>
      </w:r>
      <w:r w:rsidRPr="004B1136">
        <w:rPr>
          <w:sz w:val="24"/>
          <w:u w:val="single"/>
          <w:rtl/>
        </w:rPr>
        <w:t xml:space="preserve"> </w:t>
      </w:r>
      <w:r w:rsidRPr="004B1136">
        <w:rPr>
          <w:rFonts w:hint="eastAsia"/>
          <w:sz w:val="24"/>
          <w:u w:val="single"/>
          <w:rtl/>
        </w:rPr>
        <w:t>ראוי</w:t>
      </w:r>
      <w:r w:rsidRPr="004B1136">
        <w:rPr>
          <w:sz w:val="24"/>
          <w:u w:val="single"/>
          <w:rtl/>
        </w:rPr>
        <w:t xml:space="preserve"> </w:t>
      </w:r>
      <w:r w:rsidRPr="004B1136">
        <w:rPr>
          <w:rFonts w:hint="eastAsia"/>
          <w:sz w:val="24"/>
          <w:u w:val="single"/>
          <w:rtl/>
        </w:rPr>
        <w:t>שיימנה</w:t>
      </w:r>
      <w:r w:rsidRPr="004B1136">
        <w:rPr>
          <w:sz w:val="24"/>
          <w:u w:val="single"/>
          <w:rtl/>
        </w:rPr>
        <w:t xml:space="preserve"> </w:t>
      </w:r>
      <w:r w:rsidRPr="004B1136">
        <w:rPr>
          <w:rFonts w:hint="eastAsia"/>
          <w:sz w:val="24"/>
          <w:u w:val="single"/>
          <w:rtl/>
        </w:rPr>
        <w:t>מצוה</w:t>
      </w:r>
      <w:r w:rsidRPr="004B1136">
        <w:rPr>
          <w:sz w:val="24"/>
          <w:u w:val="single"/>
          <w:rtl/>
        </w:rPr>
        <w:t xml:space="preserve"> </w:t>
      </w:r>
      <w:r w:rsidRPr="004B1136">
        <w:rPr>
          <w:rFonts w:hint="eastAsia"/>
          <w:sz w:val="24"/>
          <w:u w:val="single"/>
          <w:rtl/>
        </w:rPr>
        <w:t>בפני</w:t>
      </w:r>
      <w:r w:rsidRPr="004B1136">
        <w:rPr>
          <w:sz w:val="24"/>
          <w:u w:val="single"/>
          <w:rtl/>
        </w:rPr>
        <w:t xml:space="preserve"> </w:t>
      </w:r>
      <w:r w:rsidRPr="004B1136">
        <w:rPr>
          <w:rFonts w:hint="eastAsia"/>
          <w:sz w:val="24"/>
          <w:u w:val="single"/>
          <w:rtl/>
        </w:rPr>
        <w:t>עצמה</w:t>
      </w:r>
      <w:r w:rsidRPr="004B1136">
        <w:rPr>
          <w:sz w:val="24"/>
          <w:u w:val="single"/>
          <w:rtl/>
        </w:rPr>
        <w:t xml:space="preserve"> </w:t>
      </w:r>
      <w:r w:rsidRPr="004B1136">
        <w:rPr>
          <w:rFonts w:hint="eastAsia"/>
          <w:sz w:val="24"/>
          <w:u w:val="single"/>
          <w:rtl/>
        </w:rPr>
        <w:t>מפני</w:t>
      </w:r>
      <w:r w:rsidRPr="004B1136">
        <w:rPr>
          <w:sz w:val="24"/>
          <w:u w:val="single"/>
          <w:rtl/>
        </w:rPr>
        <w:t xml:space="preserve"> </w:t>
      </w:r>
      <w:r w:rsidRPr="004B1136">
        <w:rPr>
          <w:rFonts w:hint="eastAsia"/>
          <w:sz w:val="24"/>
          <w:u w:val="single"/>
          <w:rtl/>
        </w:rPr>
        <w:t>שהוא</w:t>
      </w:r>
      <w:r w:rsidRPr="004B1136">
        <w:rPr>
          <w:sz w:val="24"/>
          <w:u w:val="single"/>
          <w:rtl/>
        </w:rPr>
        <w:t xml:space="preserve"> </w:t>
      </w:r>
      <w:r w:rsidRPr="004B1136">
        <w:rPr>
          <w:rFonts w:hint="eastAsia"/>
          <w:sz w:val="24"/>
          <w:u w:val="single"/>
          <w:rtl/>
        </w:rPr>
        <w:t>ואיסור</w:t>
      </w:r>
      <w:r w:rsidRPr="004B1136">
        <w:rPr>
          <w:sz w:val="24"/>
          <w:u w:val="single"/>
          <w:rtl/>
        </w:rPr>
        <w:t xml:space="preserve"> </w:t>
      </w:r>
      <w:r w:rsidRPr="004B1136">
        <w:rPr>
          <w:rFonts w:hint="eastAsia"/>
          <w:sz w:val="24"/>
          <w:u w:val="single"/>
          <w:rtl/>
        </w:rPr>
        <w:t>אכילה</w:t>
      </w:r>
      <w:r w:rsidRPr="004B1136">
        <w:rPr>
          <w:sz w:val="24"/>
          <w:u w:val="single"/>
          <w:rtl/>
        </w:rPr>
        <w:t xml:space="preserve"> </w:t>
      </w:r>
      <w:r w:rsidRPr="004B1136">
        <w:rPr>
          <w:rFonts w:hint="eastAsia"/>
          <w:sz w:val="24"/>
          <w:u w:val="single"/>
          <w:rtl/>
        </w:rPr>
        <w:t>ענין</w:t>
      </w:r>
      <w:r w:rsidRPr="004B1136">
        <w:rPr>
          <w:sz w:val="24"/>
          <w:u w:val="single"/>
          <w:rtl/>
        </w:rPr>
        <w:t xml:space="preserve"> </w:t>
      </w:r>
      <w:r w:rsidRPr="004B1136">
        <w:rPr>
          <w:rFonts w:hint="eastAsia"/>
          <w:sz w:val="24"/>
          <w:u w:val="single"/>
          <w:rtl/>
        </w:rPr>
        <w:t>אחד</w:t>
      </w:r>
      <w:r w:rsidR="00397781" w:rsidRPr="004B1136">
        <w:rPr>
          <w:rFonts w:hint="cs"/>
          <w:sz w:val="24"/>
          <w:u w:val="single"/>
          <w:rtl/>
        </w:rPr>
        <w:t xml:space="preserve">, </w:t>
      </w:r>
      <w:r w:rsidRPr="004B1136">
        <w:rPr>
          <w:rFonts w:hint="eastAsia"/>
          <w:sz w:val="24"/>
          <w:u w:val="single"/>
          <w:rtl/>
        </w:rPr>
        <w:t>שהאכילה</w:t>
      </w:r>
      <w:r w:rsidRPr="004B1136">
        <w:rPr>
          <w:sz w:val="24"/>
          <w:u w:val="single"/>
          <w:rtl/>
        </w:rPr>
        <w:t xml:space="preserve"> </w:t>
      </w:r>
      <w:r w:rsidRPr="004B1136">
        <w:rPr>
          <w:rFonts w:hint="eastAsia"/>
          <w:sz w:val="24"/>
          <w:u w:val="single"/>
          <w:rtl/>
        </w:rPr>
        <w:t>מין</w:t>
      </w:r>
      <w:r w:rsidRPr="004B1136">
        <w:rPr>
          <w:sz w:val="24"/>
          <w:u w:val="single"/>
          <w:rtl/>
        </w:rPr>
        <w:t xml:space="preserve"> </w:t>
      </w:r>
      <w:r w:rsidRPr="004B1136">
        <w:rPr>
          <w:rFonts w:hint="eastAsia"/>
          <w:sz w:val="24"/>
          <w:u w:val="single"/>
          <w:rtl/>
        </w:rPr>
        <w:t>ממיני</w:t>
      </w:r>
      <w:r w:rsidRPr="004B1136">
        <w:rPr>
          <w:sz w:val="24"/>
          <w:u w:val="single"/>
          <w:rtl/>
        </w:rPr>
        <w:t xml:space="preserve"> </w:t>
      </w:r>
      <w:r w:rsidRPr="004B1136">
        <w:rPr>
          <w:rFonts w:hint="eastAsia"/>
          <w:sz w:val="24"/>
          <w:u w:val="single"/>
          <w:rtl/>
        </w:rPr>
        <w:t>ההנאה</w:t>
      </w:r>
      <w:r w:rsidRPr="004B1136">
        <w:rPr>
          <w:sz w:val="24"/>
          <w:rtl/>
        </w:rPr>
        <w:t xml:space="preserve">. </w:t>
      </w:r>
      <w:r w:rsidRPr="004B1136">
        <w:rPr>
          <w:rFonts w:hint="eastAsia"/>
          <w:sz w:val="24"/>
          <w:rtl/>
        </w:rPr>
        <w:t>ואמרו</w:t>
      </w:r>
      <w:r w:rsidRPr="004B1136">
        <w:rPr>
          <w:sz w:val="24"/>
          <w:rtl/>
        </w:rPr>
        <w:t xml:space="preserve"> </w:t>
      </w:r>
      <w:r w:rsidRPr="004B1136">
        <w:rPr>
          <w:rFonts w:hint="eastAsia"/>
          <w:sz w:val="24"/>
          <w:rtl/>
        </w:rPr>
        <w:t>ית</w:t>
      </w:r>
      <w:r w:rsidRPr="004B1136">
        <w:rPr>
          <w:sz w:val="24"/>
          <w:rtl/>
        </w:rPr>
        <w:t xml:space="preserve">' </w:t>
      </w:r>
      <w:r w:rsidRPr="004B1136">
        <w:rPr>
          <w:rFonts w:hint="eastAsia"/>
          <w:sz w:val="24"/>
          <w:rtl/>
        </w:rPr>
        <w:t>בדבר</w:t>
      </w:r>
      <w:r w:rsidRPr="004B1136">
        <w:rPr>
          <w:sz w:val="24"/>
          <w:rtl/>
        </w:rPr>
        <w:t xml:space="preserve"> </w:t>
      </w:r>
      <w:r w:rsidRPr="004B1136">
        <w:rPr>
          <w:rFonts w:hint="eastAsia"/>
          <w:sz w:val="24"/>
          <w:rtl/>
        </w:rPr>
        <w:t>שהוא</w:t>
      </w:r>
      <w:r w:rsidRPr="004B1136">
        <w:rPr>
          <w:sz w:val="24"/>
          <w:rtl/>
        </w:rPr>
        <w:t xml:space="preserve"> </w:t>
      </w:r>
      <w:r w:rsidRPr="004B1136">
        <w:rPr>
          <w:rFonts w:hint="eastAsia"/>
          <w:sz w:val="24"/>
          <w:rtl/>
        </w:rPr>
        <w:t>לא</w:t>
      </w:r>
      <w:r w:rsidRPr="004B1136">
        <w:rPr>
          <w:sz w:val="24"/>
          <w:rtl/>
        </w:rPr>
        <w:t xml:space="preserve"> </w:t>
      </w:r>
      <w:r w:rsidRPr="004B1136">
        <w:rPr>
          <w:rFonts w:hint="eastAsia"/>
          <w:sz w:val="24"/>
          <w:rtl/>
        </w:rPr>
        <w:t>ייאכל</w:t>
      </w:r>
      <w:r w:rsidRPr="004B1136">
        <w:rPr>
          <w:sz w:val="24"/>
          <w:rtl/>
        </w:rPr>
        <w:t xml:space="preserve"> </w:t>
      </w:r>
      <w:r w:rsidRPr="004B1136">
        <w:rPr>
          <w:rFonts w:hint="eastAsia"/>
          <w:sz w:val="24"/>
          <w:rtl/>
        </w:rPr>
        <w:t>אמנם</w:t>
      </w:r>
      <w:r w:rsidRPr="004B1136">
        <w:rPr>
          <w:sz w:val="24"/>
          <w:rtl/>
        </w:rPr>
        <w:t xml:space="preserve"> </w:t>
      </w:r>
      <w:r w:rsidRPr="004B1136">
        <w:rPr>
          <w:rFonts w:hint="eastAsia"/>
          <w:sz w:val="24"/>
          <w:rtl/>
        </w:rPr>
        <w:t>הוא</w:t>
      </w:r>
      <w:r w:rsidRPr="004B1136">
        <w:rPr>
          <w:sz w:val="24"/>
          <w:rtl/>
        </w:rPr>
        <w:t xml:space="preserve"> </w:t>
      </w:r>
      <w:r w:rsidRPr="004B1136">
        <w:rPr>
          <w:rFonts w:hint="eastAsia"/>
          <w:sz w:val="24"/>
          <w:rtl/>
        </w:rPr>
        <w:t>דמיון</w:t>
      </w:r>
      <w:r w:rsidRPr="004B1136">
        <w:rPr>
          <w:sz w:val="24"/>
          <w:rtl/>
        </w:rPr>
        <w:t xml:space="preserve"> </w:t>
      </w:r>
      <w:r w:rsidRPr="004B1136">
        <w:rPr>
          <w:rFonts w:hint="eastAsia"/>
          <w:sz w:val="24"/>
          <w:rtl/>
        </w:rPr>
        <w:t>מדמיוני</w:t>
      </w:r>
      <w:r w:rsidRPr="004B1136">
        <w:rPr>
          <w:sz w:val="24"/>
          <w:rtl/>
        </w:rPr>
        <w:t xml:space="preserve"> </w:t>
      </w:r>
      <w:r w:rsidRPr="004B1136">
        <w:rPr>
          <w:rFonts w:hint="eastAsia"/>
          <w:sz w:val="24"/>
          <w:rtl/>
        </w:rPr>
        <w:t>ההנאה</w:t>
      </w:r>
      <w:r w:rsidRPr="004B1136">
        <w:rPr>
          <w:sz w:val="24"/>
          <w:rtl/>
        </w:rPr>
        <w:t xml:space="preserve">. </w:t>
      </w:r>
      <w:r w:rsidRPr="004B1136">
        <w:rPr>
          <w:rFonts w:hint="eastAsia"/>
          <w:sz w:val="24"/>
          <w:rtl/>
        </w:rPr>
        <w:t>והכוונה</w:t>
      </w:r>
      <w:r w:rsidRPr="004B1136">
        <w:rPr>
          <w:sz w:val="24"/>
          <w:rtl/>
        </w:rPr>
        <w:t xml:space="preserve"> </w:t>
      </w:r>
      <w:r w:rsidRPr="004B1136">
        <w:rPr>
          <w:rFonts w:hint="eastAsia"/>
          <w:sz w:val="24"/>
          <w:rtl/>
        </w:rPr>
        <w:t>שהוא</w:t>
      </w:r>
      <w:r w:rsidRPr="004B1136">
        <w:rPr>
          <w:sz w:val="24"/>
          <w:rtl/>
        </w:rPr>
        <w:t xml:space="preserve"> </w:t>
      </w:r>
      <w:r w:rsidRPr="004B1136">
        <w:rPr>
          <w:rFonts w:hint="eastAsia"/>
          <w:sz w:val="24"/>
          <w:rtl/>
        </w:rPr>
        <w:t>לא</w:t>
      </w:r>
      <w:r w:rsidRPr="004B1136">
        <w:rPr>
          <w:sz w:val="24"/>
          <w:rtl/>
        </w:rPr>
        <w:t xml:space="preserve"> </w:t>
      </w:r>
      <w:r w:rsidRPr="004B1136">
        <w:rPr>
          <w:rFonts w:hint="eastAsia"/>
          <w:sz w:val="24"/>
          <w:rtl/>
        </w:rPr>
        <w:t>יהנה</w:t>
      </w:r>
      <w:r w:rsidRPr="004B1136">
        <w:rPr>
          <w:sz w:val="24"/>
          <w:rtl/>
        </w:rPr>
        <w:t xml:space="preserve"> </w:t>
      </w:r>
      <w:r w:rsidRPr="004B1136">
        <w:rPr>
          <w:rFonts w:hint="eastAsia"/>
          <w:sz w:val="24"/>
          <w:rtl/>
        </w:rPr>
        <w:t>בו</w:t>
      </w:r>
      <w:r w:rsidRPr="004B1136">
        <w:rPr>
          <w:sz w:val="24"/>
          <w:rtl/>
        </w:rPr>
        <w:t xml:space="preserve"> </w:t>
      </w:r>
      <w:r w:rsidRPr="004B1136">
        <w:rPr>
          <w:rFonts w:hint="eastAsia"/>
          <w:sz w:val="24"/>
          <w:rtl/>
        </w:rPr>
        <w:t>לא</w:t>
      </w:r>
      <w:r w:rsidRPr="004B1136">
        <w:rPr>
          <w:sz w:val="24"/>
          <w:rtl/>
        </w:rPr>
        <w:t xml:space="preserve"> </w:t>
      </w:r>
      <w:r w:rsidRPr="004B1136">
        <w:rPr>
          <w:rFonts w:hint="eastAsia"/>
          <w:sz w:val="24"/>
          <w:rtl/>
        </w:rPr>
        <w:t>באכילה</w:t>
      </w:r>
      <w:r w:rsidRPr="004B1136">
        <w:rPr>
          <w:sz w:val="24"/>
          <w:rtl/>
        </w:rPr>
        <w:t xml:space="preserve"> </w:t>
      </w:r>
      <w:r w:rsidRPr="004B1136">
        <w:rPr>
          <w:rFonts w:hint="eastAsia"/>
          <w:sz w:val="24"/>
          <w:rtl/>
        </w:rPr>
        <w:t>ולא</w:t>
      </w:r>
      <w:r w:rsidRPr="004B1136">
        <w:rPr>
          <w:sz w:val="24"/>
          <w:rtl/>
        </w:rPr>
        <w:t xml:space="preserve"> </w:t>
      </w:r>
      <w:r w:rsidRPr="004B1136">
        <w:rPr>
          <w:rFonts w:hint="eastAsia"/>
          <w:sz w:val="24"/>
          <w:rtl/>
        </w:rPr>
        <w:t>בזולתו</w:t>
      </w:r>
      <w:r w:rsidRPr="004B1136">
        <w:rPr>
          <w:sz w:val="24"/>
          <w:rtl/>
        </w:rPr>
        <w:t xml:space="preserve">. </w:t>
      </w:r>
      <w:r w:rsidRPr="004B1136">
        <w:rPr>
          <w:rFonts w:hint="eastAsia"/>
          <w:sz w:val="24"/>
          <w:rtl/>
        </w:rPr>
        <w:t>והוא</w:t>
      </w:r>
      <w:r w:rsidRPr="004B1136">
        <w:rPr>
          <w:sz w:val="24"/>
          <w:rtl/>
        </w:rPr>
        <w:t xml:space="preserve"> </w:t>
      </w:r>
      <w:r w:rsidRPr="004B1136">
        <w:rPr>
          <w:rFonts w:hint="eastAsia"/>
          <w:sz w:val="24"/>
          <w:rtl/>
        </w:rPr>
        <w:t>אמרם</w:t>
      </w:r>
      <w:r w:rsidRPr="004B1136">
        <w:rPr>
          <w:sz w:val="24"/>
          <w:rtl/>
        </w:rPr>
        <w:t xml:space="preserve"> </w:t>
      </w:r>
      <w:r w:rsidRPr="004B1136">
        <w:rPr>
          <w:rFonts w:hint="eastAsia"/>
          <w:sz w:val="24"/>
          <w:rtl/>
        </w:rPr>
        <w:t>ע</w:t>
      </w:r>
      <w:r w:rsidRPr="004B1136">
        <w:rPr>
          <w:sz w:val="24"/>
          <w:rtl/>
        </w:rPr>
        <w:t>"</w:t>
      </w:r>
      <w:r w:rsidRPr="004B1136">
        <w:rPr>
          <w:rFonts w:hint="eastAsia"/>
          <w:sz w:val="24"/>
          <w:rtl/>
        </w:rPr>
        <w:t>ה</w:t>
      </w:r>
      <w:r w:rsidRPr="004B1136">
        <w:rPr>
          <w:sz w:val="24"/>
          <w:rtl/>
        </w:rPr>
        <w:t xml:space="preserve"> (</w:t>
      </w:r>
      <w:r w:rsidRPr="004B1136">
        <w:rPr>
          <w:rFonts w:hint="eastAsia"/>
          <w:sz w:val="24"/>
          <w:rtl/>
        </w:rPr>
        <w:t>פסחי</w:t>
      </w:r>
      <w:r w:rsidRPr="004B1136">
        <w:rPr>
          <w:sz w:val="24"/>
          <w:rtl/>
        </w:rPr>
        <w:t xml:space="preserve">' </w:t>
      </w:r>
      <w:r w:rsidRPr="004B1136">
        <w:rPr>
          <w:rFonts w:hint="eastAsia"/>
          <w:sz w:val="24"/>
          <w:rtl/>
        </w:rPr>
        <w:t>כא</w:t>
      </w:r>
      <w:r w:rsidRPr="004B1136">
        <w:rPr>
          <w:sz w:val="24"/>
          <w:rtl/>
        </w:rPr>
        <w:t xml:space="preserve"> </w:t>
      </w:r>
      <w:r w:rsidRPr="004B1136">
        <w:rPr>
          <w:rFonts w:hint="eastAsia"/>
          <w:sz w:val="24"/>
          <w:rtl/>
        </w:rPr>
        <w:t>ב</w:t>
      </w:r>
      <w:r w:rsidRPr="004B1136">
        <w:rPr>
          <w:sz w:val="24"/>
          <w:rtl/>
        </w:rPr>
        <w:t xml:space="preserve"> </w:t>
      </w:r>
      <w:r w:rsidRPr="004B1136">
        <w:rPr>
          <w:rFonts w:hint="eastAsia"/>
          <w:sz w:val="24"/>
          <w:rtl/>
        </w:rPr>
        <w:t>וש</w:t>
      </w:r>
      <w:r w:rsidRPr="004B1136">
        <w:rPr>
          <w:sz w:val="24"/>
          <w:rtl/>
        </w:rPr>
        <w:t>"</w:t>
      </w:r>
      <w:r w:rsidRPr="004B1136">
        <w:rPr>
          <w:rFonts w:hint="eastAsia"/>
          <w:sz w:val="24"/>
          <w:rtl/>
        </w:rPr>
        <w:t>נ</w:t>
      </w:r>
      <w:r w:rsidRPr="004B1136">
        <w:rPr>
          <w:sz w:val="24"/>
          <w:rtl/>
        </w:rPr>
        <w:t xml:space="preserve">) </w:t>
      </w:r>
      <w:r w:rsidRPr="004B1136">
        <w:rPr>
          <w:rFonts w:hint="eastAsia"/>
          <w:sz w:val="24"/>
          <w:rtl/>
        </w:rPr>
        <w:t>כל</w:t>
      </w:r>
      <w:r w:rsidRPr="004B1136">
        <w:rPr>
          <w:sz w:val="24"/>
          <w:rtl/>
        </w:rPr>
        <w:t xml:space="preserve"> </w:t>
      </w:r>
      <w:r w:rsidRPr="004B1136">
        <w:rPr>
          <w:rFonts w:hint="eastAsia"/>
          <w:sz w:val="24"/>
          <w:rtl/>
        </w:rPr>
        <w:t>מקום</w:t>
      </w:r>
      <w:r w:rsidRPr="004B1136">
        <w:rPr>
          <w:sz w:val="24"/>
          <w:rtl/>
        </w:rPr>
        <w:t xml:space="preserve"> </w:t>
      </w:r>
      <w:r w:rsidRPr="004B1136">
        <w:rPr>
          <w:rFonts w:hint="eastAsia"/>
          <w:sz w:val="24"/>
          <w:rtl/>
        </w:rPr>
        <w:t>שנאמר</w:t>
      </w:r>
      <w:r w:rsidRPr="004B1136">
        <w:rPr>
          <w:sz w:val="24"/>
          <w:rtl/>
        </w:rPr>
        <w:t xml:space="preserve"> </w:t>
      </w:r>
      <w:r w:rsidRPr="004B1136">
        <w:rPr>
          <w:rFonts w:hint="eastAsia"/>
          <w:sz w:val="24"/>
          <w:rtl/>
        </w:rPr>
        <w:t>לא</w:t>
      </w:r>
      <w:r w:rsidRPr="004B1136">
        <w:rPr>
          <w:sz w:val="24"/>
          <w:rtl/>
        </w:rPr>
        <w:t xml:space="preserve"> </w:t>
      </w:r>
      <w:r w:rsidRPr="004B1136">
        <w:rPr>
          <w:rFonts w:hint="eastAsia"/>
          <w:sz w:val="24"/>
          <w:rtl/>
        </w:rPr>
        <w:t>תאכל</w:t>
      </w:r>
      <w:r w:rsidRPr="004B1136">
        <w:rPr>
          <w:sz w:val="24"/>
          <w:rtl/>
        </w:rPr>
        <w:t xml:space="preserve"> </w:t>
      </w:r>
      <w:r w:rsidRPr="004B1136">
        <w:rPr>
          <w:rFonts w:hint="eastAsia"/>
          <w:sz w:val="24"/>
          <w:rtl/>
        </w:rPr>
        <w:t>לא</w:t>
      </w:r>
      <w:r w:rsidRPr="004B1136">
        <w:rPr>
          <w:sz w:val="24"/>
          <w:rtl/>
        </w:rPr>
        <w:t xml:space="preserve"> </w:t>
      </w:r>
      <w:r w:rsidRPr="004B1136">
        <w:rPr>
          <w:rFonts w:hint="eastAsia"/>
          <w:sz w:val="24"/>
          <w:rtl/>
        </w:rPr>
        <w:t>תאכלו</w:t>
      </w:r>
      <w:r w:rsidRPr="004B1136">
        <w:rPr>
          <w:sz w:val="24"/>
          <w:rtl/>
        </w:rPr>
        <w:t xml:space="preserve"> </w:t>
      </w:r>
      <w:r w:rsidRPr="004B1136">
        <w:rPr>
          <w:rFonts w:hint="eastAsia"/>
          <w:sz w:val="24"/>
          <w:rtl/>
        </w:rPr>
        <w:t>לא</w:t>
      </w:r>
      <w:r w:rsidRPr="004B1136">
        <w:rPr>
          <w:sz w:val="24"/>
          <w:rtl/>
        </w:rPr>
        <w:t xml:space="preserve"> </w:t>
      </w:r>
      <w:r w:rsidRPr="004B1136">
        <w:rPr>
          <w:rFonts w:hint="eastAsia"/>
          <w:sz w:val="24"/>
          <w:rtl/>
        </w:rPr>
        <w:t>יאכל</w:t>
      </w:r>
      <w:r w:rsidRPr="004B1136">
        <w:rPr>
          <w:sz w:val="24"/>
          <w:rtl/>
        </w:rPr>
        <w:t xml:space="preserve"> </w:t>
      </w:r>
      <w:r w:rsidRPr="004B1136">
        <w:rPr>
          <w:rFonts w:hint="eastAsia"/>
          <w:sz w:val="24"/>
          <w:rtl/>
        </w:rPr>
        <w:t>אחד</w:t>
      </w:r>
      <w:r w:rsidRPr="004B1136">
        <w:rPr>
          <w:sz w:val="24"/>
          <w:rtl/>
        </w:rPr>
        <w:t xml:space="preserve"> </w:t>
      </w:r>
      <w:r w:rsidRPr="004B1136">
        <w:rPr>
          <w:rFonts w:hint="eastAsia"/>
          <w:sz w:val="24"/>
          <w:rtl/>
        </w:rPr>
        <w:t>איסור</w:t>
      </w:r>
      <w:r w:rsidRPr="004B1136">
        <w:rPr>
          <w:sz w:val="24"/>
          <w:rtl/>
        </w:rPr>
        <w:t xml:space="preserve"> </w:t>
      </w:r>
      <w:r w:rsidRPr="004B1136">
        <w:rPr>
          <w:rFonts w:hint="eastAsia"/>
          <w:sz w:val="24"/>
          <w:rtl/>
        </w:rPr>
        <w:t>אכילה</w:t>
      </w:r>
      <w:r w:rsidRPr="004B1136">
        <w:rPr>
          <w:sz w:val="24"/>
          <w:rtl/>
        </w:rPr>
        <w:t xml:space="preserve"> </w:t>
      </w:r>
      <w:r w:rsidRPr="004B1136">
        <w:rPr>
          <w:rFonts w:hint="eastAsia"/>
          <w:sz w:val="24"/>
          <w:rtl/>
        </w:rPr>
        <w:t>ואחד</w:t>
      </w:r>
      <w:r w:rsidRPr="004B1136">
        <w:rPr>
          <w:sz w:val="24"/>
          <w:rtl/>
        </w:rPr>
        <w:t xml:space="preserve"> </w:t>
      </w:r>
      <w:r w:rsidRPr="004B1136">
        <w:rPr>
          <w:rFonts w:hint="eastAsia"/>
          <w:sz w:val="24"/>
          <w:rtl/>
        </w:rPr>
        <w:t>איסור</w:t>
      </w:r>
      <w:r w:rsidRPr="004B1136">
        <w:rPr>
          <w:sz w:val="24"/>
          <w:rtl/>
        </w:rPr>
        <w:t xml:space="preserve"> </w:t>
      </w:r>
      <w:r w:rsidRPr="004B1136">
        <w:rPr>
          <w:rFonts w:hint="eastAsia"/>
          <w:sz w:val="24"/>
          <w:rtl/>
        </w:rPr>
        <w:t>הנאה</w:t>
      </w:r>
      <w:r w:rsidRPr="004B1136">
        <w:rPr>
          <w:sz w:val="24"/>
          <w:rtl/>
        </w:rPr>
        <w:t xml:space="preserve"> </w:t>
      </w:r>
      <w:r w:rsidRPr="004B1136">
        <w:rPr>
          <w:rFonts w:hint="eastAsia"/>
          <w:sz w:val="24"/>
          <w:rtl/>
        </w:rPr>
        <w:t>במשמע</w:t>
      </w:r>
      <w:r w:rsidRPr="004B1136">
        <w:rPr>
          <w:sz w:val="24"/>
          <w:rtl/>
        </w:rPr>
        <w:t xml:space="preserve"> </w:t>
      </w:r>
      <w:r w:rsidRPr="004B1136">
        <w:rPr>
          <w:rFonts w:hint="eastAsia"/>
          <w:sz w:val="24"/>
          <w:rtl/>
        </w:rPr>
        <w:t>עד</w:t>
      </w:r>
      <w:r w:rsidRPr="004B1136">
        <w:rPr>
          <w:sz w:val="24"/>
          <w:rtl/>
        </w:rPr>
        <w:t xml:space="preserve"> </w:t>
      </w:r>
      <w:r w:rsidRPr="004B1136">
        <w:rPr>
          <w:rFonts w:hint="eastAsia"/>
          <w:sz w:val="24"/>
          <w:rtl/>
        </w:rPr>
        <w:t>שיפרט</w:t>
      </w:r>
      <w:r w:rsidRPr="004B1136">
        <w:rPr>
          <w:sz w:val="24"/>
          <w:rtl/>
        </w:rPr>
        <w:t xml:space="preserve"> </w:t>
      </w:r>
      <w:r w:rsidRPr="004B1136">
        <w:rPr>
          <w:rFonts w:hint="eastAsia"/>
          <w:sz w:val="24"/>
          <w:rtl/>
        </w:rPr>
        <w:t>לך</w:t>
      </w:r>
      <w:r w:rsidRPr="004B1136">
        <w:rPr>
          <w:sz w:val="24"/>
          <w:rtl/>
        </w:rPr>
        <w:t xml:space="preserve"> </w:t>
      </w:r>
      <w:r w:rsidRPr="004B1136">
        <w:rPr>
          <w:rFonts w:hint="eastAsia"/>
          <w:sz w:val="24"/>
          <w:rtl/>
        </w:rPr>
        <w:t>הכתוב</w:t>
      </w:r>
      <w:r w:rsidRPr="004B1136">
        <w:rPr>
          <w:sz w:val="24"/>
          <w:rtl/>
        </w:rPr>
        <w:t xml:space="preserve"> </w:t>
      </w:r>
      <w:r w:rsidRPr="004B1136">
        <w:rPr>
          <w:rFonts w:hint="eastAsia"/>
          <w:sz w:val="24"/>
          <w:rtl/>
        </w:rPr>
        <w:t>כדרך</w:t>
      </w:r>
      <w:r w:rsidRPr="004B1136">
        <w:rPr>
          <w:sz w:val="24"/>
          <w:rtl/>
        </w:rPr>
        <w:t xml:space="preserve"> </w:t>
      </w:r>
      <w:r w:rsidRPr="004B1136">
        <w:rPr>
          <w:rFonts w:hint="eastAsia"/>
          <w:sz w:val="24"/>
          <w:rtl/>
        </w:rPr>
        <w:t>שפרט</w:t>
      </w:r>
      <w:r w:rsidRPr="004B1136">
        <w:rPr>
          <w:sz w:val="24"/>
          <w:rtl/>
        </w:rPr>
        <w:t xml:space="preserve"> </w:t>
      </w:r>
      <w:r w:rsidRPr="004B1136">
        <w:rPr>
          <w:rFonts w:hint="eastAsia"/>
          <w:sz w:val="24"/>
          <w:rtl/>
        </w:rPr>
        <w:t>בנבלה</w:t>
      </w:r>
      <w:r w:rsidRPr="004B1136">
        <w:rPr>
          <w:sz w:val="24"/>
          <w:rtl/>
        </w:rPr>
        <w:t xml:space="preserve">, </w:t>
      </w:r>
      <w:r w:rsidRPr="004B1136">
        <w:rPr>
          <w:rFonts w:hint="eastAsia"/>
          <w:sz w:val="24"/>
          <w:rtl/>
        </w:rPr>
        <w:t>שביאר</w:t>
      </w:r>
      <w:r w:rsidRPr="004B1136">
        <w:rPr>
          <w:sz w:val="24"/>
          <w:rtl/>
        </w:rPr>
        <w:t xml:space="preserve"> </w:t>
      </w:r>
      <w:r w:rsidRPr="004B1136">
        <w:rPr>
          <w:rFonts w:hint="eastAsia"/>
          <w:sz w:val="24"/>
          <w:rtl/>
        </w:rPr>
        <w:t>היתר</w:t>
      </w:r>
      <w:r w:rsidRPr="004B1136">
        <w:rPr>
          <w:sz w:val="24"/>
          <w:rtl/>
        </w:rPr>
        <w:t xml:space="preserve"> </w:t>
      </w:r>
      <w:r w:rsidRPr="004B1136">
        <w:rPr>
          <w:rFonts w:hint="eastAsia"/>
          <w:sz w:val="24"/>
          <w:rtl/>
        </w:rPr>
        <w:t>התועלת</w:t>
      </w:r>
      <w:r w:rsidRPr="004B1136">
        <w:rPr>
          <w:sz w:val="24"/>
          <w:rtl/>
        </w:rPr>
        <w:t xml:space="preserve"> </w:t>
      </w:r>
      <w:r w:rsidRPr="004B1136">
        <w:rPr>
          <w:rFonts w:hint="eastAsia"/>
          <w:sz w:val="24"/>
          <w:rtl/>
        </w:rPr>
        <w:t>בה</w:t>
      </w:r>
      <w:r w:rsidRPr="004B1136">
        <w:rPr>
          <w:rFonts w:hint="cs"/>
          <w:sz w:val="24"/>
          <w:rtl/>
        </w:rPr>
        <w:t>".</w:t>
      </w:r>
    </w:p>
    <w:p w:rsidR="004A1AE2" w:rsidRPr="004B1136" w:rsidRDefault="004A1AE2" w:rsidP="00F877CD">
      <w:pPr>
        <w:pStyle w:val="a8"/>
        <w:numPr>
          <w:ilvl w:val="0"/>
          <w:numId w:val="1"/>
        </w:numPr>
        <w:ind w:left="360"/>
        <w:rPr>
          <w:sz w:val="24"/>
          <w:rtl/>
        </w:rPr>
      </w:pPr>
      <w:r w:rsidRPr="004B1136">
        <w:rPr>
          <w:rFonts w:hint="cs"/>
          <w:b/>
          <w:bCs/>
          <w:sz w:val="24"/>
          <w:rtl/>
        </w:rPr>
        <w:t>ספר החינוך, שם:</w:t>
      </w:r>
      <w:r w:rsidRPr="004B1136">
        <w:rPr>
          <w:rFonts w:hint="cs"/>
          <w:sz w:val="24"/>
          <w:rtl/>
        </w:rPr>
        <w:t xml:space="preserve"> "ואפשר שתערובת הבשר עם החלב במעשה הבישול יהיה סיבת איסורו מן היסוד ההוא. וקצת ראיה לזה לפי </w:t>
      </w:r>
      <w:r w:rsidRPr="004B1136">
        <w:rPr>
          <w:rFonts w:hint="cs"/>
          <w:sz w:val="24"/>
          <w:u w:val="single"/>
          <w:rtl/>
        </w:rPr>
        <w:t>שבא האיסור לנו במעשה התערובת אף על פי שלא נאכלנו</w:t>
      </w:r>
      <w:r w:rsidRPr="004B1136">
        <w:rPr>
          <w:rFonts w:hint="cs"/>
          <w:sz w:val="24"/>
          <w:rtl/>
        </w:rPr>
        <w:t xml:space="preserve">, שנראה בזה שאין איסורו מחמת נזק אכילתו כלל, רק שלא נעשה פעולת אותו התערובת להרחקת אותו ענין שאמרנו. </w:t>
      </w:r>
      <w:r w:rsidRPr="004B1136">
        <w:rPr>
          <w:rFonts w:hint="cs"/>
          <w:sz w:val="24"/>
          <w:u w:val="single"/>
          <w:rtl/>
        </w:rPr>
        <w:t>והזהירנו גם כן במקום אחר שאם אולי נעשה התערובת לבל נאכלהו ולא נהנה בו, להרחק הענין</w:t>
      </w:r>
      <w:r w:rsidRPr="004B1136">
        <w:rPr>
          <w:rFonts w:hint="cs"/>
          <w:sz w:val="24"/>
          <w:rtl/>
        </w:rPr>
        <w:t xml:space="preserve">, ואפילו אכלו מבלי שנהנה ממנו כלל לוקה, מה שאין כן בשאר כל איסורי המאכלות, וכל זה מורה שיסוד טעמו הוא מחמת התערובת, וכענין שאמרנו בכשוף". </w:t>
      </w:r>
    </w:p>
    <w:p w:rsidR="00EE4854" w:rsidRPr="004B1136" w:rsidRDefault="00597D01" w:rsidP="00F877CD">
      <w:pPr>
        <w:pStyle w:val="a8"/>
        <w:numPr>
          <w:ilvl w:val="0"/>
          <w:numId w:val="1"/>
        </w:numPr>
        <w:ind w:left="360"/>
        <w:rPr>
          <w:sz w:val="24"/>
          <w:rtl/>
        </w:rPr>
      </w:pPr>
      <w:r w:rsidRPr="004B1136">
        <w:rPr>
          <w:rFonts w:hint="cs"/>
          <w:b/>
          <w:bCs/>
          <w:sz w:val="24"/>
          <w:rtl/>
        </w:rPr>
        <w:t>רמ</w:t>
      </w:r>
      <w:r w:rsidR="00EE4854" w:rsidRPr="004B1136">
        <w:rPr>
          <w:rFonts w:hint="cs"/>
          <w:b/>
          <w:bCs/>
          <w:sz w:val="24"/>
          <w:rtl/>
        </w:rPr>
        <w:t>ב</w:t>
      </w:r>
      <w:r w:rsidR="004A1AE2" w:rsidRPr="004B1136">
        <w:rPr>
          <w:rFonts w:hint="cs"/>
          <w:b/>
          <w:bCs/>
          <w:sz w:val="24"/>
          <w:rtl/>
        </w:rPr>
        <w:t>"ם הלכות</w:t>
      </w:r>
      <w:r w:rsidR="00EE4854" w:rsidRPr="004B1136">
        <w:rPr>
          <w:rFonts w:hint="cs"/>
          <w:b/>
          <w:bCs/>
          <w:sz w:val="24"/>
          <w:rtl/>
        </w:rPr>
        <w:t xml:space="preserve"> טומאת מת</w:t>
      </w:r>
      <w:r w:rsidR="004A1AE2" w:rsidRPr="004B1136">
        <w:rPr>
          <w:rFonts w:hint="cs"/>
          <w:b/>
          <w:bCs/>
          <w:sz w:val="24"/>
          <w:rtl/>
        </w:rPr>
        <w:t>, א' ב':</w:t>
      </w:r>
      <w:r w:rsidR="004A1AE2" w:rsidRPr="004B1136">
        <w:rPr>
          <w:rFonts w:hint="cs"/>
          <w:sz w:val="24"/>
          <w:rtl/>
        </w:rPr>
        <w:t xml:space="preserve"> </w:t>
      </w:r>
      <w:r w:rsidR="00EE4854" w:rsidRPr="004B1136">
        <w:rPr>
          <w:rFonts w:hint="cs"/>
          <w:sz w:val="24"/>
          <w:rtl/>
        </w:rPr>
        <w:t xml:space="preserve">"אין טומאת משא במת מדברי סופרים אלא דין תורה, ויראה לי ששתק ממנה הכתוב כדרך ששתק מאיסור הבת לפי שאסר בפירוש אפילו בת הבת, </w:t>
      </w:r>
      <w:r w:rsidR="00EE4854" w:rsidRPr="004B1136">
        <w:rPr>
          <w:rFonts w:hint="cs"/>
          <w:sz w:val="24"/>
          <w:u w:val="single"/>
          <w:rtl/>
        </w:rPr>
        <w:t>ושתק מאיסור אכילת בשר בחלב לפי שאסר בפירוש אפילו בישולו</w:t>
      </w:r>
      <w:r w:rsidR="00EE4854" w:rsidRPr="004B1136">
        <w:rPr>
          <w:rFonts w:hint="cs"/>
          <w:sz w:val="24"/>
          <w:rtl/>
        </w:rPr>
        <w:t xml:space="preserve"> כך שתק מטומאת משא במת לפי שטימא בפירוש אפילו טומאת אהלו כל שכן משאו".</w:t>
      </w:r>
    </w:p>
    <w:p w:rsidR="00EE4854" w:rsidRPr="004B1136" w:rsidRDefault="00F877CD" w:rsidP="00F877CD">
      <w:pPr>
        <w:pStyle w:val="a8"/>
        <w:numPr>
          <w:ilvl w:val="0"/>
          <w:numId w:val="1"/>
        </w:numPr>
        <w:ind w:left="360"/>
        <w:rPr>
          <w:sz w:val="24"/>
          <w:rtl/>
        </w:rPr>
      </w:pPr>
      <w:r w:rsidRPr="004B1136">
        <w:rPr>
          <w:rFonts w:hint="cs"/>
          <w:b/>
          <w:bCs/>
          <w:sz w:val="24"/>
          <w:rtl/>
        </w:rPr>
        <w:t xml:space="preserve">כסף משנה שם: </w:t>
      </w:r>
      <w:r w:rsidR="00EE4854" w:rsidRPr="004B1136">
        <w:rPr>
          <w:rFonts w:hint="cs"/>
          <w:sz w:val="24"/>
          <w:rtl/>
        </w:rPr>
        <w:t xml:space="preserve">"ואם תאמר והרי בטומאת משא ובבת ובאיסור אכילת בשר בחלב ענשו מן הדין </w:t>
      </w:r>
      <w:r w:rsidR="00EE4854" w:rsidRPr="004B1136">
        <w:rPr>
          <w:rFonts w:hint="cs"/>
          <w:sz w:val="24"/>
          <w:u w:val="single"/>
          <w:rtl/>
        </w:rPr>
        <w:t xml:space="preserve">וי"ל </w:t>
      </w:r>
      <w:r w:rsidRPr="004B1136">
        <w:rPr>
          <w:rFonts w:hint="cs"/>
          <w:sz w:val="24"/>
          <w:u w:val="single"/>
          <w:rtl/>
        </w:rPr>
        <w:t>ד</w:t>
      </w:r>
      <w:r w:rsidR="00EE4854" w:rsidRPr="004B1136">
        <w:rPr>
          <w:rFonts w:hint="cs"/>
          <w:sz w:val="24"/>
          <w:u w:val="single"/>
          <w:rtl/>
        </w:rPr>
        <w:t xml:space="preserve">בשר בחלב מכיון שאסר בישולו הוי בכלל </w:t>
      </w:r>
      <w:r w:rsidRPr="004B1136">
        <w:rPr>
          <w:rFonts w:hint="cs"/>
          <w:sz w:val="24"/>
          <w:u w:val="single"/>
          <w:rtl/>
        </w:rPr>
        <w:t>"</w:t>
      </w:r>
      <w:r w:rsidR="00EE4854" w:rsidRPr="004B1136">
        <w:rPr>
          <w:rFonts w:hint="cs"/>
          <w:sz w:val="24"/>
          <w:u w:val="single"/>
          <w:rtl/>
        </w:rPr>
        <w:t>לא תאכל כל תועבה</w:t>
      </w:r>
      <w:r w:rsidRPr="004B1136">
        <w:rPr>
          <w:rFonts w:hint="cs"/>
          <w:sz w:val="24"/>
          <w:u w:val="single"/>
          <w:rtl/>
        </w:rPr>
        <w:t>"</w:t>
      </w:r>
      <w:r w:rsidR="00EE4854" w:rsidRPr="004B1136">
        <w:rPr>
          <w:rFonts w:hint="cs"/>
          <w:sz w:val="24"/>
          <w:u w:val="single"/>
          <w:rtl/>
        </w:rPr>
        <w:t xml:space="preserve"> כל שתיעבתי לך הרי הוא בבל תאכל</w:t>
      </w:r>
      <w:r w:rsidR="00EE4854" w:rsidRPr="004B1136">
        <w:rPr>
          <w:rFonts w:hint="cs"/>
          <w:sz w:val="24"/>
          <w:rtl/>
        </w:rPr>
        <w:t xml:space="preserve">. </w:t>
      </w:r>
      <w:r w:rsidR="00EE4854" w:rsidRPr="004B1136">
        <w:rPr>
          <w:rFonts w:hint="cs"/>
          <w:sz w:val="24"/>
          <w:u w:val="single"/>
          <w:rtl/>
        </w:rPr>
        <w:t>אי נמי דמשמע שלא אסרה תורה לבשל אלא כדי שלא יבוא לאכול</w:t>
      </w:r>
      <w:r w:rsidRPr="004B1136">
        <w:rPr>
          <w:rFonts w:hint="cs"/>
          <w:sz w:val="24"/>
          <w:rtl/>
        </w:rPr>
        <w:t xml:space="preserve">". </w:t>
      </w:r>
    </w:p>
    <w:p w:rsidR="00EE4854" w:rsidRPr="004B1136" w:rsidRDefault="00F877CD" w:rsidP="00F877CD">
      <w:pPr>
        <w:pStyle w:val="a8"/>
        <w:numPr>
          <w:ilvl w:val="0"/>
          <w:numId w:val="1"/>
        </w:numPr>
        <w:ind w:left="360"/>
        <w:rPr>
          <w:sz w:val="26"/>
          <w:szCs w:val="28"/>
        </w:rPr>
      </w:pPr>
      <w:r w:rsidRPr="004B1136">
        <w:rPr>
          <w:rFonts w:hint="cs"/>
          <w:b/>
          <w:bCs/>
          <w:sz w:val="24"/>
          <w:rtl/>
        </w:rPr>
        <w:t xml:space="preserve">שו"ת דובב מישרים, א' ל' (וכעין זה הר צבי, יו"ד ע"ט; יביע אומר יו"ד ז' ה'): </w:t>
      </w:r>
      <w:r w:rsidRPr="004B1136">
        <w:rPr>
          <w:rFonts w:hint="cs"/>
          <w:sz w:val="24"/>
          <w:rtl/>
        </w:rPr>
        <w:t>"</w:t>
      </w:r>
      <w:r w:rsidR="00EE4854" w:rsidRPr="004B1136">
        <w:rPr>
          <w:rFonts w:hint="cs"/>
          <w:sz w:val="24"/>
          <w:rtl/>
        </w:rPr>
        <w:t>אודות איש ירא ה' אשר הוא ד"ר לכימיה, ומביאים לפניו מיני שוקולדה כדי לבחון אותם במעבדה כימית ע"י בישול, אם יש בהם תערובת בשר בחלב, האם מותר לו לעשות המבחן, או יש לאסור משום בישול בשר בחלב, וכתב, שיש לצדד היתר ע"פ מ"ש מרן הכסף משנה (פ"א מהל' טומאת מת ה"ב)... ותירץ בתירוץ ב', אי נמי לא אסרה תורה בישול בב"ח אלא כדי שלא יבא לאכול. והנה בפסחים (יא א) אמרינן שבשעת ביעור חמץ ליכא חששא דשמא יבא לאכול ממנו, משום שהוא עצמו מחזר עליו לשורפו, מיכל קאכיל מיניה, בתמיה, וכיו"ב בסוכה (טו א) בביטול תקרה קא מיפלגי. וע"ע בבית יוסף יו"ד (סי' קצח) שכ' שמותר לטבול באחורי כלים, ולא גזרינן משום גזרת מרחצאות, כיון שאנו רואים שהוא יודע שאסור לטבול בכלים, והא ראיה שהניחם על פיהם אף שאין דרכם</w:t>
      </w:r>
      <w:bookmarkStart w:id="0" w:name="_GoBack"/>
      <w:bookmarkEnd w:id="0"/>
      <w:r w:rsidR="00EE4854" w:rsidRPr="004B1136">
        <w:rPr>
          <w:rFonts w:hint="cs"/>
          <w:sz w:val="24"/>
          <w:rtl/>
        </w:rPr>
        <w:t xml:space="preserve"> בכך, </w:t>
      </w:r>
      <w:r w:rsidR="00EE4854" w:rsidRPr="004B1136">
        <w:rPr>
          <w:rFonts w:hint="cs"/>
          <w:sz w:val="24"/>
          <w:u w:val="single"/>
          <w:rtl/>
        </w:rPr>
        <w:t>לפ"ז בנ"ד שכל כוונתו ע"י הבחינה בבישול כדי שיתברר הדבר אם יש שם בב"ח, ולא יכשלו באיסור בב"ח אין חשש דשמא יבא לאכול וכו'</w:t>
      </w:r>
      <w:r w:rsidRPr="004B1136">
        <w:rPr>
          <w:rFonts w:hint="cs"/>
          <w:sz w:val="24"/>
          <w:rtl/>
        </w:rPr>
        <w:t>".</w:t>
      </w:r>
    </w:p>
    <w:sectPr w:rsidR="00EE4854" w:rsidRPr="004B1136" w:rsidSect="007C6754">
      <w:type w:val="continuous"/>
      <w:pgSz w:w="11906" w:h="16838"/>
      <w:pgMar w:top="720" w:right="720" w:bottom="426" w:left="720" w:header="708" w:footer="708"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F7DCC" w:rsidRDefault="005F7DCC" w:rsidP="001250C8">
      <w:pPr>
        <w:spacing w:line="240" w:lineRule="auto"/>
      </w:pPr>
      <w:r>
        <w:separator/>
      </w:r>
    </w:p>
  </w:endnote>
  <w:endnote w:type="continuationSeparator" w:id="0">
    <w:p w:rsidR="005F7DCC" w:rsidRDefault="005F7DCC" w:rsidP="001250C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Narkisim">
    <w:panose1 w:val="020E0502050101010101"/>
    <w:charset w:val="00"/>
    <w:family w:val="swiss"/>
    <w:pitch w:val="variable"/>
    <w:sig w:usb0="00000803" w:usb1="00000000" w:usb2="00000000" w:usb3="00000000" w:csb0="0000002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F7DCC" w:rsidRDefault="005F7DCC" w:rsidP="001250C8">
      <w:pPr>
        <w:spacing w:line="240" w:lineRule="auto"/>
      </w:pPr>
      <w:r>
        <w:separator/>
      </w:r>
    </w:p>
  </w:footnote>
  <w:footnote w:type="continuationSeparator" w:id="0">
    <w:p w:rsidR="005F7DCC" w:rsidRDefault="005F7DCC" w:rsidP="001250C8">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A2A7376"/>
    <w:multiLevelType w:val="hybridMultilevel"/>
    <w:tmpl w:val="121C3EFC"/>
    <w:lvl w:ilvl="0" w:tplc="D7322CE4">
      <w:start w:val="1"/>
      <w:numFmt w:val="decimal"/>
      <w:lvlText w:val="%1."/>
      <w:lvlJc w:val="left"/>
      <w:pPr>
        <w:ind w:left="720" w:hanging="360"/>
      </w:pPr>
      <w:rPr>
        <w:b/>
        <w:bCs/>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val="bestFit" w:percent="179"/>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313F"/>
    <w:rsid w:val="00011F38"/>
    <w:rsid w:val="00024877"/>
    <w:rsid w:val="000B2411"/>
    <w:rsid w:val="001250C8"/>
    <w:rsid w:val="00126215"/>
    <w:rsid w:val="001306C1"/>
    <w:rsid w:val="002250A5"/>
    <w:rsid w:val="002325B3"/>
    <w:rsid w:val="00243970"/>
    <w:rsid w:val="0025091F"/>
    <w:rsid w:val="002A3AC4"/>
    <w:rsid w:val="002E1DB7"/>
    <w:rsid w:val="002E420A"/>
    <w:rsid w:val="00397781"/>
    <w:rsid w:val="003D3C58"/>
    <w:rsid w:val="0040434D"/>
    <w:rsid w:val="004513E4"/>
    <w:rsid w:val="004A1AE2"/>
    <w:rsid w:val="004B1136"/>
    <w:rsid w:val="004B571B"/>
    <w:rsid w:val="005642B8"/>
    <w:rsid w:val="00597D01"/>
    <w:rsid w:val="005F7DCC"/>
    <w:rsid w:val="006108C8"/>
    <w:rsid w:val="00656813"/>
    <w:rsid w:val="006A29B5"/>
    <w:rsid w:val="007C6754"/>
    <w:rsid w:val="008A0A58"/>
    <w:rsid w:val="00900646"/>
    <w:rsid w:val="009E313F"/>
    <w:rsid w:val="009F6BEC"/>
    <w:rsid w:val="00A03771"/>
    <w:rsid w:val="00A13A6B"/>
    <w:rsid w:val="00A1426A"/>
    <w:rsid w:val="00B45A22"/>
    <w:rsid w:val="00C544D2"/>
    <w:rsid w:val="00CB7318"/>
    <w:rsid w:val="00E05DAB"/>
    <w:rsid w:val="00E93D7D"/>
    <w:rsid w:val="00EE4854"/>
    <w:rsid w:val="00F877CD"/>
    <w:rsid w:val="00FB432A"/>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84C061F-5DD0-4BCD-B159-D5E4DA030A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56813"/>
    <w:pPr>
      <w:bidi/>
      <w:spacing w:after="0" w:line="360" w:lineRule="auto"/>
      <w:jc w:val="both"/>
    </w:pPr>
    <w:rPr>
      <w:rFonts w:cs="David"/>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ציטוט 1"/>
    <w:basedOn w:val="a"/>
    <w:next w:val="a"/>
    <w:rsid w:val="00656813"/>
    <w:pPr>
      <w:ind w:left="566" w:right="720"/>
    </w:pPr>
    <w:rPr>
      <w:rFonts w:ascii="Narkisim" w:eastAsia="Times New Roman" w:hAnsi="Narkisim" w:cs="Narkisim"/>
      <w:sz w:val="20"/>
    </w:rPr>
  </w:style>
  <w:style w:type="paragraph" w:customStyle="1" w:styleId="a3">
    <w:name w:val="כותרת מאמר"/>
    <w:basedOn w:val="a"/>
    <w:next w:val="a"/>
    <w:qFormat/>
    <w:rsid w:val="00656813"/>
    <w:pPr>
      <w:jc w:val="center"/>
    </w:pPr>
    <w:rPr>
      <w:rFonts w:ascii="David" w:eastAsia="Times New Roman" w:hAnsi="David"/>
      <w:b/>
      <w:bCs/>
      <w:sz w:val="24"/>
      <w:szCs w:val="28"/>
      <w:u w:val="single"/>
    </w:rPr>
  </w:style>
  <w:style w:type="paragraph" w:customStyle="1" w:styleId="a4">
    <w:name w:val="ציטוט מקור"/>
    <w:basedOn w:val="a"/>
    <w:next w:val="a"/>
    <w:qFormat/>
    <w:rsid w:val="00B45A22"/>
    <w:pPr>
      <w:ind w:left="340" w:right="340"/>
    </w:pPr>
    <w:rPr>
      <w:szCs w:val="22"/>
    </w:rPr>
  </w:style>
  <w:style w:type="paragraph" w:styleId="a5">
    <w:name w:val="footnote text"/>
    <w:basedOn w:val="a"/>
    <w:link w:val="a6"/>
    <w:uiPriority w:val="99"/>
    <w:semiHidden/>
    <w:unhideWhenUsed/>
    <w:rsid w:val="001250C8"/>
    <w:pPr>
      <w:spacing w:line="240" w:lineRule="auto"/>
    </w:pPr>
    <w:rPr>
      <w:sz w:val="20"/>
      <w:szCs w:val="20"/>
    </w:rPr>
  </w:style>
  <w:style w:type="character" w:customStyle="1" w:styleId="a6">
    <w:name w:val="טקסט הערת שוליים תו"/>
    <w:basedOn w:val="a0"/>
    <w:link w:val="a5"/>
    <w:uiPriority w:val="99"/>
    <w:semiHidden/>
    <w:rsid w:val="001250C8"/>
    <w:rPr>
      <w:rFonts w:cs="David"/>
      <w:sz w:val="20"/>
      <w:szCs w:val="20"/>
    </w:rPr>
  </w:style>
  <w:style w:type="character" w:styleId="a7">
    <w:name w:val="footnote reference"/>
    <w:basedOn w:val="a0"/>
    <w:uiPriority w:val="99"/>
    <w:semiHidden/>
    <w:unhideWhenUsed/>
    <w:rsid w:val="001250C8"/>
    <w:rPr>
      <w:vertAlign w:val="superscript"/>
    </w:rPr>
  </w:style>
  <w:style w:type="character" w:customStyle="1" w:styleId="psuq">
    <w:name w:val="psuq"/>
    <w:basedOn w:val="a0"/>
    <w:rsid w:val="009E313F"/>
  </w:style>
  <w:style w:type="character" w:styleId="Hyperlink">
    <w:name w:val="Hyperlink"/>
    <w:basedOn w:val="a0"/>
    <w:uiPriority w:val="99"/>
    <w:semiHidden/>
    <w:unhideWhenUsed/>
    <w:rsid w:val="009E313F"/>
    <w:rPr>
      <w:color w:val="0000FF"/>
      <w:u w:val="single"/>
    </w:rPr>
  </w:style>
  <w:style w:type="paragraph" w:styleId="a8">
    <w:name w:val="List Paragraph"/>
    <w:basedOn w:val="a"/>
    <w:uiPriority w:val="34"/>
    <w:qFormat/>
    <w:rsid w:val="00F877C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ser\Documents\&#1514;&#1489;&#1504;&#1497;&#1493;&#1514;%20&#1502;&#1493;&#1514;&#1488;&#1502;&#1493;&#1514;%20&#1488;&#1497;&#1513;&#1497;&#1514;%20&#1513;&#1500;%20Office\&#1488;&#1493;&#1491;&#1497;.dotx" TargetMode="Externa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אודי</Template>
  <TotalTime>162</TotalTime>
  <Pages>3</Pages>
  <Words>1363</Words>
  <Characters>6820</Characters>
  <Application>Microsoft Office Word</Application>
  <DocSecurity>0</DocSecurity>
  <Lines>56</Lines>
  <Paragraphs>16</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8167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24</cp:revision>
  <dcterms:created xsi:type="dcterms:W3CDTF">2019-03-11T10:18:00Z</dcterms:created>
  <dcterms:modified xsi:type="dcterms:W3CDTF">2026-08-11T15:42:00Z</dcterms:modified>
</cp:coreProperties>
</file>