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1E" w:rsidRPr="000D4A03" w:rsidRDefault="0098421E" w:rsidP="0098421E">
      <w:pPr>
        <w:rPr>
          <w:b/>
          <w:bCs/>
          <w:i/>
          <w:iCs/>
          <w:rtl/>
        </w:rPr>
      </w:pPr>
      <w:r w:rsidRPr="000D4A03">
        <w:rPr>
          <w:rFonts w:hint="cs"/>
          <w:b/>
          <w:bCs/>
          <w:i/>
          <w:iCs/>
          <w:rtl/>
        </w:rPr>
        <w:t>עב.</w:t>
      </w:r>
    </w:p>
    <w:p w:rsidR="0098421E" w:rsidRDefault="0098421E" w:rsidP="0098421E">
      <w:pPr>
        <w:rPr>
          <w:rtl/>
        </w:rPr>
      </w:pPr>
      <w:r w:rsidRPr="000D4A03">
        <w:rPr>
          <w:rFonts w:hint="cs"/>
          <w:b/>
          <w:bCs/>
          <w:rtl/>
        </w:rPr>
        <w:t xml:space="preserve">מילה והקזת דם ביום המעונן או שנושבת בו רוח דרומית </w:t>
      </w:r>
      <w:r>
        <w:rPr>
          <w:rtl/>
        </w:rPr>
        <w:t>–</w:t>
      </w:r>
      <w:r>
        <w:rPr>
          <w:rFonts w:hint="cs"/>
          <w:rtl/>
        </w:rPr>
        <w:t xml:space="preserve"> אין לחשוש.</w:t>
      </w:r>
      <w:r>
        <w:rPr>
          <w:rStyle w:val="a5"/>
        </w:rPr>
        <w:footnoteReference w:id="1"/>
      </w:r>
    </w:p>
    <w:p w:rsidR="0098421E" w:rsidRDefault="0098421E" w:rsidP="0098421E">
      <w:pPr>
        <w:rPr>
          <w:rtl/>
        </w:rPr>
      </w:pPr>
      <w:r w:rsidRPr="000D4A03">
        <w:rPr>
          <w:rFonts w:hint="cs"/>
          <w:b/>
          <w:bCs/>
          <w:rtl/>
        </w:rPr>
        <w:t>משוך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לר"ה מן התורה אוכל בתרומה. ומדרבנן חייב למול ואסור לאכול עד שימול.</w:t>
      </w:r>
      <w:r>
        <w:rPr>
          <w:rFonts w:hint="cs"/>
          <w:rtl/>
        </w:rPr>
        <w:br/>
        <w:t>לפ"א ברש"י איתותב ולא גזרו. להכרעת רש"י כן הלכה.</w:t>
      </w:r>
      <w:r>
        <w:rPr>
          <w:rStyle w:val="a5"/>
          <w:rtl/>
        </w:rPr>
        <w:footnoteReference w:id="2"/>
      </w:r>
      <w:r>
        <w:rPr>
          <w:rFonts w:hint="cs"/>
          <w:rtl/>
        </w:rPr>
        <w:br/>
        <w:t>לרבי יהודה סכנה למול, ולא הודו לו חכמים.</w:t>
      </w:r>
    </w:p>
    <w:p w:rsidR="0098421E" w:rsidRDefault="0098421E" w:rsidP="0098421E">
      <w:pPr>
        <w:rPr>
          <w:rtl/>
        </w:rPr>
      </w:pPr>
      <w:r w:rsidRPr="000D4A03">
        <w:rPr>
          <w:rFonts w:hint="cs"/>
          <w:b/>
          <w:bCs/>
          <w:rtl/>
        </w:rPr>
        <w:t>טומטום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אינו אוכל בתרומה. בביציו ניכרין, הוי ודאי זכר. באין ניכרין, הוי ספק.</w:t>
      </w:r>
      <w:r>
        <w:rPr>
          <w:rStyle w:val="a5"/>
          <w:rtl/>
        </w:rPr>
        <w:footnoteReference w:id="3"/>
      </w:r>
      <w:r>
        <w:rPr>
          <w:rFonts w:hint="cs"/>
          <w:rtl/>
        </w:rPr>
        <w:br/>
        <w:t>עבדיו אוכלין. ומאכיל את אמו.</w:t>
      </w:r>
      <w:r>
        <w:rPr>
          <w:rStyle w:val="a5"/>
          <w:rtl/>
        </w:rPr>
        <w:footnoteReference w:id="4"/>
      </w:r>
      <w:r>
        <w:rPr>
          <w:rtl/>
        </w:rPr>
        <w:br/>
      </w:r>
      <w:r>
        <w:rPr>
          <w:rFonts w:hint="cs"/>
          <w:rtl/>
        </w:rPr>
        <w:t>ואינו אוכל בקדשי קדשים.</w:t>
      </w:r>
      <w:r>
        <w:rPr>
          <w:rStyle w:val="a5"/>
          <w:rtl/>
        </w:rPr>
        <w:footnoteReference w:id="5"/>
      </w:r>
      <w:r>
        <w:rPr>
          <w:rFonts w:hint="cs"/>
          <w:rtl/>
        </w:rPr>
        <w:br/>
      </w:r>
      <w:r w:rsidRPr="000D4A03">
        <w:rPr>
          <w:rFonts w:hint="cs"/>
          <w:b/>
          <w:bCs/>
          <w:rtl/>
        </w:rPr>
        <w:t xml:space="preserve">קידש אשה </w:t>
      </w:r>
      <w:r>
        <w:rPr>
          <w:rtl/>
        </w:rPr>
        <w:t>–</w:t>
      </w:r>
      <w:r>
        <w:rPr>
          <w:rFonts w:hint="cs"/>
          <w:rtl/>
        </w:rPr>
        <w:t xml:space="preserve"> בביציו ניכרין, חל בודאי ואוכלת</w:t>
      </w:r>
      <w:r>
        <w:rPr>
          <w:rStyle w:val="a5"/>
          <w:rtl/>
        </w:rPr>
        <w:footnoteReference w:id="6"/>
      </w:r>
      <w:r>
        <w:rPr>
          <w:rFonts w:hint="cs"/>
          <w:rtl/>
        </w:rPr>
        <w:t>. באין ניכרין, הוי ספק מקודשת ואינה אוכלת.</w:t>
      </w:r>
      <w:r>
        <w:rPr>
          <w:rFonts w:hint="cs"/>
          <w:rtl/>
        </w:rPr>
        <w:br/>
      </w:r>
      <w:r w:rsidRPr="000D4A03">
        <w:rPr>
          <w:rFonts w:hint="cs"/>
          <w:b/>
          <w:bCs/>
          <w:rtl/>
        </w:rPr>
        <w:t xml:space="preserve">טומטום שאין ניכר </w:t>
      </w:r>
      <w:r>
        <w:rPr>
          <w:rtl/>
        </w:rPr>
        <w:t>–</w:t>
      </w:r>
      <w:r>
        <w:rPr>
          <w:rFonts w:hint="cs"/>
          <w:rtl/>
        </w:rPr>
        <w:t xml:space="preserve"> קידש, צריכה גט מספק. נתקדש, הוי ספק.</w:t>
      </w:r>
      <w:r>
        <w:rPr>
          <w:rStyle w:val="a5"/>
          <w:rtl/>
        </w:rPr>
        <w:footnoteReference w:id="7"/>
      </w:r>
      <w:r>
        <w:rPr>
          <w:rFonts w:hint="cs"/>
          <w:rtl/>
        </w:rPr>
        <w:br/>
      </w:r>
      <w:r w:rsidRPr="000D4A03">
        <w:rPr>
          <w:rFonts w:hint="cs"/>
          <w:b/>
          <w:bCs/>
          <w:rtl/>
        </w:rPr>
        <w:t xml:space="preserve">נולד מהול </w:t>
      </w:r>
      <w:r>
        <w:rPr>
          <w:rtl/>
        </w:rPr>
        <w:t>–</w:t>
      </w:r>
      <w:r>
        <w:rPr>
          <w:rFonts w:hint="cs"/>
          <w:rtl/>
        </w:rPr>
        <w:t xml:space="preserve"> אוכל.</w:t>
      </w:r>
      <w:r>
        <w:rPr>
          <w:rStyle w:val="a5"/>
          <w:rtl/>
        </w:rPr>
        <w:footnoteReference w:id="8"/>
      </w:r>
      <w:r>
        <w:rPr>
          <w:rFonts w:hint="cs"/>
          <w:rtl/>
        </w:rPr>
        <w:br/>
      </w:r>
      <w:r w:rsidRPr="000D4A03">
        <w:rPr>
          <w:rFonts w:hint="cs"/>
          <w:b/>
          <w:bCs/>
          <w:rtl/>
        </w:rPr>
        <w:t xml:space="preserve">אנדרוגינוס מהול </w:t>
      </w:r>
      <w:r>
        <w:rPr>
          <w:rtl/>
        </w:rPr>
        <w:t>–</w:t>
      </w:r>
      <w:r>
        <w:rPr>
          <w:rFonts w:hint="cs"/>
          <w:rtl/>
        </w:rPr>
        <w:t xml:space="preserve"> אוכל בתרומה ואינו אוכל בקדשי קדשים.</w:t>
      </w:r>
      <w:r>
        <w:rPr>
          <w:rStyle w:val="a5"/>
          <w:rtl/>
        </w:rPr>
        <w:footnoteReference w:id="9"/>
      </w:r>
      <w:r>
        <w:rPr>
          <w:rFonts w:hint="cs"/>
          <w:rtl/>
        </w:rPr>
        <w:br/>
      </w:r>
      <w:r w:rsidRPr="000D4A03">
        <w:rPr>
          <w:rFonts w:hint="cs"/>
          <w:b/>
          <w:bCs/>
          <w:rtl/>
        </w:rPr>
        <w:t xml:space="preserve">ערל </w:t>
      </w:r>
      <w:r>
        <w:rPr>
          <w:rtl/>
        </w:rPr>
        <w:t>–</w:t>
      </w:r>
      <w:r>
        <w:rPr>
          <w:rFonts w:hint="cs"/>
          <w:rtl/>
        </w:rPr>
        <w:t xml:space="preserve"> אינו אוכל לא בתרומה וכנ"ל, ולא בקדשים.</w:t>
      </w:r>
    </w:p>
    <w:p w:rsidR="0098421E" w:rsidRDefault="0098421E" w:rsidP="0098421E">
      <w:pPr>
        <w:rPr>
          <w:rtl/>
        </w:rPr>
      </w:pPr>
      <w:r w:rsidRPr="000D4A03">
        <w:rPr>
          <w:rFonts w:hint="cs"/>
          <w:b/>
          <w:bCs/>
          <w:rtl/>
        </w:rPr>
        <w:t>גר שנתגייר מהול, קטן שעבר זמנו, מי שיש לו שתי ערלות</w:t>
      </w:r>
      <w:r w:rsidRPr="000D4A03">
        <w:rPr>
          <w:rStyle w:val="a5"/>
          <w:b/>
          <w:bCs/>
          <w:rtl/>
        </w:rPr>
        <w:footnoteReference w:id="10"/>
      </w:r>
      <w:r w:rsidRPr="000D4A03">
        <w:rPr>
          <w:rFonts w:hint="cs"/>
          <w:b/>
          <w:bCs/>
          <w:rtl/>
        </w:rPr>
        <w:t xml:space="preserve"> </w:t>
      </w:r>
      <w:r w:rsidRPr="000D4A03">
        <w:rPr>
          <w:b/>
          <w:bCs/>
          <w:rtl/>
        </w:rPr>
        <w:t>–</w:t>
      </w:r>
      <w:r w:rsidRPr="000D4A03">
        <w:rPr>
          <w:rFonts w:hint="cs"/>
          <w:b/>
          <w:bCs/>
          <w:rtl/>
        </w:rPr>
        <w:t xml:space="preserve"> </w:t>
      </w:r>
      <w:r w:rsidRPr="000D4A03">
        <w:rPr>
          <w:b/>
          <w:bCs/>
          <w:rtl/>
        </w:rPr>
        <w:br/>
      </w:r>
      <w:r>
        <w:rPr>
          <w:rFonts w:hint="cs"/>
          <w:rtl/>
        </w:rPr>
        <w:tab/>
        <w:t>לת"ק נימול ביום, לראבר"ש אף בלילה.</w:t>
      </w:r>
      <w:r>
        <w:rPr>
          <w:rStyle w:val="a5"/>
          <w:rtl/>
        </w:rPr>
        <w:footnoteReference w:id="11"/>
      </w:r>
      <w:r>
        <w:rPr>
          <w:rtl/>
        </w:rPr>
        <w:br/>
      </w:r>
      <w:r w:rsidRPr="000D4A03">
        <w:rPr>
          <w:rFonts w:hint="cs"/>
          <w:b/>
          <w:bCs/>
          <w:rtl/>
        </w:rPr>
        <w:t>משוך הנימול שלא בזמנו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מחלוקת כנ"ל.</w:t>
      </w:r>
      <w:r>
        <w:rPr>
          <w:rStyle w:val="a5"/>
          <w:rtl/>
        </w:rPr>
        <w:footnoteReference w:id="12"/>
      </w:r>
    </w:p>
    <w:p w:rsidR="0098421E" w:rsidRPr="000D4A03" w:rsidRDefault="0098421E" w:rsidP="0098421E">
      <w:pPr>
        <w:rPr>
          <w:b/>
          <w:bCs/>
          <w:i/>
          <w:iCs/>
          <w:rtl/>
        </w:rPr>
      </w:pPr>
      <w:r w:rsidRPr="000D4A03">
        <w:rPr>
          <w:rFonts w:hint="cs"/>
          <w:b/>
          <w:bCs/>
          <w:i/>
          <w:iCs/>
          <w:rtl/>
        </w:rPr>
        <w:t>עב:</w:t>
      </w:r>
    </w:p>
    <w:p w:rsidR="0098421E" w:rsidRDefault="0098421E" w:rsidP="0098421E">
      <w:pPr>
        <w:rPr>
          <w:rtl/>
        </w:rPr>
      </w:pPr>
      <w:r w:rsidRPr="000D4A03">
        <w:rPr>
          <w:rFonts w:hint="cs"/>
          <w:b/>
          <w:bCs/>
          <w:rtl/>
        </w:rPr>
        <w:t>נותר בזמנו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נשרף ביום. </w:t>
      </w:r>
      <w:r>
        <w:rPr>
          <w:rtl/>
        </w:rPr>
        <w:br/>
      </w:r>
      <w:r w:rsidRPr="000D4A03">
        <w:rPr>
          <w:rFonts w:hint="cs"/>
          <w:b/>
          <w:bCs/>
          <w:rtl/>
        </w:rPr>
        <w:t>שלא בזמנו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ס"ד דריו"ח דנשרף אף בלילה וחזר וקיבל דברי ר"א דנשרף ביום.</w:t>
      </w:r>
    </w:p>
    <w:p w:rsidR="0098421E" w:rsidRDefault="0098421E" w:rsidP="0098421E">
      <w:pPr>
        <w:rPr>
          <w:rtl/>
        </w:rPr>
      </w:pPr>
      <w:r w:rsidRPr="000D4A03">
        <w:rPr>
          <w:rFonts w:hint="cs"/>
          <w:b/>
          <w:bCs/>
          <w:rtl/>
        </w:rPr>
        <w:t>ערל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אסור באכילת מעשר ותרומה וקדשים. ולר"ע אסור אף לנגוע בתרומה וקדשים.</w:t>
      </w:r>
      <w:r>
        <w:rPr>
          <w:rStyle w:val="a5"/>
          <w:rtl/>
        </w:rPr>
        <w:footnoteReference w:id="13"/>
      </w:r>
      <w:r>
        <w:rPr>
          <w:rtl/>
        </w:rPr>
        <w:br/>
      </w:r>
      <w:r w:rsidRPr="000D4A03">
        <w:rPr>
          <w:rFonts w:hint="cs"/>
          <w:b/>
          <w:bCs/>
          <w:rtl/>
        </w:rPr>
        <w:t>קידוש והזאה בפרה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לר"ע פסול וקי"ל דכשר.</w:t>
      </w:r>
      <w:r>
        <w:rPr>
          <w:rStyle w:val="a5"/>
          <w:rtl/>
        </w:rPr>
        <w:footnoteReference w:id="14"/>
      </w:r>
      <w:r>
        <w:rPr>
          <w:rFonts w:hint="cs"/>
          <w:rtl/>
        </w:rPr>
        <w:t xml:space="preserve"> לר"ע פסול אף טומטום מספק ערל.</w:t>
      </w:r>
      <w:r>
        <w:rPr>
          <w:rStyle w:val="a5"/>
          <w:rtl/>
        </w:rPr>
        <w:footnoteReference w:id="15"/>
      </w:r>
    </w:p>
    <w:p w:rsidR="0098421E" w:rsidRDefault="0098421E" w:rsidP="0098421E">
      <w:pPr>
        <w:rPr>
          <w:rtl/>
        </w:rPr>
      </w:pPr>
      <w:r w:rsidRPr="000D4A03">
        <w:rPr>
          <w:rFonts w:hint="cs"/>
          <w:b/>
          <w:bCs/>
          <w:rtl/>
        </w:rPr>
        <w:t>טבול יום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מותר במעשר. ואסור בתרומה וקדשים, הן לאכול והן לנגוע.</w:t>
      </w:r>
      <w:r>
        <w:rPr>
          <w:rtl/>
        </w:rPr>
        <w:br/>
      </w:r>
      <w:r>
        <w:rPr>
          <w:rFonts w:hint="cs"/>
          <w:rtl/>
        </w:rPr>
        <w:t>וכשר בפרה. אבל טמא ממש, פסול.</w:t>
      </w:r>
    </w:p>
    <w:p w:rsidR="0098421E" w:rsidRDefault="0098421E" w:rsidP="0098421E">
      <w:pPr>
        <w:rPr>
          <w:rtl/>
        </w:rPr>
      </w:pPr>
      <w:r w:rsidRPr="000D4A03">
        <w:rPr>
          <w:rFonts w:hint="cs"/>
          <w:b/>
          <w:bCs/>
          <w:rtl/>
        </w:rPr>
        <w:t>אסיפת הפרה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קטן פסול ואשה כשירה.</w:t>
      </w:r>
      <w:r>
        <w:rPr>
          <w:rStyle w:val="a5"/>
          <w:rtl/>
        </w:rPr>
        <w:footnoteReference w:id="16"/>
      </w:r>
      <w:r>
        <w:rPr>
          <w:rFonts w:hint="cs"/>
          <w:rtl/>
        </w:rPr>
        <w:t xml:space="preserve"> </w:t>
      </w:r>
      <w:r>
        <w:rPr>
          <w:rtl/>
        </w:rPr>
        <w:br/>
      </w:r>
      <w:r w:rsidRPr="000D4A03">
        <w:rPr>
          <w:rFonts w:hint="cs"/>
          <w:b/>
          <w:bCs/>
          <w:rtl/>
        </w:rPr>
        <w:t>קידוש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לרבנן כמו באסיפה. לרבי יהודה קטן כשר, ואשה (ואנדרוגינוס מספק) פסולה.</w:t>
      </w:r>
      <w:r>
        <w:rPr>
          <w:rtl/>
        </w:rPr>
        <w:br/>
      </w:r>
      <w:r>
        <w:rPr>
          <w:rFonts w:hint="cs"/>
          <w:rtl/>
        </w:rPr>
        <w:lastRenderedPageBreak/>
        <w:t>חרש ושוטה, פסולין.</w:t>
      </w:r>
      <w:r>
        <w:rPr>
          <w:rtl/>
        </w:rPr>
        <w:br/>
      </w:r>
      <w:r w:rsidRPr="000D4A03">
        <w:rPr>
          <w:rFonts w:hint="cs"/>
          <w:b/>
          <w:bCs/>
          <w:rtl/>
        </w:rPr>
        <w:t>נתינת האפר והמים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כשר באחד או שנים בכל פעולה, וא"צ אותו אחד לשתי הפעולות.</w:t>
      </w:r>
    </w:p>
    <w:p w:rsidR="00CC6452" w:rsidRDefault="0098421E" w:rsidP="0098421E">
      <w:r w:rsidRPr="000D4A03">
        <w:rPr>
          <w:rFonts w:hint="cs"/>
          <w:b/>
          <w:bCs/>
          <w:rtl/>
        </w:rPr>
        <w:t>ערל וטמא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פטורין מראייה לכו"ע.</w:t>
      </w:r>
      <w:r>
        <w:rPr>
          <w:rStyle w:val="a5"/>
          <w:rtl/>
        </w:rPr>
        <w:footnoteReference w:id="17"/>
      </w:r>
      <w:r>
        <w:rPr>
          <w:rFonts w:hint="cs"/>
          <w:rtl/>
        </w:rPr>
        <w:t xml:space="preserve"> וכן טומטום ואנדרוגינוס.</w:t>
      </w:r>
      <w:r>
        <w:rPr>
          <w:rFonts w:hint="cs"/>
          <w:rtl/>
        </w:rPr>
        <w:br/>
      </w:r>
    </w:p>
    <w:sectPr w:rsidR="00CC6452" w:rsidSect="005A5BA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106" w:rsidRDefault="00E00106" w:rsidP="0098421E">
      <w:pPr>
        <w:spacing w:after="0" w:line="240" w:lineRule="auto"/>
      </w:pPr>
      <w:r>
        <w:separator/>
      </w:r>
    </w:p>
  </w:endnote>
  <w:endnote w:type="continuationSeparator" w:id="0">
    <w:p w:rsidR="00E00106" w:rsidRDefault="00E00106" w:rsidP="0098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106" w:rsidRDefault="00E00106" w:rsidP="0098421E">
      <w:pPr>
        <w:spacing w:after="0" w:line="240" w:lineRule="auto"/>
      </w:pPr>
      <w:r>
        <w:separator/>
      </w:r>
    </w:p>
  </w:footnote>
  <w:footnote w:type="continuationSeparator" w:id="0">
    <w:p w:rsidR="00E00106" w:rsidRDefault="00E00106" w:rsidP="0098421E">
      <w:pPr>
        <w:spacing w:after="0" w:line="240" w:lineRule="auto"/>
      </w:pPr>
      <w:r>
        <w:continuationSeparator/>
      </w:r>
    </w:p>
  </w:footnote>
  <w:footnote w:id="1">
    <w:p w:rsidR="0098421E" w:rsidRDefault="0098421E" w:rsidP="0098421E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למרות הסכנה, היות שדשו רבים, שומר פתאים ה'.</w:t>
      </w:r>
    </w:p>
  </w:footnote>
  <w:footnote w:id="2">
    <w:p w:rsidR="0098421E" w:rsidRDefault="0098421E" w:rsidP="0098421E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ותניא דמסייע לו, ואין חולק ולא תיובתא בכל הסוגיא.</w:t>
      </w:r>
    </w:p>
  </w:footnote>
  <w:footnote w:id="3">
    <w:p w:rsidR="0098421E" w:rsidRDefault="0098421E" w:rsidP="0098421E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ועכ"פ הוי זכר או ספק זכר שלא נימול ואינו אוכל. ואביי ורבא לא פליגי לדינא.</w:t>
      </w:r>
    </w:p>
  </w:footnote>
  <w:footnote w:id="4">
    <w:p w:rsidR="0098421E" w:rsidRDefault="0098421E" w:rsidP="0098421E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דאף מי שאינו מוליד מאכיל.</w:t>
      </w:r>
    </w:p>
  </w:footnote>
  <w:footnote w:id="5">
    <w:p w:rsidR="0098421E" w:rsidRDefault="0098421E" w:rsidP="0098421E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הנאכלים רק לזכרי כהונה, ושמא אינו זכר. ובביציו ניכרין אינו אוכל משום דהוי ערל.</w:t>
      </w:r>
    </w:p>
  </w:footnote>
  <w:footnote w:id="6">
    <w:p w:rsidR="0098421E" w:rsidRDefault="0098421E" w:rsidP="0098421E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לאחר חופה, וחשיב בר ביאה וחל החופה.</w:t>
      </w:r>
    </w:p>
  </w:footnote>
  <w:footnote w:id="7">
    <w:p w:rsidR="0098421E" w:rsidRDefault="0098421E" w:rsidP="0098421E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והמקדש אסור בקרובות הטומטום.</w:t>
      </w:r>
    </w:p>
  </w:footnote>
  <w:footnote w:id="8">
    <w:p w:rsidR="0098421E" w:rsidRDefault="0098421E" w:rsidP="0098421E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או דס"ל להאי ברייתא כר"א דא"צ הטפד"ב, או דס"ל דאף דצריך אי"ז מעכב מלאכול וצ"ע.</w:t>
      </w:r>
    </w:p>
  </w:footnote>
  <w:footnote w:id="9">
    <w:p w:rsidR="0098421E" w:rsidRDefault="0098421E" w:rsidP="0098421E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בתרומה ממ"נ אוכל, בין הוי זכר מהול ובין אם נקיבה ובין אם בריה. אבל ק"ק הנאכלים רק לזכרי כהונה אינו אוכל שמא אינו זכר.</w:t>
      </w:r>
    </w:p>
  </w:footnote>
  <w:footnote w:id="10">
    <w:p w:rsidR="0098421E" w:rsidRDefault="0098421E" w:rsidP="0098421E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לכאורה הכוונה כשמלים את הערלה השניה לא ביום השמיני. וי"ג בברייתא גם נולד מהול לגבי הטפד"ב. (ויל"ע אי הנידון במטיף שלא ביום השמיני האי גירסא).</w:t>
      </w:r>
    </w:p>
  </w:footnote>
  <w:footnote w:id="11">
    <w:p w:rsidR="0098421E" w:rsidRDefault="0098421E" w:rsidP="0098421E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ומבואר דפליגי אי דרשינן וא"ו בתיבת וביום השמיני.</w:t>
      </w:r>
    </w:p>
  </w:footnote>
  <w:footnote w:id="12">
    <w:p w:rsidR="0098421E" w:rsidRDefault="0098421E" w:rsidP="0098421E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לת"ק דשלא בזמנו נמי ביום, תיקנו חכמים במשוך כעין דאורייתא. רש"י בעמ' ב'.</w:t>
      </w:r>
    </w:p>
  </w:footnote>
  <w:footnote w:id="13">
    <w:p w:rsidR="0098421E" w:rsidRDefault="0098421E" w:rsidP="0098421E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לא נתפרש לר"ע אי הוי כטבו"י או כקודם טבילה, ונפ"מ למעשר.</w:t>
      </w:r>
    </w:p>
  </w:footnote>
  <w:footnote w:id="14">
    <w:p w:rsidR="0098421E" w:rsidRDefault="0098421E" w:rsidP="0098421E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דר"ע משוי לערל כטמא, (ואף דרבא תמה משמע דקי"ל כר' יוסף). וקידוש נזכר להלן דדינו שוה להזאה.</w:t>
      </w:r>
    </w:p>
  </w:footnote>
  <w:footnote w:id="15">
    <w:p w:rsidR="0098421E" w:rsidRDefault="0098421E" w:rsidP="0098421E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אף לרבנן דמכשרי באשה. דלר"י פסול גם משום ספק אשה.</w:t>
      </w:r>
    </w:p>
  </w:footnote>
  <w:footnote w:id="16">
    <w:p w:rsidR="0098421E" w:rsidRDefault="0098421E" w:rsidP="0098421E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וממילא טומטום ואנדרוגינוס כשרים, מלבד טומטום לר"ע דהוי ספק ערל (ואנדרוגינוס לא מהול) ולדידיה פסול בפרה כטמא. ועי' תוס' שמביא דגם זר כשר.</w:t>
      </w:r>
    </w:p>
  </w:footnote>
  <w:footnote w:id="17">
    <w:p w:rsidR="0098421E" w:rsidRDefault="0098421E" w:rsidP="0098421E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ערל לא משום טומאה (דזה רק לר"ע), אלא משום דמאיס. אמנם עי' תי' ב' בתוד"ה התם.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21E"/>
    <w:rsid w:val="00171159"/>
    <w:rsid w:val="00240196"/>
    <w:rsid w:val="005A5BAA"/>
    <w:rsid w:val="0098421E"/>
    <w:rsid w:val="00AF7868"/>
    <w:rsid w:val="00CC6452"/>
    <w:rsid w:val="00E0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8421E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98421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84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יעקב</dc:creator>
  <cp:lastModifiedBy>יעקב</cp:lastModifiedBy>
  <cp:revision>1</cp:revision>
  <dcterms:created xsi:type="dcterms:W3CDTF">2014-12-16T08:32:00Z</dcterms:created>
  <dcterms:modified xsi:type="dcterms:W3CDTF">2014-12-16T08:33:00Z</dcterms:modified>
</cp:coreProperties>
</file>