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36" w:rsidRPr="00C855AB" w:rsidRDefault="00373136" w:rsidP="00373136">
      <w:pPr>
        <w:rPr>
          <w:b/>
          <w:bCs/>
          <w:i/>
          <w:iCs/>
          <w:rtl/>
        </w:rPr>
      </w:pPr>
      <w:r w:rsidRPr="00C855AB">
        <w:rPr>
          <w:rFonts w:hint="cs"/>
          <w:b/>
          <w:bCs/>
          <w:i/>
          <w:iCs/>
          <w:rtl/>
        </w:rPr>
        <w:t>עה.</w:t>
      </w:r>
    </w:p>
    <w:p w:rsidR="00373136" w:rsidRDefault="00373136" w:rsidP="00373136">
      <w:pPr>
        <w:rPr>
          <w:rtl/>
        </w:rPr>
      </w:pPr>
      <w:r w:rsidRPr="00C855AB">
        <w:rPr>
          <w:rFonts w:hint="cs"/>
          <w:b/>
          <w:bCs/>
          <w:rtl/>
        </w:rPr>
        <w:t>מחוסרי כפרה</w:t>
      </w:r>
      <w:r>
        <w:rPr>
          <w:rFonts w:hint="cs"/>
          <w:rtl/>
        </w:rPr>
        <w:t xml:space="preserve"> </w:t>
      </w:r>
      <w:r>
        <w:rPr>
          <w:rtl/>
        </w:rPr>
        <w:t>–</w:t>
      </w:r>
      <w:r>
        <w:rPr>
          <w:rFonts w:hint="cs"/>
          <w:rtl/>
        </w:rPr>
        <w:t xml:space="preserve"> כולם שוים, שאסורים בקדשים עד הבאת כפרתם.</w:t>
      </w:r>
      <w:r>
        <w:rPr>
          <w:rStyle w:val="a5"/>
          <w:rtl/>
        </w:rPr>
        <w:footnoteReference w:id="1"/>
      </w:r>
      <w:r>
        <w:rPr>
          <w:rFonts w:hint="cs"/>
          <w:rtl/>
        </w:rPr>
        <w:br/>
      </w:r>
      <w:r w:rsidRPr="00C855AB">
        <w:rPr>
          <w:rFonts w:hint="cs"/>
          <w:b/>
          <w:bCs/>
          <w:rtl/>
        </w:rPr>
        <w:t>נגיעה במעשר</w:t>
      </w:r>
      <w:r>
        <w:rPr>
          <w:rFonts w:hint="cs"/>
          <w:rtl/>
        </w:rPr>
        <w:t xml:space="preserve"> </w:t>
      </w:r>
      <w:r>
        <w:rPr>
          <w:rtl/>
        </w:rPr>
        <w:t>–</w:t>
      </w:r>
      <w:r>
        <w:rPr>
          <w:rFonts w:hint="cs"/>
          <w:rtl/>
        </w:rPr>
        <w:t xml:space="preserve"> שוה לאכילתו, כלומר עד הטבילה מטמא ומאז אינו מטמא.</w:t>
      </w:r>
      <w:r>
        <w:rPr>
          <w:rStyle w:val="a5"/>
          <w:rtl/>
        </w:rPr>
        <w:footnoteReference w:id="2"/>
      </w:r>
      <w:r>
        <w:rPr>
          <w:rFonts w:hint="cs"/>
          <w:rtl/>
        </w:rPr>
        <w:br/>
      </w:r>
      <w:r w:rsidRPr="00C855AB">
        <w:rPr>
          <w:rFonts w:hint="cs"/>
          <w:b/>
          <w:bCs/>
          <w:rtl/>
        </w:rPr>
        <w:t>נגיעה בתרומה</w:t>
      </w:r>
      <w:r>
        <w:rPr>
          <w:rFonts w:hint="cs"/>
          <w:rtl/>
        </w:rPr>
        <w:t xml:space="preserve"> </w:t>
      </w:r>
      <w:r>
        <w:rPr>
          <w:rtl/>
        </w:rPr>
        <w:t>–</w:t>
      </w:r>
      <w:r>
        <w:rPr>
          <w:rFonts w:hint="cs"/>
          <w:rtl/>
        </w:rPr>
        <w:t xml:space="preserve"> שוה לאכילתה, כלומר עד הערב שמש מטמא.</w:t>
      </w:r>
      <w:r>
        <w:rPr>
          <w:rtl/>
        </w:rPr>
        <w:br/>
      </w:r>
      <w:r w:rsidRPr="00C855AB">
        <w:rPr>
          <w:rFonts w:hint="cs"/>
          <w:b/>
          <w:bCs/>
          <w:rtl/>
        </w:rPr>
        <w:t xml:space="preserve">טמא שנכנס </w:t>
      </w:r>
      <w:r>
        <w:rPr>
          <w:rFonts w:hint="cs"/>
          <w:b/>
          <w:bCs/>
          <w:rtl/>
        </w:rPr>
        <w:t>ל</w:t>
      </w:r>
      <w:r w:rsidRPr="00C855AB">
        <w:rPr>
          <w:rFonts w:hint="cs"/>
          <w:b/>
          <w:bCs/>
          <w:rtl/>
        </w:rPr>
        <w:t>מקדש</w:t>
      </w:r>
      <w:r>
        <w:rPr>
          <w:rFonts w:hint="cs"/>
          <w:rtl/>
        </w:rPr>
        <w:t xml:space="preserve"> </w:t>
      </w:r>
      <w:r>
        <w:rPr>
          <w:rtl/>
        </w:rPr>
        <w:t>–</w:t>
      </w:r>
      <w:r>
        <w:rPr>
          <w:rFonts w:hint="cs"/>
          <w:rtl/>
        </w:rPr>
        <w:t xml:space="preserve"> בכרת.</w:t>
      </w:r>
      <w:r>
        <w:rPr>
          <w:rtl/>
        </w:rPr>
        <w:br/>
      </w:r>
      <w:r w:rsidRPr="00C855AB">
        <w:rPr>
          <w:rFonts w:hint="cs"/>
          <w:b/>
          <w:bCs/>
          <w:rtl/>
        </w:rPr>
        <w:t>טמא שאכל תרומה</w:t>
      </w:r>
      <w:r>
        <w:rPr>
          <w:rFonts w:hint="cs"/>
          <w:rtl/>
        </w:rPr>
        <w:t xml:space="preserve"> </w:t>
      </w:r>
      <w:r>
        <w:rPr>
          <w:rtl/>
        </w:rPr>
        <w:t>–</w:t>
      </w:r>
      <w:r>
        <w:rPr>
          <w:rFonts w:hint="cs"/>
          <w:rtl/>
        </w:rPr>
        <w:t xml:space="preserve"> במיתה. </w:t>
      </w:r>
      <w:r w:rsidRPr="00C855AB">
        <w:rPr>
          <w:rFonts w:hint="cs"/>
          <w:b/>
          <w:bCs/>
          <w:rtl/>
        </w:rPr>
        <w:t>טמא שאכל קדש</w:t>
      </w:r>
      <w:r>
        <w:rPr>
          <w:rFonts w:hint="cs"/>
          <w:rtl/>
        </w:rPr>
        <w:t xml:space="preserve"> </w:t>
      </w:r>
      <w:r>
        <w:rPr>
          <w:rtl/>
        </w:rPr>
        <w:t>–</w:t>
      </w:r>
      <w:r>
        <w:rPr>
          <w:rFonts w:hint="cs"/>
          <w:rtl/>
        </w:rPr>
        <w:t xml:space="preserve"> בכרת.</w:t>
      </w:r>
    </w:p>
    <w:p w:rsidR="00373136" w:rsidRDefault="00373136" w:rsidP="00373136">
      <w:pPr>
        <w:rPr>
          <w:rtl/>
        </w:rPr>
      </w:pPr>
      <w:r w:rsidRPr="00C855AB">
        <w:rPr>
          <w:rFonts w:hint="cs"/>
          <w:b/>
          <w:bCs/>
          <w:rtl/>
        </w:rPr>
        <w:t>אשת כהן שנעשה פצוע דכא לאחר נישואין</w:t>
      </w:r>
      <w:r>
        <w:rPr>
          <w:rFonts w:hint="cs"/>
          <w:rtl/>
        </w:rPr>
        <w:t xml:space="preserve"> </w:t>
      </w:r>
      <w:r>
        <w:rPr>
          <w:rtl/>
        </w:rPr>
        <w:t>–</w:t>
      </w:r>
      <w:r>
        <w:rPr>
          <w:rFonts w:hint="cs"/>
          <w:rtl/>
        </w:rPr>
        <w:t xml:space="preserve"> אם בא עליה, נפסלה מתרומה.</w:t>
      </w:r>
      <w:r>
        <w:rPr>
          <w:rFonts w:hint="cs"/>
          <w:rtl/>
        </w:rPr>
        <w:br/>
      </w:r>
      <w:r w:rsidRPr="00C855AB">
        <w:rPr>
          <w:rFonts w:hint="cs"/>
          <w:b/>
          <w:bCs/>
          <w:rtl/>
        </w:rPr>
        <w:t>לא בא עליה</w:t>
      </w:r>
      <w:r>
        <w:rPr>
          <w:rFonts w:hint="cs"/>
          <w:rtl/>
        </w:rPr>
        <w:t xml:space="preserve"> </w:t>
      </w:r>
      <w:r>
        <w:rPr>
          <w:rtl/>
        </w:rPr>
        <w:t>–</w:t>
      </w:r>
      <w:r>
        <w:rPr>
          <w:rFonts w:hint="cs"/>
          <w:rtl/>
        </w:rPr>
        <w:t xml:space="preserve"> לר' אלעזר, לר"א ור"ש מותרת, לר"מ אסורה. לר' יוחנן לכו"ע מותרת.</w:t>
      </w:r>
      <w:r>
        <w:rPr>
          <w:rStyle w:val="a5"/>
          <w:rtl/>
        </w:rPr>
        <w:footnoteReference w:id="3"/>
      </w:r>
    </w:p>
    <w:p w:rsidR="00373136" w:rsidRDefault="00373136" w:rsidP="00373136">
      <w:pPr>
        <w:rPr>
          <w:rFonts w:hint="cs"/>
          <w:rtl/>
        </w:rPr>
      </w:pPr>
      <w:r w:rsidRPr="00A75FFD">
        <w:rPr>
          <w:rFonts w:hint="cs"/>
          <w:b/>
          <w:bCs/>
          <w:rtl/>
        </w:rPr>
        <w:t>פצוע דכא וכרות שפכה</w:t>
      </w:r>
      <w:r>
        <w:rPr>
          <w:rFonts w:hint="cs"/>
          <w:rtl/>
        </w:rPr>
        <w:t xml:space="preserve"> </w:t>
      </w:r>
      <w:r>
        <w:rPr>
          <w:rtl/>
        </w:rPr>
        <w:t>–</w:t>
      </w:r>
      <w:r>
        <w:rPr>
          <w:rFonts w:hint="cs"/>
          <w:rtl/>
        </w:rPr>
        <w:t xml:space="preserve"> אסור לבוא בקהל ה'.</w:t>
      </w:r>
      <w:r>
        <w:rPr>
          <w:rtl/>
        </w:rPr>
        <w:br/>
      </w:r>
      <w:r>
        <w:rPr>
          <w:rFonts w:hint="cs"/>
          <w:rtl/>
        </w:rPr>
        <w:t>והיינו או בגיד או בביצים או בחוטי הביצים.</w:t>
      </w:r>
      <w:r>
        <w:rPr>
          <w:rStyle w:val="a5"/>
          <w:rtl/>
        </w:rPr>
        <w:footnoteReference w:id="4"/>
      </w:r>
      <w:r>
        <w:rPr>
          <w:rFonts w:hint="cs"/>
          <w:rtl/>
        </w:rPr>
        <w:br/>
        <w:t>ובכל אחד מהם נפסל בין בפציעה, בין בדיכה, ובין בכריתה.</w:t>
      </w:r>
      <w:r>
        <w:rPr>
          <w:rtl/>
        </w:rPr>
        <w:br/>
      </w:r>
      <w:r w:rsidRPr="00A75FFD">
        <w:rPr>
          <w:rFonts w:hint="cs"/>
          <w:b/>
          <w:bCs/>
          <w:rtl/>
        </w:rPr>
        <w:t>פציעה בביצים</w:t>
      </w:r>
      <w:r>
        <w:rPr>
          <w:rFonts w:hint="cs"/>
          <w:rtl/>
        </w:rPr>
        <w:t xml:space="preserve"> </w:t>
      </w:r>
      <w:r>
        <w:rPr>
          <w:rtl/>
        </w:rPr>
        <w:t>–</w:t>
      </w:r>
      <w:r>
        <w:rPr>
          <w:rFonts w:hint="cs"/>
          <w:rtl/>
        </w:rPr>
        <w:t xml:space="preserve"> מלבד פציעה בסכין וכדומה, כולל גם ניקבו או נימוקו או חסרו כל שהוא.</w:t>
      </w:r>
      <w:r>
        <w:rPr>
          <w:rStyle w:val="a5"/>
          <w:rtl/>
        </w:rPr>
        <w:footnoteReference w:id="5"/>
      </w:r>
      <w:r>
        <w:rPr>
          <w:rtl/>
        </w:rPr>
        <w:br/>
      </w:r>
      <w:r w:rsidRPr="00A75FFD">
        <w:rPr>
          <w:rFonts w:hint="cs"/>
          <w:b/>
          <w:bCs/>
          <w:rtl/>
        </w:rPr>
        <w:t>פציעה או דיכה או כריתה בביצה אחת</w:t>
      </w:r>
      <w:r>
        <w:rPr>
          <w:rFonts w:hint="cs"/>
          <w:rtl/>
        </w:rPr>
        <w:t xml:space="preserve"> </w:t>
      </w:r>
      <w:r>
        <w:rPr>
          <w:rtl/>
        </w:rPr>
        <w:t>–</w:t>
      </w:r>
      <w:r>
        <w:rPr>
          <w:rFonts w:hint="cs"/>
          <w:rtl/>
        </w:rPr>
        <w:t xml:space="preserve"> למתני' ות"ק דברייתא פסול. </w:t>
      </w:r>
      <w:r>
        <w:rPr>
          <w:rtl/>
        </w:rPr>
        <w:br/>
      </w:r>
      <w:r>
        <w:rPr>
          <w:rFonts w:hint="cs"/>
          <w:rtl/>
        </w:rPr>
        <w:t xml:space="preserve">   לרבי ישמעאל בנו של רבי יוחנן בן ברוקה בשם חכמי כרם ביבנה כשר.</w:t>
      </w:r>
      <w:r>
        <w:rPr>
          <w:rStyle w:val="a5"/>
          <w:rtl/>
        </w:rPr>
        <w:footnoteReference w:id="6"/>
      </w:r>
      <w:r>
        <w:rPr>
          <w:rFonts w:hint="cs"/>
          <w:rtl/>
        </w:rPr>
        <w:br/>
        <w:t>בירושלמי מכריע דבעל ביצה אחת כשר. ובלבד "שלימין".</w:t>
      </w:r>
      <w:r>
        <w:rPr>
          <w:rStyle w:val="a5"/>
          <w:rtl/>
        </w:rPr>
        <w:footnoteReference w:id="7"/>
      </w:r>
      <w:r>
        <w:rPr>
          <w:rFonts w:hint="cs"/>
          <w:rtl/>
        </w:rPr>
        <w:br/>
      </w:r>
      <w:r w:rsidRPr="00A75FFD">
        <w:rPr>
          <w:rFonts w:hint="cs"/>
          <w:b/>
          <w:bCs/>
          <w:rtl/>
        </w:rPr>
        <w:t>ניקבו ביציו וכדומה</w:t>
      </w:r>
      <w:r>
        <w:rPr>
          <w:rFonts w:hint="cs"/>
          <w:rtl/>
        </w:rPr>
        <w:t xml:space="preserve"> </w:t>
      </w:r>
      <w:r>
        <w:rPr>
          <w:rtl/>
        </w:rPr>
        <w:t>–</w:t>
      </w:r>
      <w:r>
        <w:rPr>
          <w:rFonts w:hint="cs"/>
          <w:rtl/>
        </w:rPr>
        <w:t xml:space="preserve"> אינו מוליד, ואם ילדה אשתו בנים, הרי הן בחזקת ממזרים.</w:t>
      </w:r>
      <w:r>
        <w:rPr>
          <w:rtl/>
        </w:rPr>
        <w:br/>
      </w:r>
      <w:r w:rsidRPr="00A75FFD">
        <w:rPr>
          <w:rFonts w:hint="cs"/>
          <w:b/>
          <w:bCs/>
          <w:rtl/>
        </w:rPr>
        <w:t>סריס בידי שמים</w:t>
      </w:r>
      <w:r>
        <w:rPr>
          <w:rFonts w:hint="cs"/>
          <w:rtl/>
        </w:rPr>
        <w:t xml:space="preserve"> </w:t>
      </w:r>
      <w:r>
        <w:rPr>
          <w:rtl/>
        </w:rPr>
        <w:t>–</w:t>
      </w:r>
      <w:r>
        <w:rPr>
          <w:rFonts w:hint="cs"/>
          <w:rtl/>
        </w:rPr>
        <w:t xml:space="preserve"> כשר, כמו מהחמה, או מברד ורעמים או ממעי אמו.</w:t>
      </w:r>
      <w:r>
        <w:rPr>
          <w:rFonts w:hint="cs"/>
          <w:rtl/>
        </w:rPr>
        <w:br/>
        <w:t xml:space="preserve">   וכל דיני פצוע דכא וכרות, אינם אלא בנעשה בידי אדם.</w:t>
      </w:r>
    </w:p>
    <w:p w:rsidR="00373136" w:rsidRPr="00A75FFD" w:rsidRDefault="00373136" w:rsidP="00373136">
      <w:pPr>
        <w:rPr>
          <w:rFonts w:hint="cs"/>
          <w:b/>
          <w:bCs/>
          <w:i/>
          <w:iCs/>
          <w:rtl/>
        </w:rPr>
      </w:pPr>
      <w:r w:rsidRPr="00A75FFD">
        <w:rPr>
          <w:rFonts w:hint="cs"/>
          <w:b/>
          <w:bCs/>
          <w:i/>
          <w:iCs/>
          <w:rtl/>
        </w:rPr>
        <w:t>עה:</w:t>
      </w:r>
    </w:p>
    <w:p w:rsidR="00CC6452" w:rsidRDefault="00373136" w:rsidP="00373136">
      <w:r w:rsidRPr="00A75FFD">
        <w:rPr>
          <w:rFonts w:hint="cs"/>
          <w:b/>
          <w:bCs/>
          <w:rtl/>
        </w:rPr>
        <w:t>ניקב למטה מעטרה שכנגדו למעלה מעטרה</w:t>
      </w:r>
      <w:r>
        <w:rPr>
          <w:rFonts w:hint="cs"/>
          <w:rtl/>
        </w:rPr>
        <w:t xml:space="preserve"> </w:t>
      </w:r>
      <w:r>
        <w:rPr>
          <w:rtl/>
        </w:rPr>
        <w:t>–</w:t>
      </w:r>
      <w:r>
        <w:rPr>
          <w:rFonts w:hint="cs"/>
          <w:rtl/>
        </w:rPr>
        <w:t xml:space="preserve"> פסול.</w:t>
      </w:r>
      <w:r>
        <w:rPr>
          <w:rStyle w:val="a5"/>
          <w:rtl/>
        </w:rPr>
        <w:footnoteReference w:id="8"/>
      </w:r>
      <w:r>
        <w:rPr>
          <w:rtl/>
        </w:rPr>
        <w:br/>
      </w:r>
      <w:r w:rsidRPr="00A75FFD">
        <w:rPr>
          <w:rFonts w:hint="cs"/>
          <w:b/>
          <w:bCs/>
          <w:rtl/>
        </w:rPr>
        <w:t>נכרת למטה מעטרה ונותר מלוא החוט על פני רובה לצד הגוף</w:t>
      </w:r>
      <w:r>
        <w:rPr>
          <w:rFonts w:hint="cs"/>
          <w:rtl/>
        </w:rPr>
        <w:t xml:space="preserve"> </w:t>
      </w:r>
      <w:r>
        <w:rPr>
          <w:rtl/>
        </w:rPr>
        <w:t>–</w:t>
      </w:r>
      <w:r>
        <w:rPr>
          <w:rFonts w:hint="cs"/>
          <w:rtl/>
        </w:rPr>
        <w:t xml:space="preserve"> כשר.</w:t>
      </w:r>
      <w:r>
        <w:rPr>
          <w:rStyle w:val="a5"/>
          <w:rtl/>
        </w:rPr>
        <w:footnoteReference w:id="9"/>
      </w:r>
      <w:r>
        <w:rPr>
          <w:rtl/>
        </w:rPr>
        <w:br/>
      </w:r>
      <w:r w:rsidRPr="00A75FFD">
        <w:rPr>
          <w:rFonts w:hint="cs"/>
          <w:b/>
          <w:bCs/>
          <w:rtl/>
        </w:rPr>
        <w:t>נחתך הגיד כקולמוס</w:t>
      </w:r>
      <w:r>
        <w:rPr>
          <w:rFonts w:hint="cs"/>
          <w:rtl/>
        </w:rPr>
        <w:t xml:space="preserve"> </w:t>
      </w:r>
      <w:r>
        <w:rPr>
          <w:rtl/>
        </w:rPr>
        <w:t>–</w:t>
      </w:r>
      <w:r>
        <w:rPr>
          <w:rFonts w:hint="cs"/>
          <w:rtl/>
        </w:rPr>
        <w:t xml:space="preserve"> לר"ה כשר אפי' נחתך למעלה מעטרה, וכן המסקנה דלא כרב חסדא.</w:t>
      </w:r>
      <w:r>
        <w:rPr>
          <w:rFonts w:hint="cs"/>
          <w:rtl/>
        </w:rPr>
        <w:br/>
      </w:r>
      <w:r w:rsidRPr="00A75FFD">
        <w:rPr>
          <w:rFonts w:hint="cs"/>
          <w:b/>
          <w:bCs/>
          <w:rtl/>
        </w:rPr>
        <w:t>נחתך כמרזב</w:t>
      </w:r>
      <w:r>
        <w:rPr>
          <w:rFonts w:hint="cs"/>
          <w:rtl/>
        </w:rPr>
        <w:t xml:space="preserve"> </w:t>
      </w:r>
      <w:r>
        <w:rPr>
          <w:rtl/>
        </w:rPr>
        <w:t>–</w:t>
      </w:r>
      <w:r>
        <w:rPr>
          <w:rFonts w:hint="cs"/>
          <w:rtl/>
        </w:rPr>
        <w:t xml:space="preserve"> לר"ח כשר גם למעלה מהעטרה, וכן הלכה ודלא כר"ה.</w:t>
      </w:r>
      <w:r>
        <w:rPr>
          <w:rStyle w:val="a5"/>
          <w:rtl/>
        </w:rPr>
        <w:footnoteReference w:id="10"/>
      </w:r>
      <w:r>
        <w:rPr>
          <w:rtl/>
        </w:rPr>
        <w:br/>
      </w:r>
      <w:r w:rsidRPr="00A75FFD">
        <w:rPr>
          <w:rFonts w:hint="cs"/>
          <w:b/>
          <w:bCs/>
          <w:rtl/>
        </w:rPr>
        <w:t>נסתם קנה הזרע ומוציא הזרע במקום קטנים</w:t>
      </w:r>
      <w:r>
        <w:rPr>
          <w:rFonts w:hint="cs"/>
          <w:rtl/>
        </w:rPr>
        <w:t xml:space="preserve"> </w:t>
      </w:r>
      <w:r>
        <w:rPr>
          <w:rtl/>
        </w:rPr>
        <w:t>–</w:t>
      </w:r>
      <w:r>
        <w:rPr>
          <w:rFonts w:hint="cs"/>
          <w:rtl/>
        </w:rPr>
        <w:t xml:space="preserve"> פסול.</w:t>
      </w:r>
      <w:r>
        <w:rPr>
          <w:rStyle w:val="a5"/>
          <w:rtl/>
        </w:rPr>
        <w:footnoteReference w:id="11"/>
      </w:r>
      <w:r>
        <w:rPr>
          <w:rtl/>
        </w:rPr>
        <w:br/>
      </w:r>
    </w:p>
    <w:sectPr w:rsidR="00CC6452" w:rsidSect="005A5BAA">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EF2" w:rsidRDefault="00F70EF2" w:rsidP="00373136">
      <w:pPr>
        <w:spacing w:after="0" w:line="240" w:lineRule="auto"/>
      </w:pPr>
      <w:r>
        <w:separator/>
      </w:r>
    </w:p>
  </w:endnote>
  <w:endnote w:type="continuationSeparator" w:id="0">
    <w:p w:rsidR="00F70EF2" w:rsidRDefault="00F70EF2" w:rsidP="0037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EF2" w:rsidRDefault="00F70EF2" w:rsidP="00373136">
      <w:pPr>
        <w:spacing w:after="0" w:line="240" w:lineRule="auto"/>
      </w:pPr>
      <w:r>
        <w:separator/>
      </w:r>
    </w:p>
  </w:footnote>
  <w:footnote w:type="continuationSeparator" w:id="0">
    <w:p w:rsidR="00F70EF2" w:rsidRDefault="00F70EF2" w:rsidP="00373136">
      <w:pPr>
        <w:spacing w:after="0" w:line="240" w:lineRule="auto"/>
      </w:pPr>
      <w:r>
        <w:continuationSeparator/>
      </w:r>
    </w:p>
  </w:footnote>
  <w:footnote w:id="1">
    <w:p w:rsidR="00373136" w:rsidRDefault="00373136" w:rsidP="00373136">
      <w:pPr>
        <w:pStyle w:val="a3"/>
      </w:pPr>
      <w:r>
        <w:rPr>
          <w:rStyle w:val="a5"/>
        </w:rPr>
        <w:footnoteRef/>
      </w:r>
      <w:r>
        <w:rPr>
          <w:rtl/>
        </w:rPr>
        <w:t xml:space="preserve"> </w:t>
      </w:r>
      <w:r>
        <w:rPr>
          <w:rFonts w:hint="cs"/>
          <w:rtl/>
        </w:rPr>
        <w:t xml:space="preserve">ראה בסוגיא דס"ד לחלק בין יולדת לזב. </w:t>
      </w:r>
      <w:r>
        <w:rPr>
          <w:rtl/>
        </w:rPr>
        <w:br/>
      </w:r>
      <w:r>
        <w:rPr>
          <w:rFonts w:hint="cs"/>
          <w:rtl/>
        </w:rPr>
        <w:t xml:space="preserve">בתוך הדברים הזכיר רש"י את הדין של ימי טוהר, שרואה דם ומותרת לבעלה. </w:t>
      </w:r>
      <w:r>
        <w:rPr>
          <w:rtl/>
        </w:rPr>
        <w:br/>
      </w:r>
      <w:r>
        <w:rPr>
          <w:rFonts w:hint="cs"/>
          <w:rtl/>
        </w:rPr>
        <w:t>וכמדו' דלא נתפרש בסוגיא להדיא לגבי מחוס"כ לאחר הערב שמש לגבי נגיעה בקדשים, אי נחשב טמא לגבייהו ואסור בנגיעה או דזה טומאה רק לענין איסור אכילה בקדשים.</w:t>
      </w:r>
    </w:p>
  </w:footnote>
  <w:footnote w:id="2">
    <w:p w:rsidR="00373136" w:rsidRDefault="00373136" w:rsidP="00373136">
      <w:pPr>
        <w:pStyle w:val="a3"/>
        <w:rPr>
          <w:rtl/>
        </w:rPr>
      </w:pPr>
      <w:r>
        <w:rPr>
          <w:rStyle w:val="a5"/>
        </w:rPr>
        <w:footnoteRef/>
      </w:r>
      <w:r>
        <w:rPr>
          <w:rtl/>
        </w:rPr>
        <w:t xml:space="preserve"> </w:t>
      </w:r>
      <w:r>
        <w:rPr>
          <w:rFonts w:hint="cs"/>
          <w:rtl/>
        </w:rPr>
        <w:t>בין נגיעת אדם ובין נגיעת כלי.</w:t>
      </w:r>
    </w:p>
  </w:footnote>
  <w:footnote w:id="3">
    <w:p w:rsidR="00373136" w:rsidRDefault="00373136" w:rsidP="00373136">
      <w:pPr>
        <w:pStyle w:val="a3"/>
      </w:pPr>
      <w:r>
        <w:rPr>
          <w:rStyle w:val="a5"/>
        </w:rPr>
        <w:footnoteRef/>
      </w:r>
      <w:r>
        <w:rPr>
          <w:rtl/>
        </w:rPr>
        <w:t xml:space="preserve"> </w:t>
      </w:r>
      <w:r>
        <w:rPr>
          <w:rFonts w:hint="cs"/>
          <w:rtl/>
        </w:rPr>
        <w:t>ולא גזרו דמשתמרת לביאה פסולה דאורייתא לא תאכל, אלא במי שעדיין לא אכלה. אבל אכלה ולא פסק קניינה לא אסרו.</w:t>
      </w:r>
    </w:p>
  </w:footnote>
  <w:footnote w:id="4">
    <w:p w:rsidR="00373136" w:rsidRDefault="00373136" w:rsidP="00373136">
      <w:pPr>
        <w:pStyle w:val="a3"/>
        <w:rPr>
          <w:rFonts w:hint="cs"/>
          <w:rtl/>
        </w:rPr>
      </w:pPr>
      <w:r>
        <w:rPr>
          <w:rStyle w:val="a5"/>
        </w:rPr>
        <w:footnoteRef/>
      </w:r>
      <w:r>
        <w:rPr>
          <w:rtl/>
        </w:rPr>
        <w:t xml:space="preserve"> </w:t>
      </w:r>
      <w:r>
        <w:rPr>
          <w:rFonts w:hint="cs"/>
          <w:rtl/>
        </w:rPr>
        <w:t>כן מבואר בעמ' ב' והקדמנום להבנת הענין. ועי' תוס' שעמד מדוע נקט כריתה בגיד ופציעה בביצים.</w:t>
      </w:r>
    </w:p>
  </w:footnote>
  <w:footnote w:id="5">
    <w:p w:rsidR="00373136" w:rsidRDefault="00373136" w:rsidP="00373136">
      <w:pPr>
        <w:pStyle w:val="a3"/>
        <w:rPr>
          <w:rFonts w:hint="cs"/>
          <w:rtl/>
        </w:rPr>
      </w:pPr>
      <w:r>
        <w:rPr>
          <w:rStyle w:val="a5"/>
        </w:rPr>
        <w:footnoteRef/>
      </w:r>
      <w:r>
        <w:rPr>
          <w:rtl/>
        </w:rPr>
        <w:t xml:space="preserve"> </w:t>
      </w:r>
      <w:r>
        <w:rPr>
          <w:rFonts w:hint="cs"/>
          <w:rtl/>
        </w:rPr>
        <w:t>והיינו בנעשה על ידי אדם וכדהלן. לת"ק כל זה בביצה אחת, ולהלכה דוקא בשני הביצים.</w:t>
      </w:r>
    </w:p>
  </w:footnote>
  <w:footnote w:id="6">
    <w:p w:rsidR="00373136" w:rsidRDefault="00373136" w:rsidP="00373136">
      <w:pPr>
        <w:pStyle w:val="a3"/>
        <w:rPr>
          <w:rFonts w:hint="cs"/>
          <w:rtl/>
        </w:rPr>
      </w:pPr>
      <w:r>
        <w:rPr>
          <w:rStyle w:val="a5"/>
        </w:rPr>
        <w:footnoteRef/>
      </w:r>
      <w:r>
        <w:rPr>
          <w:rtl/>
        </w:rPr>
        <w:t xml:space="preserve"> </w:t>
      </w:r>
      <w:r>
        <w:rPr>
          <w:rFonts w:hint="cs"/>
          <w:rtl/>
        </w:rPr>
        <w:t>עי' תוס' שהאריכו להלכה.</w:t>
      </w:r>
    </w:p>
  </w:footnote>
  <w:footnote w:id="7">
    <w:p w:rsidR="00373136" w:rsidRDefault="00373136" w:rsidP="00373136">
      <w:pPr>
        <w:pStyle w:val="a3"/>
        <w:rPr>
          <w:rFonts w:hint="cs"/>
        </w:rPr>
      </w:pPr>
      <w:r>
        <w:rPr>
          <w:rStyle w:val="a5"/>
        </w:rPr>
        <w:footnoteRef/>
      </w:r>
      <w:r>
        <w:rPr>
          <w:rtl/>
        </w:rPr>
        <w:t xml:space="preserve"> </w:t>
      </w:r>
      <w:r>
        <w:rPr>
          <w:rFonts w:hint="cs"/>
          <w:rtl/>
        </w:rPr>
        <w:t>כלומר דהביצה הנשארת שלימה. וי"ג ובלבד "של ימין", כלומר דרק אם השמאלית חסירה כשר. והתוס' נקטו "דחומרא גדולה וטוב להזהיר לרופאים" לכרות השמאלית אם אפשר במקום הימנית. אבל למעשה נקטו הפוסקים דבדיעבד כשר גם בחסרה הימנית, כיון דעינינו רואות שמוליד וכמ"ש התוס'.</w:t>
      </w:r>
    </w:p>
  </w:footnote>
  <w:footnote w:id="8">
    <w:p w:rsidR="00373136" w:rsidRDefault="00373136" w:rsidP="00373136">
      <w:pPr>
        <w:pStyle w:val="a3"/>
        <w:rPr>
          <w:rFonts w:hint="cs"/>
          <w:rtl/>
        </w:rPr>
      </w:pPr>
      <w:r>
        <w:rPr>
          <w:rStyle w:val="a5"/>
        </w:rPr>
        <w:footnoteRef/>
      </w:r>
      <w:r>
        <w:rPr>
          <w:rtl/>
        </w:rPr>
        <w:t xml:space="preserve"> </w:t>
      </w:r>
      <w:r>
        <w:rPr>
          <w:rFonts w:hint="cs"/>
          <w:rtl/>
        </w:rPr>
        <w:t>בתוס' האריכו לבאר המציאות.</w:t>
      </w:r>
    </w:p>
  </w:footnote>
  <w:footnote w:id="9">
    <w:p w:rsidR="00373136" w:rsidRDefault="00373136" w:rsidP="00373136">
      <w:pPr>
        <w:pStyle w:val="a3"/>
        <w:rPr>
          <w:rFonts w:hint="cs"/>
          <w:rtl/>
        </w:rPr>
      </w:pPr>
      <w:r>
        <w:rPr>
          <w:rStyle w:val="a5"/>
        </w:rPr>
        <w:footnoteRef/>
      </w:r>
      <w:r>
        <w:rPr>
          <w:rtl/>
        </w:rPr>
        <w:t xml:space="preserve"> </w:t>
      </w:r>
      <w:r>
        <w:rPr>
          <w:rFonts w:hint="cs"/>
          <w:rtl/>
        </w:rPr>
        <w:t>הגר"א מביא דהרא"ש מכשיר רק בנשאר על פני כולה.</w:t>
      </w:r>
    </w:p>
  </w:footnote>
  <w:footnote w:id="10">
    <w:p w:rsidR="00373136" w:rsidRDefault="00373136" w:rsidP="00373136">
      <w:pPr>
        <w:pStyle w:val="a3"/>
        <w:rPr>
          <w:rFonts w:hint="cs"/>
          <w:rtl/>
        </w:rPr>
      </w:pPr>
      <w:r>
        <w:rPr>
          <w:rStyle w:val="a5"/>
        </w:rPr>
        <w:footnoteRef/>
      </w:r>
      <w:r>
        <w:rPr>
          <w:rtl/>
        </w:rPr>
        <w:t xml:space="preserve"> </w:t>
      </w:r>
      <w:r>
        <w:rPr>
          <w:rFonts w:hint="cs"/>
          <w:rtl/>
        </w:rPr>
        <w:t>כן נראה הכרעת רבינא כמ"ז משמיה דר"פ. אמנם צ"ע מעובדא דמר בר רב אשי דשפייה לבעל מרזב כדי להכשירו.</w:t>
      </w:r>
    </w:p>
  </w:footnote>
  <w:footnote w:id="11">
    <w:p w:rsidR="00373136" w:rsidRDefault="00373136" w:rsidP="00373136">
      <w:pPr>
        <w:pStyle w:val="a3"/>
        <w:rPr>
          <w:rFonts w:hint="cs"/>
          <w:rtl/>
        </w:rPr>
      </w:pPr>
      <w:r>
        <w:rPr>
          <w:rStyle w:val="a5"/>
        </w:rPr>
        <w:footnoteRef/>
      </w:r>
      <w:r>
        <w:rPr>
          <w:rtl/>
        </w:rPr>
        <w:t xml:space="preserve"> </w:t>
      </w:r>
      <w:r>
        <w:rPr>
          <w:rFonts w:hint="cs"/>
          <w:rtl/>
        </w:rPr>
        <w:t>קצ"ב אף אי במציאות אינו מוליד משום דלא מבשל, מ"מ אינו לא פצוע ולא דך ולא כרות, כמו שפירש"י בסברת רב ביבי בר אביי. וכפי הנראה דכלול בחד מינייהו.</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373136"/>
    <w:rsid w:val="00240196"/>
    <w:rsid w:val="00250DC0"/>
    <w:rsid w:val="00373136"/>
    <w:rsid w:val="005A5BAA"/>
    <w:rsid w:val="00AF7868"/>
    <w:rsid w:val="00CC6452"/>
    <w:rsid w:val="00F70EF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3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73136"/>
    <w:pPr>
      <w:spacing w:after="0" w:line="240" w:lineRule="auto"/>
    </w:pPr>
    <w:rPr>
      <w:sz w:val="20"/>
      <w:szCs w:val="20"/>
    </w:rPr>
  </w:style>
  <w:style w:type="character" w:customStyle="1" w:styleId="a4">
    <w:name w:val="טקסט הערת שוליים תו"/>
    <w:basedOn w:val="a0"/>
    <w:link w:val="a3"/>
    <w:uiPriority w:val="99"/>
    <w:semiHidden/>
    <w:rsid w:val="00373136"/>
    <w:rPr>
      <w:sz w:val="20"/>
      <w:szCs w:val="20"/>
    </w:rPr>
  </w:style>
  <w:style w:type="character" w:styleId="a5">
    <w:name w:val="footnote reference"/>
    <w:basedOn w:val="a0"/>
    <w:uiPriority w:val="99"/>
    <w:semiHidden/>
    <w:unhideWhenUsed/>
    <w:rsid w:val="0037313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1057</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יעקב</dc:creator>
  <cp:lastModifiedBy>יעקב</cp:lastModifiedBy>
  <cp:revision>1</cp:revision>
  <dcterms:created xsi:type="dcterms:W3CDTF">2014-12-19T01:53:00Z</dcterms:created>
  <dcterms:modified xsi:type="dcterms:W3CDTF">2014-12-19T01:53:00Z</dcterms:modified>
</cp:coreProperties>
</file>