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8C" w:rsidRPr="00672EF6" w:rsidRDefault="0087388C" w:rsidP="0087388C">
      <w:pPr>
        <w:tabs>
          <w:tab w:val="left" w:pos="942"/>
        </w:tabs>
        <w:jc w:val="center"/>
        <w:rPr>
          <w:b/>
          <w:bCs/>
          <w:sz w:val="28"/>
          <w:szCs w:val="28"/>
          <w:rtl/>
        </w:rPr>
      </w:pPr>
      <w:r w:rsidRPr="00672EF6">
        <w:rPr>
          <w:rFonts w:hint="cs"/>
          <w:b/>
          <w:bCs/>
          <w:sz w:val="28"/>
          <w:szCs w:val="28"/>
          <w:rtl/>
        </w:rPr>
        <w:t>פרק נערה המאורסה</w:t>
      </w:r>
    </w:p>
    <w:p w:rsidR="0087388C" w:rsidRPr="00AD5F91" w:rsidRDefault="0087388C" w:rsidP="0087388C">
      <w:pPr>
        <w:rPr>
          <w:b/>
          <w:bCs/>
          <w:i/>
          <w:iCs/>
          <w:rtl/>
        </w:rPr>
      </w:pPr>
      <w:r w:rsidRPr="00AD5F91">
        <w:rPr>
          <w:rFonts w:hint="cs"/>
          <w:b/>
          <w:bCs/>
          <w:i/>
          <w:iCs/>
          <w:rtl/>
        </w:rPr>
        <w:t>סז.</w:t>
      </w:r>
    </w:p>
    <w:p w:rsidR="0087388C" w:rsidRDefault="0087388C" w:rsidP="0087388C">
      <w:pPr>
        <w:rPr>
          <w:rtl/>
        </w:rPr>
      </w:pPr>
      <w:r w:rsidRPr="00AD5F91">
        <w:rPr>
          <w:rFonts w:hint="cs"/>
          <w:b/>
          <w:bCs/>
          <w:rtl/>
        </w:rPr>
        <w:t>נערה המאורסה</w:t>
      </w:r>
      <w:r>
        <w:rPr>
          <w:rFonts w:hint="cs"/>
          <w:rtl/>
        </w:rPr>
        <w:t xml:space="preserve"> </w:t>
      </w:r>
      <w:r>
        <w:rPr>
          <w:rtl/>
        </w:rPr>
        <w:t>–</w:t>
      </w:r>
      <w:r>
        <w:rPr>
          <w:rFonts w:hint="cs"/>
          <w:rtl/>
        </w:rPr>
        <w:t xml:space="preserve"> אביה ובעלה מפירין נדריה. אף נדרים שנדרה קודם שנתארסה.</w:t>
      </w:r>
      <w:r>
        <w:rPr>
          <w:rFonts w:hint="cs"/>
          <w:rtl/>
        </w:rPr>
        <w:br/>
        <w:t>ואין נדריה מופרים עד שיפרו גם האב וגם הבעל, דהיינו הארוס.</w:t>
      </w:r>
      <w:r>
        <w:rPr>
          <w:rStyle w:val="a5"/>
          <w:rtl/>
        </w:rPr>
        <w:footnoteReference w:id="1"/>
      </w:r>
      <w:r>
        <w:rPr>
          <w:rtl/>
        </w:rPr>
        <w:br/>
      </w:r>
      <w:r w:rsidRPr="00AD5F91">
        <w:rPr>
          <w:rFonts w:hint="cs"/>
          <w:b/>
          <w:bCs/>
          <w:rtl/>
        </w:rPr>
        <w:t>אם היא בוגרת</w:t>
      </w:r>
      <w:r>
        <w:rPr>
          <w:rFonts w:hint="cs"/>
          <w:rtl/>
        </w:rPr>
        <w:t>, אין האב מיפר, וארוס אינו מיפר לבדו.</w:t>
      </w:r>
      <w:r>
        <w:rPr>
          <w:rtl/>
        </w:rPr>
        <w:br/>
      </w:r>
      <w:r w:rsidRPr="00AD5F91">
        <w:rPr>
          <w:rFonts w:hint="cs"/>
          <w:b/>
          <w:bCs/>
          <w:rtl/>
        </w:rPr>
        <w:t>קטנה</w:t>
      </w:r>
      <w:r>
        <w:rPr>
          <w:rFonts w:hint="cs"/>
          <w:rtl/>
        </w:rPr>
        <w:t xml:space="preserve"> אין נדריה חלים, ומבת יא שנדריה נבדקים, דינה כנערה.</w:t>
      </w:r>
    </w:p>
    <w:p w:rsidR="0087388C" w:rsidRDefault="0087388C" w:rsidP="0087388C">
      <w:pPr>
        <w:rPr>
          <w:rtl/>
        </w:rPr>
      </w:pPr>
      <w:r w:rsidRPr="00D20176">
        <w:rPr>
          <w:rFonts w:hint="cs"/>
          <w:b/>
          <w:bCs/>
          <w:rtl/>
        </w:rPr>
        <w:t xml:space="preserve">הפר אחד מהם וקיים אחד ונשאל המקיים על הקמתו </w:t>
      </w:r>
      <w:r>
        <w:rPr>
          <w:rtl/>
        </w:rPr>
        <w:t>–</w:t>
      </w:r>
      <w:r>
        <w:rPr>
          <w:rFonts w:hint="cs"/>
          <w:rtl/>
        </w:rPr>
        <w:t xml:space="preserve"> בטלה הפרת המיפר.</w:t>
      </w:r>
      <w:r>
        <w:rPr>
          <w:rtl/>
        </w:rPr>
        <w:br/>
      </w:r>
      <w:r>
        <w:rPr>
          <w:rFonts w:hint="cs"/>
          <w:rtl/>
        </w:rPr>
        <w:t>לדעת הרמב"ם שוב א"א להפר, ולדעת הרמב"ן והר"ן חוזרין שניהן ומפירין.</w:t>
      </w:r>
      <w:r>
        <w:rPr>
          <w:rtl/>
        </w:rPr>
        <w:br/>
      </w:r>
      <w:r>
        <w:rPr>
          <w:rFonts w:hint="cs"/>
          <w:rtl/>
        </w:rPr>
        <w:t>וא"צ שיפרו בבת אחת ממש, אלא סגי זה שחרית וזה ערבית.</w:t>
      </w:r>
      <w:r>
        <w:rPr>
          <w:rStyle w:val="a5"/>
          <w:rtl/>
        </w:rPr>
        <w:footnoteReference w:id="2"/>
      </w:r>
    </w:p>
    <w:p w:rsidR="0087388C" w:rsidRDefault="0087388C" w:rsidP="0087388C">
      <w:pPr>
        <w:rPr>
          <w:rtl/>
        </w:rPr>
      </w:pPr>
      <w:r w:rsidRPr="00D20176">
        <w:rPr>
          <w:rFonts w:hint="cs"/>
          <w:b/>
          <w:bCs/>
          <w:rtl/>
        </w:rPr>
        <w:t xml:space="preserve">המקדש את האשה ע"מ שאין עליה נדרים, והיו ונשאלה </w:t>
      </w:r>
      <w:r>
        <w:rPr>
          <w:rtl/>
        </w:rPr>
        <w:t>–</w:t>
      </w:r>
      <w:r>
        <w:rPr>
          <w:rFonts w:hint="cs"/>
          <w:rtl/>
        </w:rPr>
        <w:t xml:space="preserve"> מקודשת.</w:t>
      </w:r>
      <w:r>
        <w:rPr>
          <w:rStyle w:val="a5"/>
          <w:rtl/>
        </w:rPr>
        <w:footnoteReference w:id="3"/>
      </w:r>
    </w:p>
    <w:p w:rsidR="0087388C" w:rsidRDefault="0087388C" w:rsidP="0087388C">
      <w:pPr>
        <w:rPr>
          <w:rtl/>
        </w:rPr>
      </w:pPr>
      <w:r w:rsidRPr="00D20176">
        <w:rPr>
          <w:rFonts w:hint="cs"/>
          <w:b/>
          <w:bCs/>
          <w:rtl/>
        </w:rPr>
        <w:t>בקודמין</w:t>
      </w:r>
      <w:r>
        <w:rPr>
          <w:rFonts w:hint="cs"/>
          <w:rtl/>
        </w:rPr>
        <w:t xml:space="preserve"> </w:t>
      </w:r>
      <w:r>
        <w:rPr>
          <w:rtl/>
        </w:rPr>
        <w:t>–</w:t>
      </w:r>
      <w:r>
        <w:rPr>
          <w:rFonts w:hint="cs"/>
          <w:rtl/>
        </w:rPr>
        <w:t xml:space="preserve"> אין הבעל מיפר, באב לא שייך, וארוס מיפר בקודמין בשותפות האב.</w:t>
      </w:r>
      <w:r>
        <w:rPr>
          <w:rtl/>
        </w:rPr>
        <w:br/>
      </w:r>
      <w:r w:rsidRPr="00D20176">
        <w:rPr>
          <w:rFonts w:hint="cs"/>
          <w:b/>
          <w:bCs/>
          <w:rtl/>
        </w:rPr>
        <w:t>נדרה בבית אביה</w:t>
      </w:r>
      <w:r>
        <w:rPr>
          <w:rFonts w:hint="cs"/>
          <w:b/>
          <w:bCs/>
          <w:rtl/>
        </w:rPr>
        <w:t xml:space="preserve"> ואינה ארוסה</w:t>
      </w:r>
      <w:r>
        <w:rPr>
          <w:rFonts w:hint="cs"/>
          <w:rtl/>
        </w:rPr>
        <w:t xml:space="preserve"> </w:t>
      </w:r>
      <w:r>
        <w:rPr>
          <w:rtl/>
        </w:rPr>
        <w:t>–</w:t>
      </w:r>
      <w:r>
        <w:rPr>
          <w:rFonts w:hint="cs"/>
          <w:rtl/>
        </w:rPr>
        <w:t xml:space="preserve"> אביה מיפר לבדו, עד שתהא בוגרת.</w:t>
      </w:r>
      <w:r>
        <w:rPr>
          <w:rFonts w:hint="cs"/>
          <w:rtl/>
        </w:rPr>
        <w:br/>
      </w:r>
      <w:r w:rsidRPr="00D20176">
        <w:rPr>
          <w:rFonts w:hint="cs"/>
          <w:b/>
          <w:bCs/>
          <w:rtl/>
        </w:rPr>
        <w:t>נדרה בבית בעלה</w:t>
      </w:r>
      <w:r>
        <w:rPr>
          <w:rFonts w:hint="cs"/>
          <w:rtl/>
        </w:rPr>
        <w:t xml:space="preserve"> </w:t>
      </w:r>
      <w:r>
        <w:rPr>
          <w:rtl/>
        </w:rPr>
        <w:t>–</w:t>
      </w:r>
      <w:r>
        <w:rPr>
          <w:rFonts w:hint="cs"/>
          <w:rtl/>
        </w:rPr>
        <w:t xml:space="preserve"> בעלה מיפר לבדו, אף בנערה.</w:t>
      </w:r>
    </w:p>
    <w:p w:rsidR="0087388C" w:rsidRDefault="0087388C" w:rsidP="0087388C">
      <w:pPr>
        <w:rPr>
          <w:b/>
          <w:bCs/>
          <w:i/>
          <w:iCs/>
          <w:rtl/>
        </w:rPr>
      </w:pPr>
      <w:r w:rsidRPr="00D20176">
        <w:rPr>
          <w:rFonts w:hint="cs"/>
          <w:b/>
          <w:bCs/>
          <w:i/>
          <w:iCs/>
          <w:rtl/>
        </w:rPr>
        <w:t>סז:</w:t>
      </w:r>
    </w:p>
    <w:p w:rsidR="0087388C" w:rsidRPr="00672EF6" w:rsidRDefault="0087388C" w:rsidP="0087388C">
      <w:pPr>
        <w:rPr>
          <w:b/>
          <w:bCs/>
          <w:rtl/>
        </w:rPr>
      </w:pPr>
      <w:r w:rsidRPr="00672EF6">
        <w:rPr>
          <w:rFonts w:hint="cs"/>
          <w:b/>
          <w:bCs/>
          <w:rtl/>
        </w:rPr>
        <w:t>כהן מטמא</w:t>
      </w:r>
      <w:r>
        <w:rPr>
          <w:rFonts w:hint="cs"/>
          <w:rtl/>
        </w:rPr>
        <w:t xml:space="preserve"> לאחותו ארוסה ולא נשואה.</w:t>
      </w:r>
    </w:p>
    <w:p w:rsidR="0087388C" w:rsidRPr="00672EF6" w:rsidRDefault="0087388C" w:rsidP="0087388C">
      <w:pPr>
        <w:rPr>
          <w:b/>
          <w:bCs/>
          <w:i/>
          <w:iCs/>
          <w:rtl/>
        </w:rPr>
      </w:pPr>
      <w:r w:rsidRPr="00672EF6">
        <w:rPr>
          <w:rFonts w:hint="cs"/>
          <w:b/>
          <w:bCs/>
          <w:i/>
          <w:iCs/>
          <w:rtl/>
        </w:rPr>
        <w:t>סח.</w:t>
      </w:r>
    </w:p>
    <w:p w:rsidR="0087388C" w:rsidRDefault="0087388C" w:rsidP="0087388C">
      <w:pPr>
        <w:rPr>
          <w:rtl/>
        </w:rPr>
      </w:pPr>
      <w:r w:rsidRPr="00672EF6">
        <w:rPr>
          <w:rFonts w:hint="cs"/>
          <w:b/>
          <w:bCs/>
          <w:rtl/>
        </w:rPr>
        <w:t>נדרים שהבעל מיפר</w:t>
      </w:r>
      <w:r>
        <w:rPr>
          <w:rFonts w:hint="cs"/>
          <w:rtl/>
        </w:rPr>
        <w:t xml:space="preserve"> </w:t>
      </w:r>
      <w:r>
        <w:rPr>
          <w:rtl/>
        </w:rPr>
        <w:t>–</w:t>
      </w:r>
      <w:r>
        <w:rPr>
          <w:rFonts w:hint="cs"/>
          <w:rtl/>
        </w:rPr>
        <w:t xml:space="preserve"> רק עינוי נפש או בינו לבינה.</w:t>
      </w:r>
      <w:r>
        <w:rPr>
          <w:rtl/>
        </w:rPr>
        <w:br/>
      </w:r>
      <w:r w:rsidRPr="00672EF6">
        <w:rPr>
          <w:rFonts w:hint="cs"/>
          <w:b/>
          <w:bCs/>
          <w:rtl/>
        </w:rPr>
        <w:t>האב</w:t>
      </w:r>
      <w:r>
        <w:rPr>
          <w:rFonts w:hint="cs"/>
          <w:rtl/>
        </w:rPr>
        <w:t xml:space="preserve"> </w:t>
      </w:r>
      <w:r>
        <w:rPr>
          <w:rtl/>
        </w:rPr>
        <w:t>–</w:t>
      </w:r>
      <w:r>
        <w:rPr>
          <w:rFonts w:hint="cs"/>
          <w:rtl/>
        </w:rPr>
        <w:t xml:space="preserve"> להרמב"ם מיפר הכל, להר"ן רק עינוי נפש או בינו לבינה.</w:t>
      </w:r>
    </w:p>
    <w:p w:rsidR="0087388C" w:rsidRDefault="0087388C" w:rsidP="0087388C">
      <w:pPr>
        <w:rPr>
          <w:rtl/>
        </w:rPr>
      </w:pPr>
      <w:r w:rsidRPr="00672EF6">
        <w:rPr>
          <w:rFonts w:hint="cs"/>
          <w:b/>
          <w:bCs/>
          <w:rtl/>
        </w:rPr>
        <w:t>נערה המאורסה שהיפר רק האב או רק הבעל</w:t>
      </w:r>
      <w:r>
        <w:rPr>
          <w:rFonts w:hint="cs"/>
          <w:rtl/>
        </w:rPr>
        <w:t xml:space="preserve"> </w:t>
      </w:r>
      <w:r>
        <w:rPr>
          <w:rtl/>
        </w:rPr>
        <w:t>–</w:t>
      </w:r>
      <w:r>
        <w:rPr>
          <w:rFonts w:hint="cs"/>
          <w:rtl/>
        </w:rPr>
        <w:t xml:space="preserve"> לב"ש מיגז גייז ולב"ה מיקלש קליש.</w:t>
      </w:r>
      <w:r>
        <w:rPr>
          <w:rtl/>
        </w:rPr>
        <w:br/>
      </w:r>
      <w:r w:rsidRPr="00672EF6">
        <w:rPr>
          <w:rFonts w:hint="cs"/>
          <w:b/>
          <w:bCs/>
          <w:rtl/>
        </w:rPr>
        <w:t xml:space="preserve">נשבעה על שני זיתים מסויימים והיפר אחד מהם ואכלה במזיד את שניהם </w:t>
      </w:r>
      <w:r w:rsidRPr="00672EF6">
        <w:rPr>
          <w:b/>
          <w:bCs/>
          <w:rtl/>
        </w:rPr>
        <w:t>–</w:t>
      </w:r>
      <w:r w:rsidRPr="00672EF6">
        <w:rPr>
          <w:rFonts w:hint="cs"/>
          <w:b/>
          <w:bCs/>
          <w:rtl/>
        </w:rPr>
        <w:t xml:space="preserve"> </w:t>
      </w:r>
      <w:r w:rsidRPr="00672EF6">
        <w:rPr>
          <w:b/>
          <w:bCs/>
          <w:rtl/>
        </w:rPr>
        <w:br/>
      </w:r>
      <w:r>
        <w:rPr>
          <w:rFonts w:hint="cs"/>
          <w:rtl/>
        </w:rPr>
        <w:t>לב"ש לוקה</w:t>
      </w:r>
      <w:r>
        <w:rPr>
          <w:rStyle w:val="a5"/>
          <w:rtl/>
        </w:rPr>
        <w:footnoteReference w:id="4"/>
      </w:r>
      <w:r>
        <w:rPr>
          <w:rFonts w:hint="cs"/>
          <w:rtl/>
        </w:rPr>
        <w:t xml:space="preserve"> ולב"ה אינה לוקה.</w:t>
      </w:r>
      <w:r>
        <w:rPr>
          <w:rtl/>
        </w:rPr>
        <w:br/>
      </w:r>
      <w:r w:rsidRPr="00672EF6">
        <w:rPr>
          <w:rFonts w:hint="cs"/>
          <w:b/>
          <w:bCs/>
          <w:rtl/>
        </w:rPr>
        <w:t>נדרה כנ"ל ואכלה בשוגג</w:t>
      </w:r>
      <w:r>
        <w:rPr>
          <w:rFonts w:hint="cs"/>
          <w:rtl/>
        </w:rPr>
        <w:t xml:space="preserve"> </w:t>
      </w:r>
      <w:r>
        <w:rPr>
          <w:rtl/>
        </w:rPr>
        <w:t>–</w:t>
      </w:r>
      <w:r>
        <w:rPr>
          <w:rFonts w:hint="cs"/>
          <w:rtl/>
        </w:rPr>
        <w:t xml:space="preserve"> לב"ש מביאה קרבן ולב"ה אינה מביאה קרבן.</w:t>
      </w:r>
      <w:r>
        <w:rPr>
          <w:rtl/>
        </w:rPr>
        <w:br/>
      </w:r>
      <w:r w:rsidRPr="00672EF6">
        <w:rPr>
          <w:rFonts w:hint="cs"/>
          <w:b/>
          <w:bCs/>
          <w:rtl/>
        </w:rPr>
        <w:t>נדרה ואכלה במזיד</w:t>
      </w:r>
      <w:r>
        <w:rPr>
          <w:rFonts w:hint="cs"/>
          <w:rtl/>
        </w:rPr>
        <w:t xml:space="preserve"> </w:t>
      </w:r>
      <w:r>
        <w:rPr>
          <w:rtl/>
        </w:rPr>
        <w:t>–</w:t>
      </w:r>
      <w:r>
        <w:rPr>
          <w:rFonts w:hint="cs"/>
          <w:rtl/>
        </w:rPr>
        <w:t xml:space="preserve"> קיי"ל דחייבת מלקות בכל שהוא.</w:t>
      </w:r>
      <w:r>
        <w:rPr>
          <w:rStyle w:val="a5"/>
          <w:rtl/>
        </w:rPr>
        <w:footnoteReference w:id="5"/>
      </w:r>
    </w:p>
    <w:p w:rsidR="0087388C" w:rsidRDefault="0087388C" w:rsidP="0087388C">
      <w:pPr>
        <w:rPr>
          <w:rFonts w:hint="cs"/>
          <w:rtl/>
        </w:rPr>
      </w:pPr>
      <w:r w:rsidRPr="00672EF6">
        <w:rPr>
          <w:rFonts w:hint="cs"/>
          <w:b/>
          <w:bCs/>
          <w:rtl/>
        </w:rPr>
        <w:t>מת הארוס</w:t>
      </w:r>
      <w:r>
        <w:rPr>
          <w:rFonts w:hint="cs"/>
          <w:rtl/>
        </w:rPr>
        <w:t xml:space="preserve"> </w:t>
      </w:r>
      <w:r>
        <w:rPr>
          <w:rtl/>
        </w:rPr>
        <w:t>–</w:t>
      </w:r>
      <w:r>
        <w:rPr>
          <w:rFonts w:hint="cs"/>
          <w:rtl/>
        </w:rPr>
        <w:t xml:space="preserve"> נתרוקנה רשות לאב.</w:t>
      </w:r>
      <w:r>
        <w:rPr>
          <w:rtl/>
        </w:rPr>
        <w:br/>
      </w:r>
      <w:r>
        <w:rPr>
          <w:rFonts w:hint="cs"/>
          <w:rtl/>
        </w:rPr>
        <w:t>כלומר האב מקבל חזרה לרשותו גם את כח ההפרה של הארוס.</w:t>
      </w:r>
      <w:r>
        <w:rPr>
          <w:rFonts w:hint="cs"/>
          <w:rtl/>
        </w:rPr>
        <w:br/>
      </w:r>
      <w:r w:rsidRPr="00672EF6">
        <w:rPr>
          <w:rFonts w:hint="cs"/>
          <w:b/>
          <w:bCs/>
          <w:rtl/>
        </w:rPr>
        <w:t>מת האב</w:t>
      </w:r>
      <w:r>
        <w:rPr>
          <w:rFonts w:hint="cs"/>
          <w:rtl/>
        </w:rPr>
        <w:t xml:space="preserve">  - לא נתרוקנה רשות לארוס. וממילא הנדר לא ניתן להפרה.</w:t>
      </w:r>
      <w:r>
        <w:rPr>
          <w:rStyle w:val="a5"/>
          <w:rtl/>
        </w:rPr>
        <w:footnoteReference w:id="6"/>
      </w:r>
      <w:r>
        <w:rPr>
          <w:rFonts w:hint="cs"/>
          <w:rtl/>
        </w:rPr>
        <w:br/>
        <w:t>פרטי דינים אלו יבוארו בסמוך בהרחבה.</w:t>
      </w:r>
    </w:p>
    <w:p w:rsidR="0087388C" w:rsidRDefault="0087388C" w:rsidP="0087388C">
      <w:pPr>
        <w:rPr>
          <w:rFonts w:hint="cs"/>
          <w:rtl/>
        </w:rPr>
      </w:pPr>
      <w:r w:rsidRPr="005A280A">
        <w:rPr>
          <w:rFonts w:hint="cs"/>
          <w:b/>
          <w:bCs/>
          <w:rtl/>
        </w:rPr>
        <w:lastRenderedPageBreak/>
        <w:t>מת הבעל בלא לקיים</w:t>
      </w:r>
      <w:r>
        <w:rPr>
          <w:rFonts w:hint="cs"/>
          <w:rtl/>
        </w:rPr>
        <w:t>, כגון שלא שמע או שמע והפר</w:t>
      </w:r>
      <w:r>
        <w:rPr>
          <w:rStyle w:val="a5"/>
          <w:rtl/>
        </w:rPr>
        <w:footnoteReference w:id="7"/>
      </w:r>
      <w:r>
        <w:rPr>
          <w:rFonts w:hint="cs"/>
          <w:rtl/>
        </w:rPr>
        <w:t xml:space="preserve"> או שתק אבל מת בו ביום -</w:t>
      </w:r>
      <w:r>
        <w:rPr>
          <w:rtl/>
        </w:rPr>
        <w:br/>
      </w:r>
      <w:r>
        <w:rPr>
          <w:rFonts w:hint="cs"/>
          <w:rtl/>
        </w:rPr>
        <w:t>היינו האופן הבסיסי שנתרוקנה רשות לאב.</w:t>
      </w:r>
      <w:r>
        <w:rPr>
          <w:rFonts w:hint="cs"/>
          <w:rtl/>
        </w:rPr>
        <w:br/>
        <w:t>ולהלן נוסף אף באופן שהאב לא שמע קודם שמת הבעל (והבעל הפר).</w:t>
      </w:r>
      <w:r>
        <w:rPr>
          <w:rStyle w:val="a5"/>
          <w:rtl/>
        </w:rPr>
        <w:footnoteReference w:id="8"/>
      </w:r>
      <w:r>
        <w:rPr>
          <w:rtl/>
        </w:rPr>
        <w:br/>
      </w:r>
      <w:r w:rsidRPr="005A280A">
        <w:rPr>
          <w:rFonts w:hint="cs"/>
          <w:b/>
          <w:bCs/>
          <w:rtl/>
        </w:rPr>
        <w:t>אבל שמע הבעל וקיים</w:t>
      </w:r>
      <w:r>
        <w:rPr>
          <w:rStyle w:val="a5"/>
          <w:rtl/>
        </w:rPr>
        <w:footnoteReference w:id="9"/>
      </w:r>
      <w:r>
        <w:rPr>
          <w:rFonts w:hint="cs"/>
          <w:rtl/>
        </w:rPr>
        <w:t xml:space="preserve"> </w:t>
      </w:r>
      <w:r>
        <w:rPr>
          <w:rtl/>
        </w:rPr>
        <w:t>–</w:t>
      </w:r>
      <w:r>
        <w:rPr>
          <w:rFonts w:hint="cs"/>
          <w:rtl/>
        </w:rPr>
        <w:t xml:space="preserve"> לא נתרוקנה רשות לאב. </w:t>
      </w:r>
    </w:p>
    <w:p w:rsidR="0087388C" w:rsidRDefault="0087388C" w:rsidP="0087388C">
      <w:pPr>
        <w:rPr>
          <w:rFonts w:hint="cs"/>
          <w:rtl/>
        </w:rPr>
      </w:pPr>
      <w:r w:rsidRPr="005A280A">
        <w:rPr>
          <w:rFonts w:hint="cs"/>
          <w:b/>
          <w:bCs/>
          <w:rtl/>
        </w:rPr>
        <w:t>מת האב</w:t>
      </w:r>
      <w:r>
        <w:rPr>
          <w:rFonts w:hint="cs"/>
          <w:rtl/>
        </w:rPr>
        <w:t xml:space="preserve"> </w:t>
      </w:r>
      <w:r>
        <w:rPr>
          <w:rtl/>
        </w:rPr>
        <w:t>–</w:t>
      </w:r>
      <w:r>
        <w:rPr>
          <w:rFonts w:hint="cs"/>
          <w:rtl/>
        </w:rPr>
        <w:t xml:space="preserve"> לא נתרוקנה רשות לבעל. אף אם האב הפר והבעל לא שמע.</w:t>
      </w:r>
      <w:r>
        <w:rPr>
          <w:rStyle w:val="a5"/>
          <w:rtl/>
        </w:rPr>
        <w:footnoteReference w:id="10"/>
      </w:r>
      <w:r>
        <w:rPr>
          <w:rtl/>
        </w:rPr>
        <w:br/>
      </w:r>
      <w:r>
        <w:rPr>
          <w:rFonts w:hint="cs"/>
          <w:rtl/>
        </w:rPr>
        <w:t>ואף אם הבעל הפר והאב לא שמע קודם שמת.</w:t>
      </w:r>
      <w:r>
        <w:rPr>
          <w:rStyle w:val="a5"/>
          <w:rtl/>
        </w:rPr>
        <w:footnoteReference w:id="11"/>
      </w:r>
    </w:p>
    <w:p w:rsidR="0087388C" w:rsidRPr="005A280A" w:rsidRDefault="0087388C" w:rsidP="0087388C">
      <w:pPr>
        <w:rPr>
          <w:rFonts w:hint="cs"/>
          <w:b/>
          <w:bCs/>
          <w:i/>
          <w:iCs/>
          <w:rtl/>
        </w:rPr>
      </w:pPr>
      <w:r w:rsidRPr="005A280A">
        <w:rPr>
          <w:rFonts w:hint="cs"/>
          <w:b/>
          <w:bCs/>
          <w:i/>
          <w:iCs/>
          <w:rtl/>
        </w:rPr>
        <w:t>סט.</w:t>
      </w:r>
    </w:p>
    <w:p w:rsidR="0087388C" w:rsidRDefault="0087388C" w:rsidP="0087388C">
      <w:pPr>
        <w:rPr>
          <w:rFonts w:hint="cs"/>
          <w:rtl/>
        </w:rPr>
      </w:pPr>
      <w:r w:rsidRPr="005A280A">
        <w:rPr>
          <w:rFonts w:hint="cs"/>
          <w:b/>
          <w:bCs/>
          <w:rtl/>
        </w:rPr>
        <w:t>שמע אביה והפר ולא הספיק בעל לשמוע עד שמת</w:t>
      </w:r>
      <w:r>
        <w:rPr>
          <w:rFonts w:hint="cs"/>
          <w:rtl/>
        </w:rPr>
        <w:t xml:space="preserve"> </w:t>
      </w:r>
      <w:r>
        <w:rPr>
          <w:rtl/>
        </w:rPr>
        <w:t>–</w:t>
      </w:r>
      <w:r>
        <w:rPr>
          <w:rFonts w:hint="cs"/>
          <w:rtl/>
        </w:rPr>
        <w:t xml:space="preserve"> </w:t>
      </w:r>
      <w:r>
        <w:rPr>
          <w:rtl/>
        </w:rPr>
        <w:br/>
      </w:r>
      <w:r>
        <w:rPr>
          <w:rFonts w:hint="cs"/>
          <w:rtl/>
        </w:rPr>
        <w:t>לב"ש האב מיפר כעת חלק הבעל, ולב"ה אי אפשר להפר, אפילו יחזור ויפר גם את חלקו.</w:t>
      </w:r>
      <w:r>
        <w:rPr>
          <w:rtl/>
        </w:rPr>
        <w:br/>
      </w:r>
      <w:r w:rsidRPr="005A280A">
        <w:rPr>
          <w:rFonts w:hint="cs"/>
          <w:b/>
          <w:bCs/>
          <w:rtl/>
        </w:rPr>
        <w:t>נתארסה בו ביום</w:t>
      </w:r>
      <w:r>
        <w:rPr>
          <w:rFonts w:hint="cs"/>
          <w:rtl/>
        </w:rPr>
        <w:t xml:space="preserve"> </w:t>
      </w:r>
      <w:r>
        <w:rPr>
          <w:rtl/>
        </w:rPr>
        <w:t>–</w:t>
      </w:r>
      <w:r>
        <w:rPr>
          <w:rFonts w:hint="cs"/>
          <w:rtl/>
        </w:rPr>
        <w:t xml:space="preserve"> אביה וארוס אחרון מפירין אף לב"ה.</w:t>
      </w:r>
    </w:p>
    <w:p w:rsidR="0087388C" w:rsidRDefault="0087388C" w:rsidP="0087388C">
      <w:pPr>
        <w:rPr>
          <w:rFonts w:hint="cs"/>
          <w:rtl/>
        </w:rPr>
      </w:pPr>
      <w:r w:rsidRPr="005A280A">
        <w:rPr>
          <w:rFonts w:hint="cs"/>
          <w:b/>
          <w:bCs/>
          <w:rtl/>
        </w:rPr>
        <w:t>שאלה על ההקמה</w:t>
      </w:r>
      <w:r>
        <w:rPr>
          <w:rFonts w:hint="cs"/>
          <w:rtl/>
        </w:rPr>
        <w:t xml:space="preserve"> </w:t>
      </w:r>
      <w:r>
        <w:rPr>
          <w:rtl/>
        </w:rPr>
        <w:t>–</w:t>
      </w:r>
      <w:r>
        <w:rPr>
          <w:rFonts w:hint="cs"/>
          <w:rtl/>
        </w:rPr>
        <w:t xml:space="preserve"> חלה. ויוכל להפר בו ביום.</w:t>
      </w:r>
      <w:r>
        <w:rPr>
          <w:rtl/>
        </w:rPr>
        <w:br/>
      </w:r>
      <w:r w:rsidRPr="005A280A">
        <w:rPr>
          <w:rFonts w:hint="cs"/>
          <w:b/>
          <w:bCs/>
          <w:rtl/>
        </w:rPr>
        <w:t>שאלה על ההפרה</w:t>
      </w:r>
      <w:r>
        <w:rPr>
          <w:rFonts w:hint="cs"/>
          <w:rtl/>
        </w:rPr>
        <w:t xml:space="preserve"> </w:t>
      </w:r>
      <w:r>
        <w:rPr>
          <w:rtl/>
        </w:rPr>
        <w:t>–</w:t>
      </w:r>
      <w:r>
        <w:rPr>
          <w:rFonts w:hint="cs"/>
          <w:rtl/>
        </w:rPr>
        <w:t xml:space="preserve"> אינה חלה.</w:t>
      </w:r>
      <w:r>
        <w:rPr>
          <w:rFonts w:hint="cs"/>
          <w:rtl/>
        </w:rPr>
        <w:br/>
      </w:r>
      <w:r w:rsidRPr="005A280A">
        <w:rPr>
          <w:rFonts w:hint="cs"/>
          <w:b/>
          <w:bCs/>
          <w:rtl/>
        </w:rPr>
        <w:t>אמר קיים ליכי קיים ליכי ונשאל על הקמה ראשונה</w:t>
      </w:r>
      <w:r>
        <w:rPr>
          <w:rFonts w:hint="cs"/>
          <w:rtl/>
        </w:rPr>
        <w:t xml:space="preserve"> </w:t>
      </w:r>
      <w:r>
        <w:rPr>
          <w:rtl/>
        </w:rPr>
        <w:t>–</w:t>
      </w:r>
      <w:r>
        <w:rPr>
          <w:rFonts w:hint="cs"/>
          <w:rtl/>
        </w:rPr>
        <w:t xml:space="preserve"> חלה ההקמה השניה.</w:t>
      </w:r>
      <w:r>
        <w:rPr>
          <w:rStyle w:val="a5"/>
          <w:rtl/>
        </w:rPr>
        <w:footnoteReference w:id="12"/>
      </w:r>
      <w:r>
        <w:rPr>
          <w:rFonts w:hint="cs"/>
          <w:rtl/>
        </w:rPr>
        <w:br/>
      </w:r>
      <w:r w:rsidRPr="005A280A">
        <w:rPr>
          <w:rFonts w:hint="cs"/>
          <w:b/>
          <w:bCs/>
          <w:rtl/>
        </w:rPr>
        <w:t>אמר קיים ליכי ומופר ליכי ולא תחול הקמה אלא אם כן חלה הפרה</w:t>
      </w:r>
      <w:r>
        <w:rPr>
          <w:rFonts w:hint="cs"/>
          <w:rtl/>
        </w:rPr>
        <w:t xml:space="preserve"> </w:t>
      </w:r>
      <w:r>
        <w:rPr>
          <w:rtl/>
        </w:rPr>
        <w:t>–</w:t>
      </w:r>
      <w:r>
        <w:rPr>
          <w:rFonts w:hint="cs"/>
          <w:rtl/>
        </w:rPr>
        <w:t xml:space="preserve"> חלה רק ההפרה.</w:t>
      </w:r>
      <w:r>
        <w:rPr>
          <w:rtl/>
        </w:rPr>
        <w:br/>
      </w:r>
      <w:r w:rsidRPr="005A280A">
        <w:rPr>
          <w:rFonts w:hint="cs"/>
          <w:b/>
          <w:bCs/>
          <w:rtl/>
        </w:rPr>
        <w:t>קיים ליכי שעה ומופר ליכי שעה</w:t>
      </w:r>
      <w:r>
        <w:rPr>
          <w:rFonts w:hint="cs"/>
          <w:rtl/>
        </w:rPr>
        <w:t xml:space="preserve"> </w:t>
      </w:r>
      <w:r>
        <w:rPr>
          <w:rtl/>
        </w:rPr>
        <w:t>–</w:t>
      </w:r>
      <w:r>
        <w:rPr>
          <w:rFonts w:hint="cs"/>
          <w:rtl/>
        </w:rPr>
        <w:t xml:space="preserve"> עי' להלן ע' עמ' א'.</w:t>
      </w:r>
    </w:p>
    <w:p w:rsidR="0087388C" w:rsidRPr="005A280A" w:rsidRDefault="0087388C" w:rsidP="0087388C">
      <w:pPr>
        <w:rPr>
          <w:rFonts w:hint="cs"/>
          <w:b/>
          <w:bCs/>
          <w:i/>
          <w:iCs/>
          <w:rtl/>
        </w:rPr>
      </w:pPr>
      <w:r w:rsidRPr="005A280A">
        <w:rPr>
          <w:rFonts w:hint="cs"/>
          <w:b/>
          <w:bCs/>
          <w:i/>
          <w:iCs/>
          <w:rtl/>
        </w:rPr>
        <w:t>סט:</w:t>
      </w:r>
    </w:p>
    <w:p w:rsidR="0087388C" w:rsidRDefault="0087388C" w:rsidP="0087388C">
      <w:pPr>
        <w:rPr>
          <w:rFonts w:hint="cs"/>
          <w:rtl/>
        </w:rPr>
      </w:pPr>
      <w:r w:rsidRPr="005A280A">
        <w:rPr>
          <w:rFonts w:hint="cs"/>
          <w:b/>
          <w:bCs/>
          <w:rtl/>
        </w:rPr>
        <w:t>הרי זו תמורת עולה ואחר כך תמורת שלמים</w:t>
      </w:r>
      <w:r>
        <w:rPr>
          <w:rFonts w:hint="cs"/>
          <w:rtl/>
        </w:rPr>
        <w:t xml:space="preserve"> </w:t>
      </w:r>
      <w:r>
        <w:rPr>
          <w:rtl/>
        </w:rPr>
        <w:t>–</w:t>
      </w:r>
      <w:r>
        <w:rPr>
          <w:rFonts w:hint="cs"/>
          <w:rtl/>
        </w:rPr>
        <w:t xml:space="preserve"> הרי זו רק תמורת עולה.</w:t>
      </w:r>
      <w:r>
        <w:rPr>
          <w:rtl/>
        </w:rPr>
        <w:br/>
      </w:r>
      <w:r w:rsidRPr="005A280A">
        <w:rPr>
          <w:rFonts w:hint="cs"/>
          <w:b/>
          <w:bCs/>
          <w:rtl/>
        </w:rPr>
        <w:t>לא תחול תמורה עולה אא"כ תחול תמורת שלמים</w:t>
      </w:r>
      <w:r>
        <w:rPr>
          <w:rFonts w:hint="cs"/>
          <w:rtl/>
        </w:rPr>
        <w:t xml:space="preserve"> </w:t>
      </w:r>
      <w:r>
        <w:rPr>
          <w:rtl/>
        </w:rPr>
        <w:t>–</w:t>
      </w:r>
      <w:r>
        <w:rPr>
          <w:rFonts w:hint="cs"/>
          <w:rtl/>
        </w:rPr>
        <w:t xml:space="preserve"> חלים שניהם.</w:t>
      </w:r>
      <w:r>
        <w:rPr>
          <w:rStyle w:val="a5"/>
          <w:rtl/>
        </w:rPr>
        <w:footnoteReference w:id="13"/>
      </w:r>
      <w:r>
        <w:rPr>
          <w:rtl/>
        </w:rPr>
        <w:t xml:space="preserve"> </w:t>
      </w:r>
      <w:r>
        <w:rPr>
          <w:rFonts w:hint="cs"/>
          <w:rtl/>
        </w:rPr>
        <w:br/>
      </w:r>
      <w:r w:rsidRPr="005A280A">
        <w:rPr>
          <w:rFonts w:hint="cs"/>
          <w:b/>
          <w:bCs/>
          <w:rtl/>
        </w:rPr>
        <w:t>תמורת עולה ושלמים</w:t>
      </w:r>
      <w:r>
        <w:rPr>
          <w:rFonts w:hint="cs"/>
          <w:rtl/>
        </w:rPr>
        <w:t xml:space="preserve"> </w:t>
      </w:r>
      <w:r>
        <w:rPr>
          <w:rtl/>
        </w:rPr>
        <w:t>–</w:t>
      </w:r>
      <w:r>
        <w:rPr>
          <w:rFonts w:hint="cs"/>
          <w:rtl/>
        </w:rPr>
        <w:t xml:space="preserve"> חלים שניהם.</w:t>
      </w:r>
      <w:r>
        <w:rPr>
          <w:rtl/>
        </w:rPr>
        <w:br/>
      </w:r>
      <w:r w:rsidRPr="005A280A">
        <w:rPr>
          <w:rFonts w:hint="cs"/>
          <w:b/>
          <w:bCs/>
          <w:rtl/>
        </w:rPr>
        <w:t>תמורת עולה תמורת ש</w:t>
      </w:r>
      <w:r>
        <w:rPr>
          <w:rFonts w:hint="cs"/>
          <w:b/>
          <w:bCs/>
          <w:rtl/>
        </w:rPr>
        <w:t>ל</w:t>
      </w:r>
      <w:r w:rsidRPr="005A280A">
        <w:rPr>
          <w:rFonts w:hint="cs"/>
          <w:b/>
          <w:bCs/>
          <w:rtl/>
        </w:rPr>
        <w:t>מים</w:t>
      </w:r>
      <w:r>
        <w:rPr>
          <w:rFonts w:hint="cs"/>
          <w:rtl/>
        </w:rPr>
        <w:t xml:space="preserve"> </w:t>
      </w:r>
      <w:r>
        <w:rPr>
          <w:rtl/>
        </w:rPr>
        <w:t>–</w:t>
      </w:r>
      <w:r>
        <w:rPr>
          <w:rFonts w:hint="cs"/>
          <w:rtl/>
        </w:rPr>
        <w:t xml:space="preserve"> לר"מ תמורת עולה</w:t>
      </w:r>
      <w:r>
        <w:rPr>
          <w:rStyle w:val="a5"/>
          <w:rtl/>
        </w:rPr>
        <w:footnoteReference w:id="14"/>
      </w:r>
      <w:r>
        <w:rPr>
          <w:rFonts w:hint="cs"/>
          <w:rtl/>
        </w:rPr>
        <w:t>, לר' יוסי שניהם.</w:t>
      </w:r>
      <w:r>
        <w:rPr>
          <w:rStyle w:val="a5"/>
          <w:rtl/>
        </w:rPr>
        <w:footnoteReference w:id="15"/>
      </w:r>
    </w:p>
    <w:p w:rsidR="0087388C" w:rsidRDefault="0087388C" w:rsidP="0087388C">
      <w:pPr>
        <w:rPr>
          <w:rFonts w:hint="cs"/>
          <w:rtl/>
        </w:rPr>
      </w:pPr>
      <w:r w:rsidRPr="005A280A">
        <w:rPr>
          <w:rFonts w:hint="cs"/>
          <w:b/>
          <w:bCs/>
          <w:rtl/>
        </w:rPr>
        <w:t>אמר "קיים ליכי ומופר ליכי בבת אחת</w:t>
      </w:r>
      <w:r w:rsidRPr="005A280A">
        <w:rPr>
          <w:rFonts w:hint="cs"/>
          <w:b/>
          <w:bCs/>
          <w:i/>
          <w:iCs/>
          <w:rtl/>
        </w:rPr>
        <w:t>"</w:t>
      </w:r>
      <w:r w:rsidRPr="005A280A">
        <w:rPr>
          <w:rStyle w:val="a5"/>
          <w:i/>
          <w:iCs/>
          <w:rtl/>
        </w:rPr>
        <w:footnoteReference w:id="16"/>
      </w:r>
      <w:r w:rsidRPr="005A280A">
        <w:rPr>
          <w:rFonts w:hint="cs"/>
          <w:rtl/>
        </w:rPr>
        <w:t xml:space="preserve"> </w:t>
      </w:r>
      <w:r>
        <w:rPr>
          <w:rtl/>
        </w:rPr>
        <w:t>–</w:t>
      </w:r>
      <w:r>
        <w:rPr>
          <w:rFonts w:hint="cs"/>
          <w:rtl/>
        </w:rPr>
        <w:t xml:space="preserve"> להר"ן לא חלים כלל, לא הקמה ולא הפרה.</w:t>
      </w:r>
      <w:r>
        <w:rPr>
          <w:rStyle w:val="a5"/>
          <w:rtl/>
        </w:rPr>
        <w:footnoteReference w:id="17"/>
      </w:r>
      <w:r>
        <w:rPr>
          <w:rFonts w:hint="cs"/>
          <w:rtl/>
        </w:rPr>
        <w:br/>
      </w:r>
      <w:r w:rsidRPr="005A280A">
        <w:rPr>
          <w:rFonts w:hint="cs"/>
          <w:b/>
          <w:bCs/>
          <w:rtl/>
        </w:rPr>
        <w:t>כל שאינו בזה אחר זה</w:t>
      </w:r>
      <w:r>
        <w:rPr>
          <w:rFonts w:hint="cs"/>
          <w:rtl/>
        </w:rPr>
        <w:t xml:space="preserve"> </w:t>
      </w:r>
      <w:r>
        <w:rPr>
          <w:rtl/>
        </w:rPr>
        <w:t>–</w:t>
      </w:r>
      <w:r>
        <w:rPr>
          <w:rFonts w:hint="cs"/>
          <w:rtl/>
        </w:rPr>
        <w:t xml:space="preserve"> אפילו בבת אחת אינו.</w:t>
      </w:r>
      <w:r>
        <w:rPr>
          <w:rFonts w:hint="cs"/>
          <w:rtl/>
        </w:rPr>
        <w:br/>
      </w:r>
      <w:r w:rsidRPr="005A280A">
        <w:rPr>
          <w:rFonts w:hint="cs"/>
          <w:b/>
          <w:bCs/>
          <w:rtl/>
        </w:rPr>
        <w:t>המקדש שתי אחיות כאחת</w:t>
      </w:r>
      <w:r>
        <w:rPr>
          <w:rFonts w:hint="cs"/>
          <w:rtl/>
        </w:rPr>
        <w:t xml:space="preserve"> </w:t>
      </w:r>
      <w:r>
        <w:rPr>
          <w:rtl/>
        </w:rPr>
        <w:t>–</w:t>
      </w:r>
      <w:r>
        <w:rPr>
          <w:rFonts w:hint="cs"/>
          <w:rtl/>
        </w:rPr>
        <w:t xml:space="preserve"> לא חל אפילו ספק קידושין באף אחת.</w:t>
      </w:r>
    </w:p>
    <w:p w:rsidR="00CC6452" w:rsidRDefault="0087388C" w:rsidP="0087388C">
      <w:r w:rsidRPr="005A280A">
        <w:rPr>
          <w:rFonts w:hint="cs"/>
          <w:b/>
          <w:bCs/>
          <w:rtl/>
        </w:rPr>
        <w:t>"קיים ליכי היום</w:t>
      </w:r>
      <w:r w:rsidRPr="005A280A">
        <w:rPr>
          <w:rFonts w:hint="cs"/>
          <w:b/>
          <w:bCs/>
          <w:i/>
          <w:iCs/>
          <w:rtl/>
        </w:rPr>
        <w:t>"</w:t>
      </w:r>
      <w:r>
        <w:rPr>
          <w:rFonts w:hint="cs"/>
          <w:rtl/>
        </w:rPr>
        <w:t xml:space="preserve"> </w:t>
      </w:r>
      <w:r>
        <w:rPr>
          <w:rtl/>
        </w:rPr>
        <w:t>–</w:t>
      </w:r>
      <w:r>
        <w:rPr>
          <w:rFonts w:hint="cs"/>
          <w:rtl/>
        </w:rPr>
        <w:t xml:space="preserve"> מספקא לרבה אי הוי כמאן דאמר קיים רק היום ומופר למחר.</w:t>
      </w:r>
      <w:r>
        <w:rPr>
          <w:rtl/>
        </w:rPr>
        <w:br/>
      </w:r>
      <w:r>
        <w:rPr>
          <w:rtl/>
        </w:rPr>
        <w:br/>
      </w:r>
    </w:p>
    <w:sectPr w:rsidR="00CC6452" w:rsidSect="00BF1BCC">
      <w:pgSz w:w="11907" w:h="16839" w:code="9"/>
      <w:pgMar w:top="1440" w:right="1797" w:bottom="1440" w:left="179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0B" w:rsidRDefault="0009010B" w:rsidP="0087388C">
      <w:pPr>
        <w:spacing w:after="0" w:line="240" w:lineRule="auto"/>
      </w:pPr>
      <w:r>
        <w:separator/>
      </w:r>
    </w:p>
  </w:endnote>
  <w:endnote w:type="continuationSeparator" w:id="0">
    <w:p w:rsidR="0009010B" w:rsidRDefault="0009010B" w:rsidP="00873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0B" w:rsidRDefault="0009010B" w:rsidP="0087388C">
      <w:pPr>
        <w:spacing w:after="0" w:line="240" w:lineRule="auto"/>
      </w:pPr>
      <w:r>
        <w:separator/>
      </w:r>
    </w:p>
  </w:footnote>
  <w:footnote w:type="continuationSeparator" w:id="0">
    <w:p w:rsidR="0009010B" w:rsidRDefault="0009010B" w:rsidP="0087388C">
      <w:pPr>
        <w:spacing w:after="0" w:line="240" w:lineRule="auto"/>
      </w:pPr>
      <w:r>
        <w:continuationSeparator/>
      </w:r>
    </w:p>
  </w:footnote>
  <w:footnote w:id="1">
    <w:p w:rsidR="0087388C" w:rsidRDefault="0087388C" w:rsidP="0087388C">
      <w:pPr>
        <w:pStyle w:val="a3"/>
        <w:rPr>
          <w:rtl/>
        </w:rPr>
      </w:pPr>
      <w:r>
        <w:rPr>
          <w:rStyle w:val="a5"/>
        </w:rPr>
        <w:footnoteRef/>
      </w:r>
      <w:r>
        <w:rPr>
          <w:rtl/>
        </w:rPr>
        <w:t xml:space="preserve"> </w:t>
      </w:r>
      <w:r>
        <w:rPr>
          <w:rFonts w:hint="cs"/>
          <w:rtl/>
        </w:rPr>
        <w:t>וכלול בזה שאם קיים אחד מהם, להדיא או על ידי ששתק ביום שמעו, לא גרע מלא להפר, ואין נדריה מופרין.</w:t>
      </w:r>
    </w:p>
  </w:footnote>
  <w:footnote w:id="2">
    <w:p w:rsidR="0087388C" w:rsidRDefault="0087388C" w:rsidP="0087388C">
      <w:pPr>
        <w:pStyle w:val="a3"/>
      </w:pPr>
      <w:r>
        <w:rPr>
          <w:rStyle w:val="a5"/>
        </w:rPr>
        <w:footnoteRef/>
      </w:r>
      <w:r>
        <w:rPr>
          <w:rtl/>
        </w:rPr>
        <w:t xml:space="preserve"> </w:t>
      </w:r>
      <w:r>
        <w:rPr>
          <w:rFonts w:hint="cs"/>
          <w:rtl/>
        </w:rPr>
        <w:t>בב"י מביא שלהרמב"ם מהני רק אם מפירין שניהם ביום אחד, ולהרמב"ן גם ביום אחר, ועי"ש שכ"ה דעת הרא"ש להקל, אבל בלח"מ כתב שאין הכרח מהרא"ש, ואכמ"ל. ומש"כ כאן הר"ן שחרית וערבית, לא ברור אי כוונתו ביום אחד, ואם כן, האם זה בדוקא, ואם כן האם זה רק בכה"ג שהיתה הקמה באמצע או תמיד כהרמב"ם.</w:t>
      </w:r>
    </w:p>
  </w:footnote>
  <w:footnote w:id="3">
    <w:p w:rsidR="0087388C" w:rsidRDefault="0087388C" w:rsidP="0087388C">
      <w:pPr>
        <w:pStyle w:val="a3"/>
      </w:pPr>
      <w:r>
        <w:rPr>
          <w:rStyle w:val="a5"/>
        </w:rPr>
        <w:footnoteRef/>
      </w:r>
      <w:r>
        <w:rPr>
          <w:rtl/>
        </w:rPr>
        <w:t xml:space="preserve"> </w:t>
      </w:r>
      <w:r>
        <w:rPr>
          <w:rFonts w:hint="cs"/>
          <w:rtl/>
        </w:rPr>
        <w:t>דחכם עוקר למפרע. ותמה הרשב"א מדוע כאן לא מהני שאלה על הקמה לאשוויי כמאן דליתיה מעיקרא, ועי' ר"ן מש"כ בזה ודבריו צ"ב, וידועים דברי האח' לתמוך מכאן את יסוד המושג "מכאן ולהבא למפרע" ואכ"מ.</w:t>
      </w:r>
    </w:p>
  </w:footnote>
  <w:footnote w:id="4">
    <w:p w:rsidR="0087388C" w:rsidRDefault="0087388C" w:rsidP="0087388C">
      <w:pPr>
        <w:pStyle w:val="a3"/>
      </w:pPr>
      <w:r>
        <w:rPr>
          <w:rStyle w:val="a5"/>
        </w:rPr>
        <w:footnoteRef/>
      </w:r>
      <w:r>
        <w:rPr>
          <w:rtl/>
        </w:rPr>
        <w:t xml:space="preserve"> </w:t>
      </w:r>
      <w:r>
        <w:rPr>
          <w:rFonts w:hint="cs"/>
          <w:rtl/>
        </w:rPr>
        <w:t>אם אכלה רק אחד, אינה לוקה שמא אינו זה שנשאר באיסורו. ההכרעה דתליא בפלוגתא היא להלן בדף סט עמ' א'.</w:t>
      </w:r>
    </w:p>
  </w:footnote>
  <w:footnote w:id="5">
    <w:p w:rsidR="0087388C" w:rsidRDefault="0087388C" w:rsidP="0087388C">
      <w:pPr>
        <w:pStyle w:val="a3"/>
        <w:rPr>
          <w:rtl/>
        </w:rPr>
      </w:pPr>
      <w:r>
        <w:rPr>
          <w:rStyle w:val="a5"/>
        </w:rPr>
        <w:footnoteRef/>
      </w:r>
      <w:r>
        <w:rPr>
          <w:rtl/>
        </w:rPr>
        <w:t xml:space="preserve"> </w:t>
      </w:r>
      <w:r>
        <w:rPr>
          <w:rFonts w:hint="cs"/>
          <w:rtl/>
        </w:rPr>
        <w:t>ולא שייך לצייר בשני זיתים, ויל"ע אי בכל זאת אם תאכל כל שהוא יהא תלוי במחלוקת. ויש מ"ד דגם מלקות דנדר בכזית, ושייך כל זה גם בנדרה ואכלה במזיד. ר"ן בשם הרשב"א.</w:t>
      </w:r>
    </w:p>
  </w:footnote>
  <w:footnote w:id="6">
    <w:p w:rsidR="0087388C" w:rsidRDefault="0087388C" w:rsidP="0087388C">
      <w:pPr>
        <w:pStyle w:val="a3"/>
      </w:pPr>
      <w:r>
        <w:rPr>
          <w:rStyle w:val="a5"/>
        </w:rPr>
        <w:footnoteRef/>
      </w:r>
      <w:r>
        <w:rPr>
          <w:rtl/>
        </w:rPr>
        <w:t xml:space="preserve"> </w:t>
      </w:r>
      <w:r>
        <w:rPr>
          <w:rFonts w:hint="cs"/>
          <w:rtl/>
        </w:rPr>
        <w:t>ואף אחר שתינשא לא יוכל הבעל להפר לפי שאינו מיפר בקודמין. ואין דרך להתיר אלא על ידי חכם. להלן מובא שאם חזרה ונתארסה, יכולים האב והארוס החדש להפר ביום שמתארסת.</w:t>
      </w:r>
    </w:p>
  </w:footnote>
  <w:footnote w:id="7">
    <w:p w:rsidR="0087388C" w:rsidRDefault="0087388C" w:rsidP="0087388C">
      <w:pPr>
        <w:pStyle w:val="a3"/>
        <w:rPr>
          <w:rFonts w:hint="cs"/>
        </w:rPr>
      </w:pPr>
      <w:r>
        <w:rPr>
          <w:rStyle w:val="a5"/>
        </w:rPr>
        <w:footnoteRef/>
      </w:r>
      <w:r>
        <w:rPr>
          <w:rtl/>
        </w:rPr>
        <w:t xml:space="preserve"> </w:t>
      </w:r>
      <w:r>
        <w:rPr>
          <w:rFonts w:hint="cs"/>
          <w:rtl/>
        </w:rPr>
        <w:t>אפילו מת ביום שלאחריו. ר"ן.</w:t>
      </w:r>
    </w:p>
  </w:footnote>
  <w:footnote w:id="8">
    <w:p w:rsidR="0087388C" w:rsidRDefault="0087388C" w:rsidP="0087388C">
      <w:pPr>
        <w:pStyle w:val="a3"/>
        <w:rPr>
          <w:rFonts w:hint="cs"/>
        </w:rPr>
      </w:pPr>
      <w:r>
        <w:rPr>
          <w:rStyle w:val="a5"/>
        </w:rPr>
        <w:footnoteRef/>
      </w:r>
      <w:r>
        <w:rPr>
          <w:rtl/>
        </w:rPr>
        <w:t xml:space="preserve"> </w:t>
      </w:r>
      <w:r>
        <w:rPr>
          <w:rFonts w:hint="cs"/>
          <w:rtl/>
        </w:rPr>
        <w:t>בר"ן בעמ' ב' האריך לפרש הרבותא שבזה. ועכ"פ למעשה אין נפ"מ אם שמע האב או לא, ואין יוצא מהכלל אלא אם קיים הבעל וכנ"ל, או אם כבר הפר האב וכדלהלן לב"ה.</w:t>
      </w:r>
    </w:p>
  </w:footnote>
  <w:footnote w:id="9">
    <w:p w:rsidR="0087388C" w:rsidRDefault="0087388C" w:rsidP="0087388C">
      <w:pPr>
        <w:pStyle w:val="a3"/>
        <w:rPr>
          <w:rFonts w:hint="cs"/>
          <w:rtl/>
        </w:rPr>
      </w:pPr>
      <w:r>
        <w:rPr>
          <w:rStyle w:val="a5"/>
        </w:rPr>
        <w:footnoteRef/>
      </w:r>
      <w:r>
        <w:rPr>
          <w:rtl/>
        </w:rPr>
        <w:t xml:space="preserve"> </w:t>
      </w:r>
      <w:r>
        <w:rPr>
          <w:rFonts w:hint="cs"/>
          <w:rtl/>
        </w:rPr>
        <w:t>בין קיים להדיא, בין על ידי ששתק ומת ביום שלאחריו.</w:t>
      </w:r>
    </w:p>
  </w:footnote>
  <w:footnote w:id="10">
    <w:p w:rsidR="0087388C" w:rsidRDefault="0087388C" w:rsidP="0087388C">
      <w:pPr>
        <w:pStyle w:val="a3"/>
        <w:rPr>
          <w:rFonts w:hint="cs"/>
        </w:rPr>
      </w:pPr>
      <w:r>
        <w:rPr>
          <w:rStyle w:val="a5"/>
        </w:rPr>
        <w:footnoteRef/>
      </w:r>
      <w:r>
        <w:rPr>
          <w:rtl/>
        </w:rPr>
        <w:t xml:space="preserve"> </w:t>
      </w:r>
      <w:r>
        <w:rPr>
          <w:rFonts w:hint="cs"/>
          <w:rtl/>
        </w:rPr>
        <w:t>עי' בר"ן מה הרבותא בזה. וה"ה (וכ"ש) אם האב לא הפר.</w:t>
      </w:r>
    </w:p>
  </w:footnote>
  <w:footnote w:id="11">
    <w:p w:rsidR="0087388C" w:rsidRDefault="0087388C" w:rsidP="0087388C">
      <w:pPr>
        <w:pStyle w:val="a3"/>
        <w:rPr>
          <w:rFonts w:hint="cs"/>
        </w:rPr>
      </w:pPr>
      <w:r>
        <w:rPr>
          <w:rStyle w:val="a5"/>
        </w:rPr>
        <w:footnoteRef/>
      </w:r>
      <w:r>
        <w:rPr>
          <w:rtl/>
        </w:rPr>
        <w:t xml:space="preserve"> </w:t>
      </w:r>
      <w:r>
        <w:rPr>
          <w:rFonts w:hint="cs"/>
          <w:rtl/>
        </w:rPr>
        <w:t>וגם בזה האריך הר"ן לפרש הרבותא.</w:t>
      </w:r>
    </w:p>
  </w:footnote>
  <w:footnote w:id="12">
    <w:p w:rsidR="0087388C" w:rsidRDefault="0087388C" w:rsidP="0087388C">
      <w:pPr>
        <w:pStyle w:val="a3"/>
        <w:rPr>
          <w:rFonts w:hint="cs"/>
        </w:rPr>
      </w:pPr>
      <w:r>
        <w:rPr>
          <w:rStyle w:val="a5"/>
        </w:rPr>
        <w:footnoteRef/>
      </w:r>
      <w:r>
        <w:rPr>
          <w:rtl/>
        </w:rPr>
        <w:t xml:space="preserve"> </w:t>
      </w:r>
      <w:r>
        <w:rPr>
          <w:rFonts w:hint="cs"/>
          <w:rtl/>
        </w:rPr>
        <w:t>כעין דאמרינן לעיל יח. גבי שבועה שלא אוכל שבועה שלא אוכל ונשאל על הראשונה.</w:t>
      </w:r>
    </w:p>
  </w:footnote>
  <w:footnote w:id="13">
    <w:p w:rsidR="0087388C" w:rsidRDefault="0087388C" w:rsidP="0087388C">
      <w:pPr>
        <w:pStyle w:val="a3"/>
        <w:rPr>
          <w:rFonts w:hint="cs"/>
        </w:rPr>
      </w:pPr>
      <w:r>
        <w:rPr>
          <w:rStyle w:val="a5"/>
        </w:rPr>
        <w:footnoteRef/>
      </w:r>
      <w:r>
        <w:rPr>
          <w:rtl/>
        </w:rPr>
        <w:t xml:space="preserve"> </w:t>
      </w:r>
      <w:r>
        <w:rPr>
          <w:rFonts w:hint="cs"/>
          <w:rtl/>
        </w:rPr>
        <w:t>ותרעה עד שתסתאב ותימכר ויקחו בחצי דמיה עולה ובחצי דמיה שלמים.</w:t>
      </w:r>
    </w:p>
  </w:footnote>
  <w:footnote w:id="14">
    <w:p w:rsidR="0087388C" w:rsidRDefault="0087388C" w:rsidP="0087388C">
      <w:pPr>
        <w:pStyle w:val="a3"/>
        <w:rPr>
          <w:rFonts w:hint="cs"/>
          <w:rtl/>
        </w:rPr>
      </w:pPr>
      <w:r>
        <w:rPr>
          <w:rStyle w:val="a5"/>
        </w:rPr>
        <w:footnoteRef/>
      </w:r>
      <w:r>
        <w:rPr>
          <w:rtl/>
        </w:rPr>
        <w:t xml:space="preserve"> </w:t>
      </w:r>
      <w:r>
        <w:rPr>
          <w:rFonts w:hint="cs"/>
          <w:rtl/>
        </w:rPr>
        <w:t>ומשמע דאף אם יאמר שכוונתו היתה לשניהם, לאו כל כמיניה לפרש כך.</w:t>
      </w:r>
    </w:p>
  </w:footnote>
  <w:footnote w:id="15">
    <w:p w:rsidR="0087388C" w:rsidRDefault="0087388C" w:rsidP="0087388C">
      <w:pPr>
        <w:pStyle w:val="a3"/>
        <w:rPr>
          <w:rFonts w:hint="cs"/>
        </w:rPr>
      </w:pPr>
      <w:r>
        <w:rPr>
          <w:rStyle w:val="a5"/>
        </w:rPr>
        <w:footnoteRef/>
      </w:r>
      <w:r>
        <w:rPr>
          <w:rtl/>
        </w:rPr>
        <w:t xml:space="preserve"> </w:t>
      </w:r>
      <w:r>
        <w:rPr>
          <w:rFonts w:hint="cs"/>
          <w:rtl/>
        </w:rPr>
        <w:t>אם שאלוהו ואמר שלכך נתכוון. ואם נתכוון לעולה ונמלך, הוי רק עולה.</w:t>
      </w:r>
    </w:p>
  </w:footnote>
  <w:footnote w:id="16">
    <w:p w:rsidR="0087388C" w:rsidRDefault="0087388C" w:rsidP="0087388C">
      <w:pPr>
        <w:pStyle w:val="a3"/>
        <w:rPr>
          <w:rFonts w:hint="cs"/>
        </w:rPr>
      </w:pPr>
      <w:r>
        <w:rPr>
          <w:rStyle w:val="a5"/>
        </w:rPr>
        <w:footnoteRef/>
      </w:r>
      <w:r>
        <w:rPr>
          <w:rtl/>
        </w:rPr>
        <w:t xml:space="preserve"> </w:t>
      </w:r>
      <w:r>
        <w:rPr>
          <w:rFonts w:hint="cs"/>
          <w:rtl/>
        </w:rPr>
        <w:t>אם אמר ליכי פעמיים צריך שיאמר תיבות בבת אחת, אם אמר "קיים ומופר ליכי" הכוונה בבת אחת אף בלא לפרש. ר"ן.</w:t>
      </w:r>
    </w:p>
  </w:footnote>
  <w:footnote w:id="17">
    <w:p w:rsidR="0087388C" w:rsidRDefault="0087388C" w:rsidP="0087388C">
      <w:pPr>
        <w:pStyle w:val="a3"/>
        <w:rPr>
          <w:rFonts w:hint="cs"/>
          <w:rtl/>
        </w:rPr>
      </w:pPr>
      <w:r>
        <w:rPr>
          <w:rStyle w:val="a5"/>
        </w:rPr>
        <w:footnoteRef/>
      </w:r>
      <w:r>
        <w:rPr>
          <w:rtl/>
        </w:rPr>
        <w:t xml:space="preserve"> </w:t>
      </w:r>
      <w:r>
        <w:rPr>
          <w:rFonts w:hint="cs"/>
          <w:rtl/>
        </w:rPr>
        <w:t>וכתב הר"ן דדברי הרמב"ם לא נתחוורו לו. והיינו שכתב דחלה הקמה. וידוע ביאור הגר"ח בספרו דהקמה סותרת במהותה את ההפרה שאחריה ולכן סותרת אותה אף בבת אחת, אבל הפרה אינה מונעת הקמה במהותה, אלא שאחר הפרה אין נדר, ולכן בבת אחת שעדיין יש נדר, שפיר חלה הקמה, עיי"ש דבריו הנפלאים.</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87388C"/>
    <w:rsid w:val="000378D4"/>
    <w:rsid w:val="0009010B"/>
    <w:rsid w:val="00240196"/>
    <w:rsid w:val="00294D17"/>
    <w:rsid w:val="00364FB4"/>
    <w:rsid w:val="005A5BAA"/>
    <w:rsid w:val="0087388C"/>
    <w:rsid w:val="00AF7868"/>
    <w:rsid w:val="00BF1BCC"/>
    <w:rsid w:val="00C346B2"/>
    <w:rsid w:val="00CC64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388C"/>
    <w:pPr>
      <w:spacing w:after="0" w:line="240" w:lineRule="auto"/>
    </w:pPr>
    <w:rPr>
      <w:sz w:val="20"/>
      <w:szCs w:val="20"/>
    </w:rPr>
  </w:style>
  <w:style w:type="character" w:customStyle="1" w:styleId="a4">
    <w:name w:val="טקסט הערת שוליים תו"/>
    <w:basedOn w:val="a0"/>
    <w:link w:val="a3"/>
    <w:uiPriority w:val="99"/>
    <w:semiHidden/>
    <w:rsid w:val="0087388C"/>
    <w:rPr>
      <w:sz w:val="20"/>
      <w:szCs w:val="20"/>
    </w:rPr>
  </w:style>
  <w:style w:type="character" w:styleId="a5">
    <w:name w:val="footnote reference"/>
    <w:basedOn w:val="a0"/>
    <w:uiPriority w:val="99"/>
    <w:semiHidden/>
    <w:unhideWhenUsed/>
    <w:rsid w:val="008738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2064</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2015-08-02T11:52:00Z</dcterms:created>
  <dcterms:modified xsi:type="dcterms:W3CDTF">2015-08-02T11:53:00Z</dcterms:modified>
</cp:coreProperties>
</file>