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F8" w:rsidRDefault="009329F8" w:rsidP="009329F8">
      <w:pPr>
        <w:rPr>
          <w:rtl/>
        </w:rPr>
      </w:pPr>
      <w:r>
        <w:rPr>
          <w:rFonts w:hint="cs"/>
          <w:rtl/>
        </w:rPr>
        <w:t xml:space="preserve">לעולם </w:t>
      </w:r>
      <w:r w:rsidRPr="00225598">
        <w:rPr>
          <w:rFonts w:hint="cs"/>
          <w:b/>
          <w:bCs/>
          <w:rtl/>
        </w:rPr>
        <w:t>הלכתא כבית הלל</w:t>
      </w:r>
      <w:r>
        <w:rPr>
          <w:rFonts w:hint="cs"/>
          <w:rtl/>
        </w:rPr>
        <w:t xml:space="preserve">, והיינו לאחר בת קול ולמ"ד </w:t>
      </w:r>
      <w:proofErr w:type="spellStart"/>
      <w:r>
        <w:rPr>
          <w:rFonts w:hint="cs"/>
          <w:rtl/>
        </w:rPr>
        <w:t>משגיחין</w:t>
      </w:r>
      <w:proofErr w:type="spellEnd"/>
      <w:r>
        <w:rPr>
          <w:rFonts w:hint="cs"/>
          <w:rtl/>
        </w:rPr>
        <w:t xml:space="preserve"> בבת קול.</w:t>
      </w:r>
      <w:r>
        <w:rPr>
          <w:rtl/>
        </w:rPr>
        <w:br/>
      </w:r>
      <w:r>
        <w:rPr>
          <w:rFonts w:hint="cs"/>
          <w:rtl/>
        </w:rPr>
        <w:t>הרוצה לעשות כדברי ב"ש עושה, כדברי ב"ה עושה.</w:t>
      </w:r>
      <w:r>
        <w:rPr>
          <w:rtl/>
        </w:rPr>
        <w:br/>
      </w:r>
      <w:proofErr w:type="spellStart"/>
      <w:r>
        <w:rPr>
          <w:rFonts w:hint="cs"/>
          <w:rtl/>
        </w:rPr>
        <w:t>לתי</w:t>
      </w:r>
      <w:proofErr w:type="spellEnd"/>
      <w:r>
        <w:rPr>
          <w:rFonts w:hint="cs"/>
          <w:rtl/>
        </w:rPr>
        <w:t xml:space="preserve">' א' להלן הא </w:t>
      </w:r>
      <w:proofErr w:type="spellStart"/>
      <w:r>
        <w:rPr>
          <w:rFonts w:hint="cs"/>
          <w:rtl/>
        </w:rPr>
        <w:t>דעושה</w:t>
      </w:r>
      <w:proofErr w:type="spellEnd"/>
      <w:r>
        <w:rPr>
          <w:rFonts w:hint="cs"/>
          <w:rtl/>
        </w:rPr>
        <w:t xml:space="preserve"> כדברי ב"ש היינו קודם בת קול, </w:t>
      </w:r>
      <w:proofErr w:type="spellStart"/>
      <w:r>
        <w:rPr>
          <w:rFonts w:hint="cs"/>
          <w:rtl/>
        </w:rPr>
        <w:t>ולתי</w:t>
      </w:r>
      <w:proofErr w:type="spellEnd"/>
      <w:r>
        <w:rPr>
          <w:rFonts w:hint="cs"/>
          <w:rtl/>
        </w:rPr>
        <w:t xml:space="preserve">' ב' היינו </w:t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יהושע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משגיחין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בב"ק</w:t>
      </w:r>
      <w:proofErr w:type="spellEnd"/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 xml:space="preserve">והיינו אי כב"ש, </w:t>
      </w:r>
      <w:proofErr w:type="spellStart"/>
      <w:r>
        <w:rPr>
          <w:rFonts w:hint="cs"/>
          <w:rtl/>
        </w:rPr>
        <w:t>כקוליהן</w:t>
      </w:r>
      <w:proofErr w:type="spellEnd"/>
      <w:r>
        <w:rPr>
          <w:rFonts w:hint="cs"/>
          <w:rtl/>
        </w:rPr>
        <w:t xml:space="preserve"> וכחומריהן, ואי </w:t>
      </w:r>
      <w:proofErr w:type="spellStart"/>
      <w:r>
        <w:rPr>
          <w:rFonts w:hint="cs"/>
          <w:rtl/>
        </w:rPr>
        <w:t>כב"ה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כקוליהן</w:t>
      </w:r>
      <w:proofErr w:type="spellEnd"/>
      <w:r>
        <w:rPr>
          <w:rFonts w:hint="cs"/>
          <w:rtl/>
        </w:rPr>
        <w:t xml:space="preserve"> וחומריהן.</w:t>
      </w:r>
      <w:r>
        <w:rPr>
          <w:rtl/>
        </w:rPr>
        <w:br/>
      </w:r>
      <w:r>
        <w:rPr>
          <w:rFonts w:hint="cs"/>
          <w:rtl/>
        </w:rPr>
        <w:t xml:space="preserve">אבל </w:t>
      </w:r>
      <w:r w:rsidRPr="00225598">
        <w:rPr>
          <w:rFonts w:hint="cs"/>
          <w:b/>
          <w:bCs/>
          <w:rtl/>
        </w:rPr>
        <w:t>העושה מקולי שניהם</w:t>
      </w:r>
      <w:r>
        <w:rPr>
          <w:rFonts w:hint="cs"/>
          <w:rtl/>
        </w:rPr>
        <w:t>, רשע.</w:t>
      </w:r>
      <w:r>
        <w:rPr>
          <w:rtl/>
        </w:rPr>
        <w:br/>
      </w:r>
      <w:r w:rsidRPr="00225598">
        <w:rPr>
          <w:rFonts w:hint="cs"/>
          <w:b/>
          <w:bCs/>
          <w:rtl/>
        </w:rPr>
        <w:t>מחומרי שניהם</w:t>
      </w:r>
      <w:r>
        <w:rPr>
          <w:rFonts w:hint="cs"/>
          <w:rtl/>
        </w:rPr>
        <w:t>, כשהחומרות סותרות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>, כסיל בחושך הולך.</w:t>
      </w:r>
    </w:p>
    <w:p w:rsidR="009329F8" w:rsidRPr="00225598" w:rsidRDefault="009329F8" w:rsidP="009329F8">
      <w:pPr>
        <w:rPr>
          <w:b/>
          <w:bCs/>
          <w:rtl/>
        </w:rPr>
      </w:pPr>
      <w:r w:rsidRPr="00225598">
        <w:rPr>
          <w:rFonts w:hint="cs"/>
          <w:b/>
          <w:bCs/>
          <w:rtl/>
        </w:rPr>
        <w:t>מד.</w:t>
      </w:r>
    </w:p>
    <w:p w:rsidR="009329F8" w:rsidRDefault="009329F8" w:rsidP="009329F8">
      <w:pPr>
        <w:rPr>
          <w:rtl/>
        </w:rPr>
      </w:pPr>
      <w:r w:rsidRPr="003414EE">
        <w:rPr>
          <w:rFonts w:hint="cs"/>
          <w:b/>
          <w:bCs/>
          <w:rtl/>
        </w:rPr>
        <w:t xml:space="preserve">הא </w:t>
      </w:r>
      <w:proofErr w:type="spellStart"/>
      <w:r w:rsidRPr="003414EE">
        <w:rPr>
          <w:rFonts w:hint="cs"/>
          <w:b/>
          <w:bCs/>
          <w:rtl/>
        </w:rPr>
        <w:t>דהטריף</w:t>
      </w:r>
      <w:proofErr w:type="spellEnd"/>
      <w:r w:rsidRPr="003414EE">
        <w:rPr>
          <w:rFonts w:hint="cs"/>
          <w:b/>
          <w:bCs/>
          <w:rtl/>
        </w:rPr>
        <w:t xml:space="preserve"> רבא התחיל לשחוט </w:t>
      </w:r>
      <w:proofErr w:type="spellStart"/>
      <w:r w:rsidRPr="003414EE">
        <w:rPr>
          <w:rFonts w:hint="cs"/>
          <w:b/>
          <w:bCs/>
          <w:rtl/>
        </w:rPr>
        <w:t>בתורבץ</w:t>
      </w:r>
      <w:proofErr w:type="spellEnd"/>
      <w:r w:rsidRPr="003414EE">
        <w:rPr>
          <w:rFonts w:hint="cs"/>
          <w:b/>
          <w:bCs/>
          <w:rtl/>
        </w:rPr>
        <w:t xml:space="preserve"> הוושט</w:t>
      </w:r>
      <w:r>
        <w:rPr>
          <w:rFonts w:hint="cs"/>
          <w:rtl/>
        </w:rPr>
        <w:t xml:space="preserve">, אע"פ שהוי חומרי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ושמואל הסותרים:</w:t>
      </w:r>
      <w:r>
        <w:rPr>
          <w:rtl/>
        </w:rPr>
        <w:br/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אבא באמת הוי טועה בדבר משנה, וכן </w:t>
      </w:r>
      <w:proofErr w:type="spellStart"/>
      <w:r>
        <w:rPr>
          <w:rFonts w:hint="cs"/>
          <w:rtl/>
        </w:rPr>
        <w:t>אותיב</w:t>
      </w:r>
      <w:proofErr w:type="spellEnd"/>
      <w:r>
        <w:rPr>
          <w:rFonts w:hint="cs"/>
          <w:rtl/>
        </w:rPr>
        <w:t xml:space="preserve"> מר בריה </w:t>
      </w:r>
      <w:proofErr w:type="spellStart"/>
      <w:r>
        <w:rPr>
          <w:rFonts w:hint="cs"/>
          <w:rtl/>
        </w:rPr>
        <w:t>דרבינא</w:t>
      </w:r>
      <w:proofErr w:type="spellEnd"/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 xml:space="preserve">אבל לרב </w:t>
      </w:r>
      <w:proofErr w:type="spellStart"/>
      <w:r>
        <w:rPr>
          <w:rFonts w:hint="cs"/>
          <w:rtl/>
        </w:rPr>
        <w:t>טבות</w:t>
      </w:r>
      <w:proofErr w:type="spellEnd"/>
      <w:r>
        <w:rPr>
          <w:rFonts w:hint="cs"/>
          <w:rtl/>
        </w:rPr>
        <w:t xml:space="preserve"> ע"פ דברי רמי</w:t>
      </w:r>
      <w:r>
        <w:rPr>
          <w:rStyle w:val="a5"/>
          <w:rtl/>
        </w:rPr>
        <w:footnoteReference w:id="2"/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ס"ל</w:t>
      </w:r>
      <w:proofErr w:type="spellEnd"/>
      <w:r>
        <w:rPr>
          <w:rFonts w:hint="cs"/>
          <w:rtl/>
        </w:rPr>
        <w:t xml:space="preserve"> לגמרי כרב, </w:t>
      </w:r>
      <w:proofErr w:type="spellStart"/>
      <w:r>
        <w:rPr>
          <w:rFonts w:hint="cs"/>
          <w:rtl/>
        </w:rPr>
        <w:t>דנקובתו</w:t>
      </w:r>
      <w:proofErr w:type="spellEnd"/>
      <w:r>
        <w:rPr>
          <w:rFonts w:hint="cs"/>
          <w:rtl/>
        </w:rPr>
        <w:t xml:space="preserve"> במשהו אע"פ שאינו מקום שחיטה.</w:t>
      </w:r>
      <w:r>
        <w:rPr>
          <w:rStyle w:val="a5"/>
          <w:rtl/>
        </w:rPr>
        <w:footnoteReference w:id="3"/>
      </w:r>
    </w:p>
    <w:p w:rsidR="009329F8" w:rsidRDefault="009329F8" w:rsidP="009329F8">
      <w:pPr>
        <w:rPr>
          <w:rtl/>
        </w:rPr>
      </w:pPr>
      <w:r w:rsidRPr="003414EE">
        <w:rPr>
          <w:rFonts w:hint="cs"/>
          <w:b/>
          <w:bCs/>
          <w:rtl/>
        </w:rPr>
        <w:t xml:space="preserve">מקום הוושט </w:t>
      </w:r>
      <w:proofErr w:type="spellStart"/>
      <w:r w:rsidRPr="003414EE">
        <w:rPr>
          <w:rFonts w:hint="cs"/>
          <w:b/>
          <w:bCs/>
          <w:rtl/>
        </w:rPr>
        <w:t>לענין</w:t>
      </w:r>
      <w:proofErr w:type="spellEnd"/>
      <w:r w:rsidRPr="003414EE">
        <w:rPr>
          <w:rFonts w:hint="cs"/>
          <w:b/>
          <w:bCs/>
          <w:rtl/>
        </w:rPr>
        <w:t xml:space="preserve"> שחיטה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לרמי בר יחזקאל משמיה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נתנו בו שיעור למעלה ולמטה.</w:t>
      </w:r>
      <w:r>
        <w:rPr>
          <w:rtl/>
        </w:rPr>
        <w:br/>
      </w:r>
      <w:r>
        <w:rPr>
          <w:rFonts w:hint="cs"/>
          <w:rtl/>
        </w:rPr>
        <w:t xml:space="preserve">למעלה, והוא </w:t>
      </w:r>
      <w:proofErr w:type="spellStart"/>
      <w:r>
        <w:rPr>
          <w:rFonts w:hint="cs"/>
          <w:rtl/>
        </w:rPr>
        <w:t>תורבץ</w:t>
      </w:r>
      <w:proofErr w:type="spellEnd"/>
      <w:r>
        <w:rPr>
          <w:rFonts w:hint="cs"/>
          <w:rtl/>
        </w:rPr>
        <w:t xml:space="preserve"> הוושט, יש להניח כדי תפיסת יד.</w:t>
      </w:r>
      <w:r>
        <w:rPr>
          <w:rStyle w:val="a5"/>
          <w:rtl/>
        </w:rPr>
        <w:footnoteReference w:id="4"/>
      </w:r>
      <w:r>
        <w:rPr>
          <w:rtl/>
        </w:rPr>
        <w:br/>
      </w:r>
      <w:r>
        <w:rPr>
          <w:rFonts w:hint="cs"/>
          <w:rtl/>
        </w:rPr>
        <w:t xml:space="preserve">למטה, עד המקום שמתחיל </w:t>
      </w:r>
      <w:proofErr w:type="spellStart"/>
      <w:r>
        <w:rPr>
          <w:rFonts w:hint="cs"/>
          <w:rtl/>
        </w:rPr>
        <w:t>להשעיר</w:t>
      </w:r>
      <w:proofErr w:type="spellEnd"/>
      <w:r>
        <w:rPr>
          <w:rFonts w:hint="cs"/>
          <w:rtl/>
        </w:rPr>
        <w:t>, שמשם נקרא כרס ולא וושט.</w:t>
      </w:r>
      <w:r>
        <w:rPr>
          <w:rStyle w:val="a5"/>
          <w:rtl/>
        </w:rPr>
        <w:footnoteReference w:id="5"/>
      </w:r>
    </w:p>
    <w:p w:rsidR="009329F8" w:rsidRDefault="009329F8" w:rsidP="009329F8">
      <w:pPr>
        <w:rPr>
          <w:rtl/>
        </w:rPr>
      </w:pPr>
      <w:proofErr w:type="spellStart"/>
      <w:r w:rsidRPr="003414EE">
        <w:rPr>
          <w:rFonts w:hint="cs"/>
          <w:b/>
          <w:bCs/>
          <w:rtl/>
        </w:rPr>
        <w:t>תורבץ</w:t>
      </w:r>
      <w:proofErr w:type="spellEnd"/>
      <w:r w:rsidRPr="003414EE">
        <w:rPr>
          <w:rFonts w:hint="cs"/>
          <w:b/>
          <w:bCs/>
          <w:rtl/>
        </w:rPr>
        <w:t xml:space="preserve"> הוושט שניטל כולו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אסור, אפי' נקלף בעדינות, דהיינו עיקור סימנים.</w:t>
      </w:r>
      <w:r>
        <w:rPr>
          <w:rtl/>
        </w:rPr>
        <w:br/>
      </w:r>
      <w:r w:rsidRPr="003414EE">
        <w:rPr>
          <w:rFonts w:hint="cs"/>
          <w:b/>
          <w:bCs/>
          <w:rtl/>
        </w:rPr>
        <w:t>ניטל רובו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בקילוף כשר, </w:t>
      </w:r>
      <w:proofErr w:type="spellStart"/>
      <w:r>
        <w:rPr>
          <w:rFonts w:hint="cs"/>
          <w:rtl/>
        </w:rPr>
        <w:t>דל"ה</w:t>
      </w:r>
      <w:proofErr w:type="spellEnd"/>
      <w:r>
        <w:rPr>
          <w:rFonts w:hint="cs"/>
          <w:rtl/>
        </w:rPr>
        <w:t xml:space="preserve"> עיקור, שמחובר היטב במיעוטו.</w:t>
      </w:r>
      <w:r>
        <w:rPr>
          <w:rtl/>
        </w:rPr>
        <w:br/>
      </w:r>
      <w:r>
        <w:rPr>
          <w:rFonts w:hint="cs"/>
          <w:rtl/>
        </w:rPr>
        <w:t xml:space="preserve">בפירוק חזק, אסור, דגם המיעוט המחובר אינו מחובר היטב </w:t>
      </w:r>
      <w:proofErr w:type="spellStart"/>
      <w:r>
        <w:rPr>
          <w:rFonts w:hint="cs"/>
          <w:rtl/>
        </w:rPr>
        <w:t>והוי</w:t>
      </w:r>
      <w:proofErr w:type="spellEnd"/>
      <w:r>
        <w:rPr>
          <w:rFonts w:hint="cs"/>
          <w:rtl/>
        </w:rPr>
        <w:t xml:space="preserve"> עיקור.</w:t>
      </w:r>
      <w:r>
        <w:rPr>
          <w:rtl/>
        </w:rPr>
        <w:br/>
      </w:r>
      <w:r w:rsidRPr="003414EE">
        <w:rPr>
          <w:rFonts w:hint="cs"/>
          <w:b/>
          <w:bCs/>
          <w:rtl/>
        </w:rPr>
        <w:t>אם ניטל הלחי התחתון ונשאר הבשר</w:t>
      </w:r>
      <w:r>
        <w:rPr>
          <w:rFonts w:hint="cs"/>
          <w:rtl/>
        </w:rPr>
        <w:t xml:space="preserve"> </w:t>
      </w:r>
      <w:r w:rsidRPr="003414EE">
        <w:rPr>
          <w:rFonts w:hint="cs"/>
          <w:b/>
          <w:bCs/>
          <w:rtl/>
        </w:rPr>
        <w:t xml:space="preserve">שתחתיו החופה את הסימנים </w:t>
      </w:r>
      <w:r>
        <w:rPr>
          <w:rFonts w:hint="cs"/>
          <w:rtl/>
        </w:rPr>
        <w:t>- כשר.</w:t>
      </w:r>
      <w:r>
        <w:rPr>
          <w:rStyle w:val="a5"/>
          <w:rtl/>
        </w:rPr>
        <w:footnoteReference w:id="6"/>
      </w:r>
    </w:p>
    <w:p w:rsidR="009329F8" w:rsidRPr="003414EE" w:rsidRDefault="009329F8" w:rsidP="009329F8">
      <w:pPr>
        <w:rPr>
          <w:b/>
          <w:bCs/>
          <w:rtl/>
        </w:rPr>
      </w:pPr>
      <w:r w:rsidRPr="003414EE">
        <w:rPr>
          <w:rFonts w:hint="cs"/>
          <w:b/>
          <w:bCs/>
          <w:rtl/>
        </w:rPr>
        <w:t>מד:</w:t>
      </w:r>
    </w:p>
    <w:p w:rsidR="009329F8" w:rsidRDefault="009329F8" w:rsidP="009329F8">
      <w:pPr>
        <w:rPr>
          <w:rtl/>
        </w:rPr>
      </w:pPr>
      <w:r w:rsidRPr="003414EE">
        <w:rPr>
          <w:rFonts w:hint="cs"/>
          <w:b/>
          <w:bCs/>
          <w:rtl/>
        </w:rPr>
        <w:t>פסוקת הגרגרת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ברובה.</w:t>
      </w:r>
      <w:r>
        <w:rPr>
          <w:rtl/>
        </w:rPr>
        <w:br/>
      </w:r>
      <w:r>
        <w:rPr>
          <w:rFonts w:hint="cs"/>
          <w:rtl/>
        </w:rPr>
        <w:t xml:space="preserve">י"א בשם רב רוב </w:t>
      </w:r>
      <w:proofErr w:type="spellStart"/>
      <w:r>
        <w:rPr>
          <w:rFonts w:hint="cs"/>
          <w:rtl/>
        </w:rPr>
        <w:t>עוביה</w:t>
      </w:r>
      <w:proofErr w:type="spellEnd"/>
      <w:r>
        <w:rPr>
          <w:rFonts w:hint="cs"/>
          <w:rtl/>
        </w:rPr>
        <w:t xml:space="preserve"> (כולל עובי הדופן העבה), ויש </w:t>
      </w:r>
      <w:proofErr w:type="spellStart"/>
      <w:r>
        <w:rPr>
          <w:rFonts w:hint="cs"/>
          <w:rtl/>
        </w:rPr>
        <w:t>מקילין</w:t>
      </w:r>
      <w:proofErr w:type="spellEnd"/>
      <w:r>
        <w:rPr>
          <w:rFonts w:hint="cs"/>
          <w:rtl/>
        </w:rPr>
        <w:t xml:space="preserve"> בשמו רק ברוב חללה.</w:t>
      </w:r>
      <w:r>
        <w:rPr>
          <w:rtl/>
        </w:rPr>
        <w:br/>
      </w:r>
      <w:r>
        <w:rPr>
          <w:rFonts w:hint="cs"/>
          <w:rtl/>
        </w:rPr>
        <w:t xml:space="preserve">רב רצה להחמיר למעשה ברוב </w:t>
      </w:r>
      <w:proofErr w:type="spellStart"/>
      <w:r>
        <w:rPr>
          <w:rFonts w:hint="cs"/>
          <w:rtl/>
        </w:rPr>
        <w:t>עוביה</w:t>
      </w:r>
      <w:proofErr w:type="spellEnd"/>
      <w:r>
        <w:rPr>
          <w:rFonts w:hint="cs"/>
          <w:rtl/>
        </w:rPr>
        <w:t xml:space="preserve">, אבל שתק כשהזכירוהו שאמר בעצמו ברוב חללה. </w:t>
      </w:r>
      <w:r>
        <w:rPr>
          <w:rtl/>
        </w:rPr>
        <w:br/>
      </w:r>
      <w:proofErr w:type="spellStart"/>
      <w:r>
        <w:rPr>
          <w:rFonts w:hint="cs"/>
          <w:rtl/>
        </w:rPr>
        <w:t>רבב"ח</w:t>
      </w:r>
      <w:proofErr w:type="spellEnd"/>
      <w:r>
        <w:rPr>
          <w:rFonts w:hint="cs"/>
          <w:rtl/>
        </w:rPr>
        <w:t xml:space="preserve"> פסק למעשה ברוב חללה, וקנה בעצמו מהבשר.</w:t>
      </w:r>
    </w:p>
    <w:p w:rsidR="009329F8" w:rsidRDefault="009329F8" w:rsidP="009329F8">
      <w:pPr>
        <w:rPr>
          <w:rtl/>
        </w:rPr>
      </w:pPr>
      <w:r w:rsidRPr="00787370">
        <w:rPr>
          <w:rFonts w:hint="cs"/>
          <w:b/>
          <w:bCs/>
          <w:rtl/>
        </w:rPr>
        <w:t>חכם שטימא או אסר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חבירו</w:t>
      </w:r>
      <w:proofErr w:type="spellEnd"/>
      <w:r>
        <w:rPr>
          <w:rFonts w:hint="cs"/>
          <w:rtl/>
        </w:rPr>
        <w:t xml:space="preserve"> רשאי לטהר או להתיר.</w:t>
      </w:r>
      <w:r>
        <w:rPr>
          <w:rtl/>
        </w:rPr>
        <w:br/>
      </w:r>
      <w:r w:rsidRPr="00787370">
        <w:rPr>
          <w:rFonts w:hint="cs"/>
          <w:b/>
          <w:bCs/>
          <w:rtl/>
        </w:rPr>
        <w:t>רצה הראשון לאסור ושתק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רשאי השני להתיר. ולכן התיר </w:t>
      </w:r>
      <w:proofErr w:type="spellStart"/>
      <w:r>
        <w:rPr>
          <w:rFonts w:hint="cs"/>
          <w:rtl/>
        </w:rPr>
        <w:t>רבב"ח</w:t>
      </w:r>
      <w:proofErr w:type="spellEnd"/>
      <w:r>
        <w:rPr>
          <w:rFonts w:hint="cs"/>
          <w:rtl/>
        </w:rPr>
        <w:t xml:space="preserve"> אף שרצה רב לאסור.</w:t>
      </w:r>
    </w:p>
    <w:p w:rsidR="009329F8" w:rsidRDefault="009329F8" w:rsidP="009329F8">
      <w:pPr>
        <w:rPr>
          <w:rtl/>
        </w:rPr>
      </w:pPr>
      <w:r w:rsidRPr="00787370">
        <w:rPr>
          <w:rFonts w:hint="cs"/>
          <w:b/>
          <w:bCs/>
          <w:rtl/>
        </w:rPr>
        <w:t>בהמה שהורה בה חכם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 הורה </w:t>
      </w:r>
      <w:proofErr w:type="spellStart"/>
      <w:r>
        <w:rPr>
          <w:rFonts w:hint="cs"/>
          <w:rtl/>
        </w:rPr>
        <w:t>מסברא</w:t>
      </w:r>
      <w:proofErr w:type="spellEnd"/>
      <w:r>
        <w:rPr>
          <w:rStyle w:val="a5"/>
          <w:rtl/>
        </w:rPr>
        <w:footnoteReference w:id="7"/>
      </w:r>
      <w:r>
        <w:rPr>
          <w:rFonts w:hint="cs"/>
          <w:rtl/>
        </w:rPr>
        <w:t>, ראוי להחמיר שלא לאכול ממנה</w:t>
      </w:r>
      <w:r>
        <w:rPr>
          <w:rStyle w:val="a5"/>
          <w:rtl/>
        </w:rPr>
        <w:footnoteReference w:id="8"/>
      </w:r>
      <w:r>
        <w:rPr>
          <w:rFonts w:hint="cs"/>
          <w:rtl/>
        </w:rPr>
        <w:t xml:space="preserve">. </w:t>
      </w:r>
      <w:r>
        <w:rPr>
          <w:rtl/>
        </w:rPr>
        <w:br/>
      </w:r>
      <w:r w:rsidRPr="00787370">
        <w:rPr>
          <w:rFonts w:hint="cs"/>
          <w:b/>
          <w:bCs/>
          <w:rtl/>
        </w:rPr>
        <w:t>הורה מגמרא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אין מקום </w:t>
      </w:r>
      <w:proofErr w:type="spellStart"/>
      <w:r>
        <w:rPr>
          <w:rFonts w:hint="cs"/>
          <w:rtl/>
        </w:rPr>
        <w:t>לחומרא</w:t>
      </w:r>
      <w:proofErr w:type="spellEnd"/>
      <w:r>
        <w:rPr>
          <w:rFonts w:hint="cs"/>
          <w:rtl/>
        </w:rPr>
        <w:t xml:space="preserve"> זו. ולכן </w:t>
      </w:r>
      <w:proofErr w:type="spellStart"/>
      <w:r>
        <w:rPr>
          <w:rFonts w:hint="cs"/>
          <w:rtl/>
        </w:rPr>
        <w:t>רבב"ח</w:t>
      </w:r>
      <w:proofErr w:type="spellEnd"/>
      <w:r>
        <w:rPr>
          <w:rFonts w:hint="cs"/>
          <w:rtl/>
        </w:rPr>
        <w:t xml:space="preserve"> אכל ממה שהורה בה.</w:t>
      </w:r>
    </w:p>
    <w:p w:rsidR="009329F8" w:rsidRDefault="009329F8" w:rsidP="009329F8">
      <w:pPr>
        <w:rPr>
          <w:rtl/>
        </w:rPr>
      </w:pPr>
      <w:r w:rsidRPr="00787370">
        <w:rPr>
          <w:rFonts w:hint="cs"/>
          <w:b/>
          <w:bCs/>
          <w:rtl/>
        </w:rPr>
        <w:t>דן את הדין זיכה וחייב, טמא וטיהר, אסר והתיר, וכן העדים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רשאי </w:t>
      </w:r>
      <w:proofErr w:type="spellStart"/>
      <w:r>
        <w:rPr>
          <w:rFonts w:hint="cs"/>
          <w:rtl/>
        </w:rPr>
        <w:t>מדינא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ליקח</w:t>
      </w:r>
      <w:proofErr w:type="spellEnd"/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אבל ראוי להימנע משום הרחק מן הכיעור, שלא יאמרו התיר והעיד כדי שימכור לו בזול.</w:t>
      </w:r>
      <w:r>
        <w:rPr>
          <w:rtl/>
        </w:rPr>
        <w:br/>
      </w:r>
      <w:r>
        <w:rPr>
          <w:rFonts w:hint="cs"/>
          <w:rtl/>
        </w:rPr>
        <w:t xml:space="preserve">והיינו בדבר הנמכר </w:t>
      </w:r>
      <w:proofErr w:type="spellStart"/>
      <w:r>
        <w:rPr>
          <w:rFonts w:hint="cs"/>
          <w:rtl/>
        </w:rPr>
        <w:t>בשומא</w:t>
      </w:r>
      <w:proofErr w:type="spellEnd"/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lastRenderedPageBreak/>
        <w:t xml:space="preserve">ולכן בכור שאין </w:t>
      </w:r>
      <w:proofErr w:type="spellStart"/>
      <w:r>
        <w:rPr>
          <w:rFonts w:hint="cs"/>
          <w:rtl/>
        </w:rPr>
        <w:t>למוכרו</w:t>
      </w:r>
      <w:proofErr w:type="spellEnd"/>
      <w:r>
        <w:rPr>
          <w:rFonts w:hint="cs"/>
          <w:rtl/>
        </w:rPr>
        <w:t xml:space="preserve"> בליטרא, אין ראוי לחכם שהתירו </w:t>
      </w:r>
      <w:proofErr w:type="spellStart"/>
      <w:r>
        <w:rPr>
          <w:rFonts w:hint="cs"/>
          <w:rtl/>
        </w:rPr>
        <w:t>שיקח</w:t>
      </w:r>
      <w:proofErr w:type="spellEnd"/>
      <w:r>
        <w:rPr>
          <w:rFonts w:hint="cs"/>
          <w:rtl/>
        </w:rPr>
        <w:t xml:space="preserve"> ממנו.</w:t>
      </w:r>
      <w:r>
        <w:rPr>
          <w:rtl/>
        </w:rPr>
        <w:br/>
      </w:r>
      <w:r>
        <w:rPr>
          <w:rFonts w:hint="cs"/>
          <w:rtl/>
        </w:rPr>
        <w:t xml:space="preserve">אבל </w:t>
      </w:r>
      <w:r w:rsidRPr="00787370">
        <w:rPr>
          <w:rFonts w:hint="cs"/>
          <w:b/>
          <w:bCs/>
          <w:rtl/>
        </w:rPr>
        <w:t>דבר הנמכר במשקל</w:t>
      </w:r>
      <w:r>
        <w:rPr>
          <w:rFonts w:hint="cs"/>
          <w:rtl/>
        </w:rPr>
        <w:t xml:space="preserve"> במחיר קבוע, רשאי החכם לקנות. </w:t>
      </w:r>
      <w:r>
        <w:rPr>
          <w:rtl/>
        </w:rPr>
        <w:br/>
      </w:r>
      <w:r>
        <w:rPr>
          <w:rFonts w:hint="cs"/>
          <w:rtl/>
        </w:rPr>
        <w:t xml:space="preserve">ולכן קנה </w:t>
      </w:r>
      <w:proofErr w:type="spellStart"/>
      <w:r>
        <w:rPr>
          <w:rFonts w:hint="cs"/>
          <w:rtl/>
        </w:rPr>
        <w:t>רבב"ח</w:t>
      </w:r>
      <w:proofErr w:type="spellEnd"/>
      <w:r>
        <w:rPr>
          <w:rFonts w:hint="cs"/>
          <w:rtl/>
        </w:rPr>
        <w:t xml:space="preserve"> מהבשר. וכן מצינו שרבא קנה מבשר שהכשירו מטריפה.</w:t>
      </w:r>
      <w:r>
        <w:rPr>
          <w:rtl/>
        </w:rPr>
        <w:br/>
      </w:r>
      <w:r>
        <w:rPr>
          <w:rFonts w:hint="cs"/>
          <w:rtl/>
        </w:rPr>
        <w:t xml:space="preserve">ואע"פ שנותנים לחכם ממיטב הבשר, עדיין רשאי </w:t>
      </w:r>
      <w:proofErr w:type="spellStart"/>
      <w:r>
        <w:rPr>
          <w:rFonts w:hint="cs"/>
          <w:rtl/>
        </w:rPr>
        <w:t>ליקח</w:t>
      </w:r>
      <w:proofErr w:type="spellEnd"/>
      <w:r>
        <w:rPr>
          <w:rFonts w:hint="cs"/>
          <w:rtl/>
        </w:rPr>
        <w:t>.</w:t>
      </w:r>
      <w:r>
        <w:rPr>
          <w:rStyle w:val="a5"/>
          <w:rtl/>
        </w:rPr>
        <w:footnoteReference w:id="9"/>
      </w:r>
    </w:p>
    <w:p w:rsidR="009329F8" w:rsidRDefault="009329F8" w:rsidP="009329F8">
      <w:pPr>
        <w:rPr>
          <w:rtl/>
        </w:rPr>
      </w:pPr>
      <w:r w:rsidRPr="00787370">
        <w:rPr>
          <w:rFonts w:hint="cs"/>
          <w:b/>
          <w:bCs/>
          <w:rtl/>
        </w:rPr>
        <w:t>בכור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נוהג בזמן הזה. </w:t>
      </w:r>
      <w:r w:rsidRPr="00787370">
        <w:rPr>
          <w:rFonts w:hint="cs"/>
          <w:b/>
          <w:bCs/>
          <w:rtl/>
        </w:rPr>
        <w:t>כשהוא תם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בזה"ז</w:t>
      </w:r>
      <w:proofErr w:type="spellEnd"/>
      <w:r>
        <w:rPr>
          <w:rFonts w:hint="cs"/>
          <w:rtl/>
        </w:rPr>
        <w:t xml:space="preserve"> אינו ראוי לכלום דהוי קדשים בחוץ.</w:t>
      </w:r>
      <w:r>
        <w:rPr>
          <w:rtl/>
        </w:rPr>
        <w:br/>
      </w:r>
      <w:r w:rsidRPr="00787370">
        <w:rPr>
          <w:rFonts w:hint="cs"/>
          <w:b/>
          <w:bCs/>
          <w:rtl/>
        </w:rPr>
        <w:t>כשנופל בו מום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חכם מתירו ומותר באכילה, אבל נמכר באומד ולא במשקל.</w:t>
      </w:r>
      <w:r>
        <w:rPr>
          <w:rStyle w:val="a5"/>
          <w:rtl/>
        </w:rPr>
        <w:footnoteReference w:id="10"/>
      </w:r>
      <w:r>
        <w:rPr>
          <w:rFonts w:hint="cs"/>
          <w:rtl/>
        </w:rPr>
        <w:t xml:space="preserve"> </w:t>
      </w:r>
    </w:p>
    <w:p w:rsidR="005024CF" w:rsidRDefault="009329F8" w:rsidP="009329F8">
      <w:r w:rsidRPr="00787370">
        <w:rPr>
          <w:rFonts w:hint="cs"/>
          <w:b/>
          <w:bCs/>
          <w:rtl/>
        </w:rPr>
        <w:t>איזהו תלמיד חכם</w:t>
      </w:r>
      <w:r>
        <w:rPr>
          <w:rStyle w:val="a5"/>
          <w:rtl/>
        </w:rPr>
        <w:footnoteReference w:id="11"/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הרואה טריפה לעצמו. ונקרא </w:t>
      </w:r>
      <w:r w:rsidRPr="00787370">
        <w:rPr>
          <w:rFonts w:hint="cs"/>
          <w:b/>
          <w:bCs/>
          <w:rtl/>
        </w:rPr>
        <w:t>שונא מתנות</w:t>
      </w:r>
      <w:r>
        <w:rPr>
          <w:rFonts w:hint="cs"/>
          <w:rtl/>
        </w:rPr>
        <w:t xml:space="preserve"> שנאמר עליו "יחיה".</w:t>
      </w:r>
      <w:r>
        <w:rPr>
          <w:rtl/>
        </w:rPr>
        <w:br/>
      </w:r>
      <w:r w:rsidRPr="00787370">
        <w:rPr>
          <w:rFonts w:hint="cs"/>
          <w:b/>
          <w:bCs/>
          <w:rtl/>
        </w:rPr>
        <w:t>מי שקורא ושונה ורואה טריפה לעצמו ושימש תלמידי חכמים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זוכה לשני עולמות.</w:t>
      </w:r>
      <w:r>
        <w:rPr>
          <w:rtl/>
        </w:rPr>
        <w:br/>
      </w:r>
      <w:r w:rsidRPr="00787370">
        <w:rPr>
          <w:rFonts w:hint="cs"/>
          <w:b/>
          <w:bCs/>
          <w:rtl/>
        </w:rPr>
        <w:t>שלחו לו מתנה מבית הנשיא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ר"א </w:t>
      </w:r>
      <w:proofErr w:type="spellStart"/>
      <w:r>
        <w:rPr>
          <w:rFonts w:hint="cs"/>
          <w:rtl/>
        </w:rPr>
        <w:t>ור"ז</w:t>
      </w:r>
      <w:proofErr w:type="spellEnd"/>
      <w:r>
        <w:rPr>
          <w:rFonts w:hint="cs"/>
          <w:rtl/>
        </w:rPr>
        <w:t xml:space="preserve"> לא לקחו, לקיים שונא מתנות יחיה.</w:t>
      </w:r>
      <w:r>
        <w:rPr>
          <w:rtl/>
        </w:rPr>
        <w:br/>
      </w:r>
      <w:r w:rsidRPr="00787370">
        <w:rPr>
          <w:rFonts w:hint="cs"/>
          <w:b/>
          <w:bCs/>
          <w:rtl/>
        </w:rPr>
        <w:t>כשהזמינום לאכול איתם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ר"א לא הלך, ר"ז הלך (</w:t>
      </w:r>
      <w:proofErr w:type="spellStart"/>
      <w:r>
        <w:rPr>
          <w:rFonts w:hint="cs"/>
          <w:rtl/>
        </w:rPr>
        <w:t>דמתכבדים</w:t>
      </w:r>
      <w:proofErr w:type="spellEnd"/>
      <w:r>
        <w:rPr>
          <w:rFonts w:hint="cs"/>
          <w:rtl/>
        </w:rPr>
        <w:t xml:space="preserve"> בו ואין זו מתנה).</w:t>
      </w:r>
      <w:bookmarkStart w:id="0" w:name="_GoBack"/>
      <w:bookmarkEnd w:id="0"/>
    </w:p>
    <w:sectPr w:rsidR="005024CF" w:rsidSect="000449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AE" w:rsidRDefault="008440AE" w:rsidP="009329F8">
      <w:pPr>
        <w:spacing w:after="0" w:line="240" w:lineRule="auto"/>
      </w:pPr>
      <w:r>
        <w:separator/>
      </w:r>
    </w:p>
  </w:endnote>
  <w:endnote w:type="continuationSeparator" w:id="0">
    <w:p w:rsidR="008440AE" w:rsidRDefault="008440AE" w:rsidP="0093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AE" w:rsidRDefault="008440AE" w:rsidP="009329F8">
      <w:pPr>
        <w:spacing w:after="0" w:line="240" w:lineRule="auto"/>
      </w:pPr>
      <w:r>
        <w:separator/>
      </w:r>
    </w:p>
  </w:footnote>
  <w:footnote w:type="continuationSeparator" w:id="0">
    <w:p w:rsidR="008440AE" w:rsidRDefault="008440AE" w:rsidP="009329F8">
      <w:pPr>
        <w:spacing w:after="0" w:line="240" w:lineRule="auto"/>
      </w:pPr>
      <w:r>
        <w:continuationSeparator/>
      </w:r>
    </w:p>
  </w:footnote>
  <w:footnote w:id="1">
    <w:p w:rsidR="009329F8" w:rsidRDefault="009329F8" w:rsidP="009329F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כגון שדרה שחסרה חוליה אחת, ומטמא בה באהל כב"ש ומטריף </w:t>
      </w:r>
      <w:proofErr w:type="spellStart"/>
      <w:r>
        <w:rPr>
          <w:rFonts w:hint="cs"/>
          <w:rtl/>
        </w:rPr>
        <w:t>כב"ה</w:t>
      </w:r>
      <w:proofErr w:type="spellEnd"/>
      <w:r>
        <w:rPr>
          <w:rFonts w:hint="cs"/>
          <w:rtl/>
        </w:rPr>
        <w:t>.</w:t>
      </w:r>
    </w:p>
  </w:footnote>
  <w:footnote w:id="2">
    <w:p w:rsidR="009329F8" w:rsidRDefault="009329F8" w:rsidP="009329F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המובאים בסמוך.</w:t>
      </w:r>
    </w:p>
  </w:footnote>
  <w:footnote w:id="3">
    <w:p w:rsidR="009329F8" w:rsidRDefault="009329F8" w:rsidP="009329F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ולפ"ז</w:t>
      </w:r>
      <w:proofErr w:type="spellEnd"/>
      <w:r>
        <w:rPr>
          <w:rFonts w:hint="cs"/>
          <w:rtl/>
        </w:rPr>
        <w:t xml:space="preserve"> מה שביארו לעיל </w:t>
      </w:r>
      <w:proofErr w:type="spellStart"/>
      <w:r>
        <w:rPr>
          <w:rFonts w:hint="cs"/>
          <w:rtl/>
        </w:rPr>
        <w:t>דלרב</w:t>
      </w:r>
      <w:proofErr w:type="spellEnd"/>
      <w:r>
        <w:rPr>
          <w:rFonts w:hint="cs"/>
          <w:rtl/>
        </w:rPr>
        <w:t xml:space="preserve"> משום מקום שחיטה </w:t>
      </w:r>
      <w:proofErr w:type="spellStart"/>
      <w:r>
        <w:rPr>
          <w:rFonts w:hint="cs"/>
          <w:rtl/>
        </w:rPr>
        <w:t>אי"ז</w:t>
      </w:r>
      <w:proofErr w:type="spellEnd"/>
      <w:r>
        <w:rPr>
          <w:rFonts w:hint="cs"/>
          <w:rtl/>
        </w:rPr>
        <w:t xml:space="preserve"> מדברי רב עצמו, ומה שנקטו בלשון רבא </w:t>
      </w:r>
      <w:proofErr w:type="spellStart"/>
      <w:r>
        <w:rPr>
          <w:rFonts w:hint="cs"/>
          <w:rtl/>
        </w:rPr>
        <w:t>רמינא</w:t>
      </w:r>
      <w:proofErr w:type="spellEnd"/>
      <w:r>
        <w:rPr>
          <w:rFonts w:hint="cs"/>
          <w:rtl/>
        </w:rPr>
        <w:t xml:space="preserve"> עליה חומרי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וחומרי </w:t>
      </w:r>
      <w:proofErr w:type="spellStart"/>
      <w:r>
        <w:rPr>
          <w:rFonts w:hint="cs"/>
          <w:rtl/>
        </w:rPr>
        <w:t>דשמואל</w:t>
      </w:r>
      <w:proofErr w:type="spellEnd"/>
      <w:r>
        <w:rPr>
          <w:rFonts w:hint="cs"/>
          <w:rtl/>
        </w:rPr>
        <w:t xml:space="preserve">, לא אמרה רבא מעולם בלשון זו.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'. </w:t>
      </w:r>
      <w:r>
        <w:rPr>
          <w:rtl/>
        </w:rPr>
        <w:tab/>
      </w:r>
      <w:r>
        <w:rPr>
          <w:rFonts w:hint="cs"/>
          <w:rtl/>
        </w:rPr>
        <w:t>ועי' רש"י דגם גרגרת שיעורה ברובה אף שלא במקום שחיטתה.</w:t>
      </w:r>
    </w:p>
  </w:footnote>
  <w:footnote w:id="4">
    <w:p w:rsidR="009329F8" w:rsidRDefault="009329F8" w:rsidP="009329F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לרש"י ד' אצבעות (לפנינו ברש"י כשלוש וארבע, וגם הביא פי' נוסף </w:t>
      </w:r>
      <w:proofErr w:type="spellStart"/>
      <w:r>
        <w:rPr>
          <w:rFonts w:hint="cs"/>
          <w:rtl/>
        </w:rPr>
        <w:t>שדחהו</w:t>
      </w:r>
      <w:proofErr w:type="spellEnd"/>
      <w:r>
        <w:rPr>
          <w:rFonts w:hint="cs"/>
          <w:rtl/>
        </w:rPr>
        <w:t xml:space="preserve">, אבל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העתיקו משמו ארבע), </w:t>
      </w:r>
      <w:proofErr w:type="spellStart"/>
      <w:r>
        <w:rPr>
          <w:rFonts w:hint="cs"/>
          <w:rtl/>
        </w:rPr>
        <w:t>ולה"ג</w:t>
      </w:r>
      <w:proofErr w:type="spellEnd"/>
      <w:r>
        <w:rPr>
          <w:rFonts w:hint="cs"/>
          <w:rtl/>
        </w:rPr>
        <w:t xml:space="preserve"> ב' אצבעות וכן נוטים </w:t>
      </w:r>
      <w:proofErr w:type="spellStart"/>
      <w:r>
        <w:rPr>
          <w:rFonts w:hint="cs"/>
          <w:rtl/>
        </w:rPr>
        <w:t>התוס</w:t>
      </w:r>
      <w:proofErr w:type="spellEnd"/>
      <w:r>
        <w:rPr>
          <w:rFonts w:hint="cs"/>
          <w:rtl/>
        </w:rPr>
        <w:t xml:space="preserve">', </w:t>
      </w:r>
      <w:proofErr w:type="spellStart"/>
      <w:r>
        <w:rPr>
          <w:rFonts w:hint="cs"/>
          <w:rtl/>
        </w:rPr>
        <w:t>לריב"ם</w:t>
      </w:r>
      <w:proofErr w:type="spellEnd"/>
      <w:r>
        <w:rPr>
          <w:rFonts w:hint="cs"/>
          <w:rtl/>
        </w:rPr>
        <w:t xml:space="preserve"> בבהמה גדולה ד' אצבעות ובקטנה לפי קוטנה.</w:t>
      </w:r>
    </w:p>
  </w:footnote>
  <w:footnote w:id="5">
    <w:p w:rsidR="009329F8" w:rsidRDefault="009329F8" w:rsidP="009329F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ואף דיש ב' תירוצים האם רב אמר </w:t>
      </w:r>
      <w:proofErr w:type="spellStart"/>
      <w:r>
        <w:rPr>
          <w:rFonts w:hint="cs"/>
          <w:rtl/>
        </w:rPr>
        <w:t>דטפח</w:t>
      </w:r>
      <w:proofErr w:type="spellEnd"/>
      <w:r>
        <w:rPr>
          <w:rFonts w:hint="cs"/>
          <w:rtl/>
        </w:rPr>
        <w:t xml:space="preserve"> עליון </w:t>
      </w:r>
      <w:proofErr w:type="spellStart"/>
      <w:r>
        <w:rPr>
          <w:rFonts w:hint="cs"/>
          <w:rtl/>
        </w:rPr>
        <w:t>דכרס</w:t>
      </w:r>
      <w:proofErr w:type="spellEnd"/>
      <w:r>
        <w:rPr>
          <w:rFonts w:hint="cs"/>
          <w:rtl/>
        </w:rPr>
        <w:t xml:space="preserve"> אינו וושט, או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דטפח</w:t>
      </w:r>
      <w:proofErr w:type="spellEnd"/>
      <w:r>
        <w:rPr>
          <w:rFonts w:hint="cs"/>
          <w:rtl/>
        </w:rPr>
        <w:t xml:space="preserve"> תחתון </w:t>
      </w:r>
      <w:proofErr w:type="spellStart"/>
      <w:r>
        <w:rPr>
          <w:rFonts w:hint="cs"/>
          <w:rtl/>
        </w:rPr>
        <w:t>דוושט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דשור</w:t>
      </w:r>
      <w:proofErr w:type="spellEnd"/>
      <w:r>
        <w:rPr>
          <w:rFonts w:hint="cs"/>
          <w:rtl/>
        </w:rPr>
        <w:t xml:space="preserve"> גדול הוי כרס כיון שמשעיר, אין ביניהם </w:t>
      </w:r>
      <w:proofErr w:type="spellStart"/>
      <w:r>
        <w:rPr>
          <w:rFonts w:hint="cs"/>
          <w:rtl/>
        </w:rPr>
        <w:t>נפ"מ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דלתרוייהו</w:t>
      </w:r>
      <w:proofErr w:type="spellEnd"/>
      <w:r>
        <w:rPr>
          <w:rFonts w:hint="cs"/>
          <w:rtl/>
        </w:rPr>
        <w:t xml:space="preserve"> עד </w:t>
      </w:r>
      <w:proofErr w:type="spellStart"/>
      <w:r>
        <w:rPr>
          <w:rFonts w:hint="cs"/>
          <w:rtl/>
        </w:rPr>
        <w:t>שישעיר</w:t>
      </w:r>
      <w:proofErr w:type="spellEnd"/>
      <w:r>
        <w:rPr>
          <w:rFonts w:hint="cs"/>
          <w:rtl/>
        </w:rPr>
        <w:t xml:space="preserve"> בכל בהמה.</w:t>
      </w:r>
    </w:p>
    <w:p w:rsidR="009329F8" w:rsidRDefault="009329F8" w:rsidP="009329F8">
      <w:pPr>
        <w:pStyle w:val="a3"/>
      </w:pPr>
      <w:r>
        <w:rPr>
          <w:rFonts w:hint="cs"/>
          <w:rtl/>
        </w:rPr>
        <w:t xml:space="preserve">ועי' עוד ברש"י שמביא כאן את הפירוש </w:t>
      </w:r>
      <w:proofErr w:type="spellStart"/>
      <w:r>
        <w:rPr>
          <w:rFonts w:hint="cs"/>
          <w:rtl/>
        </w:rPr>
        <w:t>דהחלק</w:t>
      </w:r>
      <w:proofErr w:type="spellEnd"/>
      <w:r>
        <w:rPr>
          <w:rFonts w:hint="cs"/>
          <w:rtl/>
        </w:rPr>
        <w:t xml:space="preserve"> החבוי תחת הצלעות הוא הכרס הפנימי, ולפי הפי' הראשון ברב הוא טפח, ושיעור </w:t>
      </w:r>
      <w:proofErr w:type="spellStart"/>
      <w:r>
        <w:rPr>
          <w:rFonts w:hint="cs"/>
          <w:rtl/>
        </w:rPr>
        <w:t>נקובתו</w:t>
      </w:r>
      <w:proofErr w:type="spellEnd"/>
      <w:r>
        <w:rPr>
          <w:rFonts w:hint="cs"/>
          <w:rtl/>
        </w:rPr>
        <w:t xml:space="preserve"> במשהו, והיוצא למטה הוא כרס חיצונה ששיעורה בקריעת רובה. ולהלן נ: פליגי בזה אמוראי בביאור פנימי וחיצון. ולעיל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: כ' רש"י </w:t>
      </w:r>
      <w:proofErr w:type="spellStart"/>
      <w:r>
        <w:rPr>
          <w:rFonts w:hint="cs"/>
          <w:rtl/>
        </w:rPr>
        <w:t>דשמואל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אתיא</w:t>
      </w:r>
      <w:proofErr w:type="spellEnd"/>
      <w:r>
        <w:rPr>
          <w:rFonts w:hint="cs"/>
          <w:rtl/>
        </w:rPr>
        <w:t xml:space="preserve"> כהאי מ"ד.</w:t>
      </w:r>
    </w:p>
  </w:footnote>
  <w:footnote w:id="6">
    <w:p w:rsidR="009329F8" w:rsidRDefault="009329F8" w:rsidP="009329F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דעדיין</w:t>
      </w:r>
      <w:proofErr w:type="spellEnd"/>
      <w:r>
        <w:rPr>
          <w:rFonts w:hint="cs"/>
          <w:rtl/>
        </w:rPr>
        <w:t xml:space="preserve"> מחוברים לבשר ואינו עיקור כלל. ואף </w:t>
      </w:r>
      <w:proofErr w:type="spellStart"/>
      <w:r>
        <w:rPr>
          <w:rFonts w:hint="cs"/>
          <w:rtl/>
        </w:rPr>
        <w:t>דאלו</w:t>
      </w:r>
      <w:proofErr w:type="spellEnd"/>
      <w:r>
        <w:rPr>
          <w:rFonts w:hint="cs"/>
          <w:rtl/>
        </w:rPr>
        <w:t xml:space="preserve"> דברי ר"פ ולכ' אין הכרח להם לדברי שמואל וסייעתו, מ"מ מילתא </w:t>
      </w:r>
      <w:proofErr w:type="spellStart"/>
      <w:r>
        <w:rPr>
          <w:rFonts w:hint="cs"/>
          <w:rtl/>
        </w:rPr>
        <w:t>דמסתברא</w:t>
      </w:r>
      <w:proofErr w:type="spellEnd"/>
      <w:r>
        <w:rPr>
          <w:rFonts w:hint="cs"/>
          <w:rtl/>
        </w:rPr>
        <w:t xml:space="preserve"> הוא.</w:t>
      </w:r>
    </w:p>
  </w:footnote>
  <w:footnote w:id="7">
    <w:p w:rsidR="009329F8" w:rsidRDefault="009329F8" w:rsidP="009329F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כמו </w:t>
      </w:r>
      <w:proofErr w:type="spellStart"/>
      <w:r>
        <w:rPr>
          <w:rFonts w:hint="cs"/>
          <w:rtl/>
        </w:rPr>
        <w:t>מקיפין</w:t>
      </w:r>
      <w:proofErr w:type="spellEnd"/>
      <w:r>
        <w:rPr>
          <w:rFonts w:hint="cs"/>
          <w:rtl/>
        </w:rPr>
        <w:t xml:space="preserve"> בריאה, וכגון דמי </w:t>
      </w:r>
      <w:proofErr w:type="spellStart"/>
      <w:r>
        <w:rPr>
          <w:rFonts w:hint="cs"/>
          <w:rtl/>
        </w:rPr>
        <w:t>לבישרא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לכבדא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לביעתא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ולמוריקא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דבכל</w:t>
      </w:r>
      <w:proofErr w:type="spellEnd"/>
      <w:r>
        <w:rPr>
          <w:rFonts w:hint="cs"/>
          <w:rtl/>
        </w:rPr>
        <w:t xml:space="preserve"> אלו יש מקום למורה לטעות.</w:t>
      </w:r>
    </w:p>
  </w:footnote>
  <w:footnote w:id="8">
    <w:p w:rsidR="009329F8" w:rsidRDefault="009329F8" w:rsidP="009329F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ואף </w:t>
      </w:r>
      <w:proofErr w:type="spellStart"/>
      <w:r>
        <w:rPr>
          <w:rFonts w:hint="cs"/>
          <w:rtl/>
        </w:rPr>
        <w:t>דיחזקאל</w:t>
      </w:r>
      <w:proofErr w:type="spellEnd"/>
      <w:r>
        <w:rPr>
          <w:rFonts w:hint="cs"/>
          <w:rtl/>
        </w:rPr>
        <w:t xml:space="preserve"> משבח בה את עצמו, ומשמע </w:t>
      </w:r>
      <w:proofErr w:type="spellStart"/>
      <w:r>
        <w:rPr>
          <w:rFonts w:hint="cs"/>
          <w:rtl/>
        </w:rPr>
        <w:t>דאי"ז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מדינא</w:t>
      </w:r>
      <w:proofErr w:type="spellEnd"/>
      <w:r>
        <w:rPr>
          <w:rFonts w:hint="cs"/>
          <w:rtl/>
        </w:rPr>
        <w:t xml:space="preserve">, מ"מ הקשו על </w:t>
      </w:r>
      <w:proofErr w:type="spellStart"/>
      <w:r>
        <w:rPr>
          <w:rFonts w:hint="cs"/>
          <w:rtl/>
        </w:rPr>
        <w:t>רבב"ח</w:t>
      </w:r>
      <w:proofErr w:type="spellEnd"/>
      <w:r>
        <w:rPr>
          <w:rFonts w:hint="cs"/>
          <w:rtl/>
        </w:rPr>
        <w:t xml:space="preserve"> שאכל, וע"כ דקים לן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ראוי. ועוד הביאו שיחזקאל לא הרהר ביום, ולא אכל בשר מסוכנת. וי"א שלא אכל מבהמה שלא הורמו מתנותיה.</w:t>
      </w:r>
    </w:p>
  </w:footnote>
  <w:footnote w:id="9">
    <w:p w:rsidR="009329F8" w:rsidRDefault="009329F8" w:rsidP="009329F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לפי שבלאו הכי כשחכם בא </w:t>
      </w:r>
      <w:proofErr w:type="spellStart"/>
      <w:r>
        <w:rPr>
          <w:rFonts w:hint="cs"/>
          <w:rtl/>
        </w:rPr>
        <w:t>ליקח</w:t>
      </w:r>
      <w:proofErr w:type="spellEnd"/>
      <w:r>
        <w:rPr>
          <w:rFonts w:hint="cs"/>
          <w:rtl/>
        </w:rPr>
        <w:t xml:space="preserve"> נותנים לו תמיד מהמיטב.</w:t>
      </w:r>
    </w:p>
  </w:footnote>
  <w:footnote w:id="10">
    <w:p w:rsidR="009329F8" w:rsidRDefault="009329F8" w:rsidP="009329F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רש"י מביא שגם לא </w:t>
      </w:r>
      <w:proofErr w:type="spellStart"/>
      <w:r>
        <w:rPr>
          <w:rFonts w:hint="cs"/>
          <w:rtl/>
        </w:rPr>
        <w:t>באיטליז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משא"כ</w:t>
      </w:r>
      <w:proofErr w:type="spellEnd"/>
      <w:r>
        <w:rPr>
          <w:rFonts w:hint="cs"/>
          <w:rtl/>
        </w:rPr>
        <w:t xml:space="preserve"> בשאר פסולי </w:t>
      </w:r>
      <w:proofErr w:type="spellStart"/>
      <w:r>
        <w:rPr>
          <w:rFonts w:hint="cs"/>
          <w:rtl/>
        </w:rPr>
        <w:t>המוקדשין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שנמכרין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באיטליז</w:t>
      </w:r>
      <w:proofErr w:type="spellEnd"/>
      <w:r>
        <w:rPr>
          <w:rFonts w:hint="cs"/>
          <w:rtl/>
        </w:rPr>
        <w:t xml:space="preserve"> ובליטרא. ומה שהזכיר רש"י שרב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שהתיר הבכור היה כהן בעצמו, צ"ב מה הוצרך לזה.</w:t>
      </w:r>
    </w:p>
  </w:footnote>
  <w:footnote w:id="11">
    <w:p w:rsidR="009329F8" w:rsidRDefault="009329F8" w:rsidP="009329F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שמחזירין</w:t>
      </w:r>
      <w:proofErr w:type="spellEnd"/>
      <w:r>
        <w:rPr>
          <w:rFonts w:hint="cs"/>
          <w:rtl/>
        </w:rPr>
        <w:t xml:space="preserve"> לו </w:t>
      </w:r>
      <w:proofErr w:type="spellStart"/>
      <w:r>
        <w:rPr>
          <w:rFonts w:hint="cs"/>
          <w:rtl/>
        </w:rPr>
        <w:t>אבידה</w:t>
      </w:r>
      <w:proofErr w:type="spellEnd"/>
      <w:r>
        <w:rPr>
          <w:rFonts w:hint="cs"/>
          <w:rtl/>
        </w:rPr>
        <w:t xml:space="preserve"> בטביעות עין.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>'.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F8"/>
    <w:rsid w:val="00044970"/>
    <w:rsid w:val="005024CF"/>
    <w:rsid w:val="008440AE"/>
    <w:rsid w:val="009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0985"/>
  <w15:chartTrackingRefBased/>
  <w15:docId w15:val="{D2482DFC-7F51-45AC-B598-8C1C56B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9F8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329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שכטר</dc:creator>
  <cp:keywords/>
  <dc:description/>
  <cp:lastModifiedBy>שכטר</cp:lastModifiedBy>
  <cp:revision>1</cp:revision>
  <dcterms:created xsi:type="dcterms:W3CDTF">2019-01-11T08:31:00Z</dcterms:created>
  <dcterms:modified xsi:type="dcterms:W3CDTF">2019-01-11T08:32:00Z</dcterms:modified>
</cp:coreProperties>
</file>