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C332" w14:textId="7C8CCD28" w:rsidR="00023955" w:rsidRDefault="00023955" w:rsidP="00023955">
      <w:pPr>
        <w:tabs>
          <w:tab w:val="right" w:leader="dot" w:pos="6804"/>
        </w:tabs>
        <w:spacing w:before="120" w:after="60" w:line="340" w:lineRule="exact"/>
        <w:jc w:val="center"/>
        <w:rPr>
          <w:rFonts w:ascii="MF FrankRuhl" w:hAnsi="MF FrankRuhl" w:cs="MF FrankRuhl"/>
          <w:b/>
          <w:bCs/>
          <w:color w:val="0070C0"/>
          <w:sz w:val="32"/>
          <w:szCs w:val="32"/>
          <w:rtl/>
        </w:rPr>
      </w:pPr>
      <w:r w:rsidRPr="00023955">
        <w:rPr>
          <w:rFonts w:ascii="MF FrankRuhl" w:hAnsi="MF FrankRuhl" w:cs="MF FrankRuhl" w:hint="cs"/>
          <w:b/>
          <w:bCs/>
          <w:color w:val="0070C0"/>
          <w:sz w:val="32"/>
          <w:szCs w:val="32"/>
          <w:rtl/>
        </w:rPr>
        <w:t xml:space="preserve">באר יהודה </w:t>
      </w:r>
      <w:r w:rsidRPr="00023955">
        <w:rPr>
          <w:rFonts w:ascii="MF FrankRuhl" w:hAnsi="MF FrankRuhl" w:cs="MF FrankRuhl"/>
          <w:b/>
          <w:bCs/>
          <w:color w:val="0070C0"/>
          <w:sz w:val="32"/>
          <w:szCs w:val="32"/>
          <w:rtl/>
        </w:rPr>
        <w:t>–</w:t>
      </w:r>
      <w:r w:rsidRPr="00023955">
        <w:rPr>
          <w:rFonts w:ascii="MF FrankRuhl" w:hAnsi="MF FrankRuhl" w:cs="MF FrankRuhl" w:hint="cs"/>
          <w:b/>
          <w:bCs/>
          <w:color w:val="0070C0"/>
          <w:sz w:val="32"/>
          <w:szCs w:val="32"/>
          <w:rtl/>
        </w:rPr>
        <w:t xml:space="preserve"> בבא </w:t>
      </w:r>
      <w:proofErr w:type="spellStart"/>
      <w:r w:rsidRPr="00023955">
        <w:rPr>
          <w:rFonts w:ascii="MF FrankRuhl" w:hAnsi="MF FrankRuhl" w:cs="MF FrankRuhl" w:hint="cs"/>
          <w:b/>
          <w:bCs/>
          <w:color w:val="0070C0"/>
          <w:sz w:val="32"/>
          <w:szCs w:val="32"/>
          <w:rtl/>
        </w:rPr>
        <w:t>בתרא</w:t>
      </w:r>
      <w:proofErr w:type="spellEnd"/>
    </w:p>
    <w:p w14:paraId="40A782D3" w14:textId="6791CA63" w:rsidR="00023955" w:rsidRPr="00023955" w:rsidRDefault="00023955" w:rsidP="00023955">
      <w:pPr>
        <w:tabs>
          <w:tab w:val="right" w:leader="dot" w:pos="6804"/>
        </w:tabs>
        <w:spacing w:before="120" w:after="60" w:line="340" w:lineRule="exact"/>
        <w:jc w:val="center"/>
        <w:rPr>
          <w:rFonts w:ascii="MF FrankRuhl" w:hAnsi="MF FrankRuhl" w:cs="MF FrankRuhl"/>
          <w:b/>
          <w:bCs/>
          <w:color w:val="0070C0"/>
          <w:sz w:val="32"/>
          <w:szCs w:val="32"/>
          <w:rtl/>
        </w:rPr>
      </w:pPr>
      <w:r>
        <w:rPr>
          <w:rFonts w:ascii="MF FrankRuhl" w:hAnsi="MF FrankRuhl" w:cs="MF FrankRuhl" w:hint="cs"/>
          <w:b/>
          <w:bCs/>
          <w:color w:val="0070C0"/>
          <w:sz w:val="32"/>
          <w:szCs w:val="32"/>
          <w:rtl/>
        </w:rPr>
        <w:t>הרב יהודה זולדן</w:t>
      </w:r>
    </w:p>
    <w:p w14:paraId="632FE7E8" w14:textId="5F0E16F9" w:rsidR="00023955" w:rsidRDefault="00023955" w:rsidP="00023955">
      <w:pPr>
        <w:tabs>
          <w:tab w:val="right" w:leader="dot" w:pos="6804"/>
        </w:tabs>
        <w:spacing w:before="120" w:after="60" w:line="340" w:lineRule="exact"/>
        <w:jc w:val="center"/>
        <w:rPr>
          <w:rFonts w:ascii="MF FrankRuhl" w:hAnsi="MF FrankRuhl" w:cs="MF FrankRuhl"/>
          <w:b/>
          <w:bCs/>
          <w:sz w:val="24"/>
          <w:szCs w:val="24"/>
          <w:rtl/>
        </w:rPr>
      </w:pPr>
      <w:r>
        <w:rPr>
          <w:rFonts w:ascii="MF FrankRuhl" w:hAnsi="MF FrankRuhl" w:cs="MF FrankRuhl" w:hint="cs"/>
          <w:b/>
          <w:bCs/>
          <w:sz w:val="24"/>
          <w:szCs w:val="24"/>
          <w:rtl/>
        </w:rPr>
        <w:t>הוצאת מעליות, ישיבת ההסדר 'ברכת משה' מעלה אדומים, תשפ"א</w:t>
      </w:r>
    </w:p>
    <w:p w14:paraId="3A943496" w14:textId="77777777" w:rsidR="00023955" w:rsidRDefault="00023955" w:rsidP="00023955">
      <w:pPr>
        <w:tabs>
          <w:tab w:val="right" w:leader="dot" w:pos="6804"/>
        </w:tabs>
        <w:spacing w:before="120" w:after="60" w:line="340" w:lineRule="exact"/>
        <w:jc w:val="center"/>
        <w:rPr>
          <w:rFonts w:ascii="MF FrankRuhl" w:hAnsi="MF FrankRuhl" w:cs="MF FrankRuhl"/>
          <w:b/>
          <w:bCs/>
          <w:sz w:val="24"/>
          <w:szCs w:val="24"/>
          <w:rtl/>
        </w:rPr>
      </w:pPr>
    </w:p>
    <w:p w14:paraId="1812C5A2" w14:textId="2713225B" w:rsidR="00023955" w:rsidRPr="000F6E4D" w:rsidRDefault="00023955" w:rsidP="00023955">
      <w:pPr>
        <w:tabs>
          <w:tab w:val="right" w:leader="dot" w:pos="6804"/>
        </w:tabs>
        <w:spacing w:before="120" w:after="60" w:line="340" w:lineRule="exact"/>
        <w:rPr>
          <w:rFonts w:ascii="MF FrankRuhl" w:hAnsi="MF FrankRuhl" w:cs="MF FrankRuhl"/>
          <w:b/>
          <w:bCs/>
          <w:sz w:val="24"/>
          <w:szCs w:val="24"/>
          <w:rtl/>
        </w:rPr>
      </w:pPr>
      <w:r w:rsidRPr="000F6E4D">
        <w:rPr>
          <w:rFonts w:ascii="MF FrankRuhl" w:hAnsi="MF FrankRuhl" w:cs="MF FrankRuhl"/>
          <w:b/>
          <w:bCs/>
          <w:sz w:val="24"/>
          <w:szCs w:val="24"/>
          <w:rtl/>
        </w:rPr>
        <w:t>פרק ראשון</w:t>
      </w:r>
    </w:p>
    <w:p w14:paraId="23348350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היזק ראייה במשניות פרק "</w:t>
      </w:r>
      <w:proofErr w:type="spellStart"/>
      <w:r w:rsidRPr="00427E0F">
        <w:rPr>
          <w:rFonts w:ascii="MF FrankRuhl" w:hAnsi="MF FrankRuhl" w:cs="MF FrankRuhl"/>
          <w:rtl/>
        </w:rPr>
        <w:t>השותפין</w:t>
      </w:r>
      <w:proofErr w:type="spellEnd"/>
      <w:r w:rsidRPr="00427E0F">
        <w:rPr>
          <w:rFonts w:ascii="MF FrankRuhl" w:hAnsi="MF FrankRuhl" w:cs="MF FrankRuhl"/>
          <w:rtl/>
        </w:rPr>
        <w:t>" - בבלי וירושלמי</w:t>
      </w:r>
      <w:r w:rsidRPr="00427E0F">
        <w:rPr>
          <w:rFonts w:ascii="MF FrankRuhl" w:hAnsi="MF FrankRuhl" w:cs="MF FrankRuhl"/>
        </w:rPr>
        <w:t xml:space="preserve">) </w:t>
      </w:r>
      <w:r w:rsidRPr="00427E0F">
        <w:rPr>
          <w:rFonts w:ascii="MF FrankRuhl" w:hAnsi="MF FrankRuhl" w:cs="MF FrankRuhl"/>
          <w:rtl/>
        </w:rPr>
        <w:t>ב ע"א–יא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5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309E5507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הכל כמנהג המדינה (ב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34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4530B387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לפיכך אם נפל הכותל המקום והאבנים של שניהם (ב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55</w:t>
      </w:r>
    </w:p>
    <w:p w14:paraId="78640E8B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קניין דברים (ג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69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318ED5CB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סתירת בית כנסת ובנייתו (ג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81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4FACAAC8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בבא בן בוטא והורדוס: סתירת בית המקדש ובניינו (ג ע"ב–ד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97</w:t>
      </w:r>
    </w:p>
    <w:p w14:paraId="2E2092EC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 xml:space="preserve">מקיף </w:t>
      </w:r>
      <w:proofErr w:type="spellStart"/>
      <w:r w:rsidRPr="00427E0F">
        <w:rPr>
          <w:rFonts w:ascii="MF FrankRuhl" w:hAnsi="MF FrankRuhl" w:cs="MF FrankRuhl"/>
          <w:rtl/>
        </w:rPr>
        <w:t>וניקף</w:t>
      </w:r>
      <w:proofErr w:type="spellEnd"/>
      <w:r w:rsidRPr="00427E0F">
        <w:rPr>
          <w:rFonts w:ascii="MF FrankRuhl" w:hAnsi="MF FrankRuhl" w:cs="MF FrankRuhl"/>
          <w:rtl/>
        </w:rPr>
        <w:t xml:space="preserve"> (ד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113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32B14087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 xml:space="preserve">סמך לו כותל אחר </w:t>
      </w:r>
      <w:proofErr w:type="spellStart"/>
      <w:r w:rsidRPr="00427E0F">
        <w:rPr>
          <w:rFonts w:ascii="MF FrankRuhl" w:hAnsi="MF FrankRuhl" w:cs="MF FrankRuhl"/>
          <w:rtl/>
        </w:rPr>
        <w:t>ו"כופין</w:t>
      </w:r>
      <w:proofErr w:type="spellEnd"/>
      <w:r w:rsidRPr="00427E0F">
        <w:rPr>
          <w:rFonts w:ascii="MF FrankRuhl" w:hAnsi="MF FrankRuhl" w:cs="MF FrankRuhl"/>
          <w:rtl/>
        </w:rPr>
        <w:t xml:space="preserve"> על מידת סדום" (ה ע"א, </w:t>
      </w:r>
      <w:proofErr w:type="spellStart"/>
      <w:r w:rsidRPr="00427E0F">
        <w:rPr>
          <w:rFonts w:ascii="MF FrankRuhl" w:hAnsi="MF FrankRuhl" w:cs="MF FrankRuhl"/>
          <w:rtl/>
        </w:rPr>
        <w:t>יב</w:t>
      </w:r>
      <w:proofErr w:type="spellEnd"/>
      <w:r w:rsidRPr="00427E0F">
        <w:rPr>
          <w:rFonts w:ascii="MF FrankRuhl" w:hAnsi="MF FrankRuhl" w:cs="MF FrankRuhl"/>
          <w:rtl/>
        </w:rPr>
        <w:t xml:space="preserve">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129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550537E2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כותל חצר שנפל והקובע זמן לחברו (ה ע"א–ו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138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443DC5D3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 xml:space="preserve">חזקת </w:t>
      </w:r>
      <w:proofErr w:type="spellStart"/>
      <w:r w:rsidRPr="00427E0F">
        <w:rPr>
          <w:rFonts w:ascii="MF FrankRuhl" w:hAnsi="MF FrankRuhl" w:cs="MF FrankRuhl"/>
          <w:rtl/>
        </w:rPr>
        <w:t>תשמישין</w:t>
      </w:r>
      <w:proofErr w:type="spellEnd"/>
      <w:r w:rsidRPr="00427E0F">
        <w:rPr>
          <w:rFonts w:ascii="MF FrankRuhl" w:hAnsi="MF FrankRuhl" w:cs="MF FrankRuhl"/>
          <w:rtl/>
        </w:rPr>
        <w:t xml:space="preserve"> – קורות סוכה, ובניית סוכה בחצר (ו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158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10DAF8A3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כותל - בין בתים, בין גגות ובין גג וחצר (ו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171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3B81358B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 xml:space="preserve">בניית חומה, "רבנן לא </w:t>
      </w:r>
      <w:proofErr w:type="spellStart"/>
      <w:r w:rsidRPr="00427E0F">
        <w:rPr>
          <w:rFonts w:ascii="MF FrankRuhl" w:hAnsi="MF FrankRuhl" w:cs="MF FrankRuhl"/>
          <w:rtl/>
        </w:rPr>
        <w:t>צריכי</w:t>
      </w:r>
      <w:proofErr w:type="spellEnd"/>
      <w:r w:rsidRPr="00427E0F">
        <w:rPr>
          <w:rFonts w:ascii="MF FrankRuhl" w:hAnsi="MF FrankRuhl" w:cs="MF FrankRuhl"/>
          <w:rtl/>
        </w:rPr>
        <w:t xml:space="preserve"> </w:t>
      </w:r>
      <w:proofErr w:type="spellStart"/>
      <w:r w:rsidRPr="00427E0F">
        <w:rPr>
          <w:rFonts w:ascii="MF FrankRuhl" w:hAnsi="MF FrankRuhl" w:cs="MF FrankRuhl"/>
          <w:rtl/>
        </w:rPr>
        <w:t>נטירותא</w:t>
      </w:r>
      <w:proofErr w:type="spellEnd"/>
      <w:r w:rsidRPr="00427E0F">
        <w:rPr>
          <w:rFonts w:ascii="MF FrankRuhl" w:hAnsi="MF FrankRuhl" w:cs="MF FrankRuhl"/>
          <w:rtl/>
        </w:rPr>
        <w:t>" ומלחמות ישראל (ז ע"ב–ח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185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66EFF567" w14:textId="77777777" w:rsidR="00023955" w:rsidRPr="00427E0F" w:rsidRDefault="00023955" w:rsidP="00023955">
      <w:pPr>
        <w:pStyle w:val="a7"/>
        <w:numPr>
          <w:ilvl w:val="0"/>
          <w:numId w:val="1"/>
        </w:numPr>
        <w:tabs>
          <w:tab w:val="right" w:leader="dot" w:pos="6804"/>
        </w:tabs>
        <w:spacing w:line="320" w:lineRule="exact"/>
        <w:ind w:left="501" w:right="0"/>
        <w:rPr>
          <w:rFonts w:ascii="MF FrankRuhl" w:hAnsi="MF FrankRuhl" w:cs="MF FrankRuhl"/>
          <w:sz w:val="22"/>
          <w:szCs w:val="22"/>
          <w:rtl/>
        </w:rPr>
      </w:pPr>
      <w:r w:rsidRPr="00427E0F">
        <w:rPr>
          <w:rFonts w:ascii="MF FrankRuhl" w:hAnsi="MF FrankRuhl" w:cs="MF FrankRuhl"/>
          <w:sz w:val="22"/>
          <w:szCs w:val="22"/>
          <w:rtl/>
        </w:rPr>
        <w:t>קבלת צדקה וסיוע מגופים שלטוניים שאינם יהודים (ח ע"א)</w:t>
      </w:r>
      <w:r>
        <w:rPr>
          <w:rFonts w:ascii="MF FrankRuhl" w:hAnsi="MF FrankRuhl" w:cs="MF FrankRuhl"/>
          <w:sz w:val="22"/>
          <w:szCs w:val="22"/>
          <w:rtl/>
        </w:rPr>
        <w:tab/>
      </w:r>
      <w:r>
        <w:rPr>
          <w:rFonts w:ascii="MF FrankRuhl" w:hAnsi="MF FrankRuhl" w:cs="MF FrankRuhl" w:hint="cs"/>
          <w:sz w:val="22"/>
          <w:szCs w:val="22"/>
          <w:rtl/>
        </w:rPr>
        <w:t>204</w:t>
      </w:r>
      <w:r w:rsidRPr="00427E0F">
        <w:rPr>
          <w:rFonts w:ascii="MF FrankRuhl" w:hAnsi="MF FrankRuhl" w:cs="MF FrankRuhl"/>
          <w:sz w:val="22"/>
          <w:szCs w:val="22"/>
          <w:rtl/>
        </w:rPr>
        <w:t xml:space="preserve"> </w:t>
      </w:r>
    </w:p>
    <w:p w14:paraId="1EA65D71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צדקה ציבורית וצדקה של יחיד (ח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223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6F5B768A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סמכויות בני העיר ובני אותה אומנות, ואדם חשוב (ח ע"ב-ט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244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22DF78B5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פרנסה לעני המחזר על הפתחים (ט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256</w:t>
      </w:r>
    </w:p>
    <w:p w14:paraId="722672DF" w14:textId="77777777" w:rsidR="00023955" w:rsidRPr="00427E0F" w:rsidRDefault="00023955" w:rsidP="00023955">
      <w:pPr>
        <w:pStyle w:val="aa"/>
        <w:numPr>
          <w:ilvl w:val="0"/>
          <w:numId w:val="1"/>
        </w:numPr>
        <w:tabs>
          <w:tab w:val="right" w:leader="dot" w:pos="6804"/>
        </w:tabs>
        <w:spacing w:line="320" w:lineRule="exact"/>
        <w:ind w:left="501" w:right="0"/>
        <w:jc w:val="left"/>
        <w:rPr>
          <w:rFonts w:ascii="MF FrankRuhl" w:hAnsi="MF FrankRuhl" w:cs="MF FrankRuhl"/>
          <w:b w:val="0"/>
          <w:bCs w:val="0"/>
          <w:sz w:val="22"/>
          <w:szCs w:val="22"/>
        </w:rPr>
      </w:pPr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בר </w:t>
      </w:r>
      <w:proofErr w:type="spellStart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>מצרא</w:t>
      </w:r>
      <w:proofErr w:type="spellEnd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</w:t>
      </w:r>
      <w:proofErr w:type="spellStart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>ו"כופין</w:t>
      </w:r>
      <w:proofErr w:type="spellEnd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על מידת סדום" (</w:t>
      </w:r>
      <w:proofErr w:type="spellStart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>יב</w:t>
      </w:r>
      <w:proofErr w:type="spellEnd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ע"ב)</w:t>
      </w:r>
      <w:r>
        <w:rPr>
          <w:rFonts w:ascii="MF FrankRuhl" w:hAnsi="MF FrankRuhl" w:cs="MF FrankRuhl"/>
          <w:b w:val="0"/>
          <w:bCs w:val="0"/>
          <w:sz w:val="22"/>
          <w:szCs w:val="22"/>
          <w:rtl/>
        </w:rPr>
        <w:tab/>
      </w:r>
      <w:r>
        <w:rPr>
          <w:rFonts w:ascii="MF FrankRuhl" w:hAnsi="MF FrankRuhl" w:cs="MF FrankRuhl" w:hint="cs"/>
          <w:b w:val="0"/>
          <w:bCs w:val="0"/>
          <w:sz w:val="22"/>
          <w:szCs w:val="22"/>
          <w:rtl/>
        </w:rPr>
        <w:t>264</w:t>
      </w:r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</w:t>
      </w:r>
    </w:p>
    <w:p w14:paraId="4811BAEA" w14:textId="77777777" w:rsidR="00023955" w:rsidRPr="00427E0F" w:rsidRDefault="00023955" w:rsidP="00023955">
      <w:pPr>
        <w:pStyle w:val="aa"/>
        <w:numPr>
          <w:ilvl w:val="0"/>
          <w:numId w:val="1"/>
        </w:numPr>
        <w:tabs>
          <w:tab w:val="right" w:leader="dot" w:pos="6804"/>
        </w:tabs>
        <w:spacing w:line="320" w:lineRule="exact"/>
        <w:ind w:left="501" w:right="0"/>
        <w:jc w:val="left"/>
        <w:rPr>
          <w:rFonts w:ascii="MF FrankRuhl" w:hAnsi="MF FrankRuhl" w:cs="MF FrankRuhl"/>
          <w:b w:val="0"/>
          <w:bCs w:val="0"/>
          <w:sz w:val="22"/>
          <w:szCs w:val="22"/>
          <w:rtl/>
        </w:rPr>
      </w:pPr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>חצי עבד וחצי בן חורין – מצוות פרו ורבו (</w:t>
      </w:r>
      <w:proofErr w:type="spellStart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>יג</w:t>
      </w:r>
      <w:proofErr w:type="spellEnd"/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ע"א)</w:t>
      </w:r>
      <w:r>
        <w:rPr>
          <w:rFonts w:ascii="MF FrankRuhl" w:hAnsi="MF FrankRuhl" w:cs="MF FrankRuhl"/>
          <w:b w:val="0"/>
          <w:bCs w:val="0"/>
          <w:sz w:val="22"/>
          <w:szCs w:val="22"/>
          <w:rtl/>
        </w:rPr>
        <w:tab/>
      </w:r>
      <w:r>
        <w:rPr>
          <w:rFonts w:ascii="MF FrankRuhl" w:hAnsi="MF FrankRuhl" w:cs="MF FrankRuhl" w:hint="cs"/>
          <w:b w:val="0"/>
          <w:bCs w:val="0"/>
          <w:sz w:val="22"/>
          <w:szCs w:val="22"/>
          <w:rtl/>
        </w:rPr>
        <w:t>281</w:t>
      </w:r>
      <w:r w:rsidRPr="00427E0F">
        <w:rPr>
          <w:rFonts w:ascii="MF FrankRuhl" w:hAnsi="MF FrankRuhl" w:cs="MF FrankRuhl"/>
          <w:b w:val="0"/>
          <w:bCs w:val="0"/>
          <w:sz w:val="22"/>
          <w:szCs w:val="22"/>
          <w:rtl/>
        </w:rPr>
        <w:t xml:space="preserve"> </w:t>
      </w:r>
    </w:p>
    <w:p w14:paraId="6B3C7E0B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 xml:space="preserve">ספר </w:t>
      </w:r>
      <w:r>
        <w:rPr>
          <w:rFonts w:ascii="MF FrankRuhl" w:hAnsi="MF FrankRuhl" w:cs="MF FrankRuhl" w:hint="cs"/>
          <w:rtl/>
        </w:rPr>
        <w:t>ה</w:t>
      </w:r>
      <w:r w:rsidRPr="00427E0F">
        <w:rPr>
          <w:rFonts w:ascii="MF FrankRuhl" w:hAnsi="MF FrankRuhl" w:cs="MF FrankRuhl"/>
          <w:rtl/>
        </w:rPr>
        <w:t xml:space="preserve">תורה שקראו בו </w:t>
      </w:r>
      <w:proofErr w:type="spellStart"/>
      <w:r w:rsidRPr="00427E0F">
        <w:rPr>
          <w:rFonts w:ascii="MF FrankRuhl" w:hAnsi="MF FrankRuhl" w:cs="MF FrankRuhl"/>
          <w:rtl/>
        </w:rPr>
        <w:t>בהקהל</w:t>
      </w:r>
      <w:proofErr w:type="spellEnd"/>
      <w:r w:rsidRPr="00427E0F">
        <w:rPr>
          <w:rFonts w:ascii="MF FrankRuhl" w:hAnsi="MF FrankRuhl" w:cs="MF FrankRuhl"/>
          <w:rtl/>
        </w:rPr>
        <w:t xml:space="preserve"> וביום הכיפורים (יד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296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0ABC6070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מגילת אסתר – איגרת, מגילה, ספר (טו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305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77CC66A6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שמונה פסוקים שבתורה יחיד קורא אותן (טו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317</w:t>
      </w:r>
    </w:p>
    <w:p w14:paraId="778AF6D2" w14:textId="77777777" w:rsidR="00023955" w:rsidRPr="00427E0F" w:rsidRDefault="00023955" w:rsidP="00023955">
      <w:pPr>
        <w:pStyle w:val="a9"/>
        <w:tabs>
          <w:tab w:val="right" w:leader="dot" w:pos="6804"/>
        </w:tabs>
        <w:spacing w:after="0" w:line="320" w:lineRule="exact"/>
        <w:ind w:left="501"/>
        <w:rPr>
          <w:rFonts w:ascii="MF FrankRuhl" w:hAnsi="MF FrankRuhl" w:cs="MF FrankRuhl"/>
        </w:rPr>
      </w:pPr>
    </w:p>
    <w:p w14:paraId="292BD4B2" w14:textId="77777777" w:rsidR="00023955" w:rsidRPr="003D3D07" w:rsidRDefault="00023955" w:rsidP="00023955">
      <w:pPr>
        <w:pStyle w:val="a9"/>
        <w:tabs>
          <w:tab w:val="right" w:leader="dot" w:pos="6804"/>
        </w:tabs>
        <w:spacing w:after="60" w:line="320" w:lineRule="exact"/>
        <w:ind w:left="142"/>
        <w:rPr>
          <w:rFonts w:ascii="MF FrankRuhl" w:hAnsi="MF FrankRuhl" w:cs="MF FrankRuhl"/>
          <w:b/>
          <w:bCs/>
          <w:sz w:val="24"/>
          <w:szCs w:val="24"/>
          <w:rtl/>
        </w:rPr>
      </w:pPr>
      <w:r w:rsidRPr="003D3D07">
        <w:rPr>
          <w:rFonts w:ascii="MF FrankRuhl" w:hAnsi="MF FrankRuhl" w:cs="MF FrankRuhl"/>
          <w:b/>
          <w:bCs/>
          <w:sz w:val="24"/>
          <w:szCs w:val="24"/>
          <w:rtl/>
        </w:rPr>
        <w:t>פרק שני</w:t>
      </w:r>
    </w:p>
    <w:p w14:paraId="118B74A1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left" w:pos="451"/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t>הבא לסמוך בצד המיצר (</w:t>
      </w:r>
      <w:proofErr w:type="spellStart"/>
      <w:r w:rsidRPr="00427E0F">
        <w:rPr>
          <w:rFonts w:ascii="MF FrankRuhl" w:hAnsi="MF FrankRuhl" w:cs="MF FrankRuhl"/>
          <w:rtl/>
        </w:rPr>
        <w:t>יז</w:t>
      </w:r>
      <w:proofErr w:type="spellEnd"/>
      <w:r w:rsidRPr="00427E0F">
        <w:rPr>
          <w:rFonts w:ascii="MF FrankRuhl" w:hAnsi="MF FrankRuhl" w:cs="MF FrankRuhl"/>
          <w:rtl/>
        </w:rPr>
        <w:t xml:space="preserve">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326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2E05EE4D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left" w:pos="451"/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 xml:space="preserve">פתיחת מסגרות ללימוד תורה </w:t>
      </w:r>
      <w:r>
        <w:rPr>
          <w:rFonts w:ascii="MF FrankRuhl" w:hAnsi="MF FrankRuhl" w:cs="MF FrankRuhl"/>
          <w:rtl/>
        </w:rPr>
        <w:br/>
      </w:r>
      <w:r w:rsidRPr="00427E0F">
        <w:rPr>
          <w:rFonts w:ascii="MF FrankRuhl" w:hAnsi="MF FrankRuhl" w:cs="MF FrankRuhl"/>
          <w:rtl/>
        </w:rPr>
        <w:t>ולקיום מצוות אחרות בבית משותף (כ ע"ב-</w:t>
      </w:r>
      <w:proofErr w:type="spellStart"/>
      <w:r w:rsidRPr="00427E0F">
        <w:rPr>
          <w:rFonts w:ascii="MF FrankRuhl" w:hAnsi="MF FrankRuhl" w:cs="MF FrankRuhl"/>
          <w:rtl/>
        </w:rPr>
        <w:t>כא</w:t>
      </w:r>
      <w:proofErr w:type="spellEnd"/>
      <w:r w:rsidRPr="00427E0F">
        <w:rPr>
          <w:rFonts w:ascii="MF FrankRuhl" w:hAnsi="MF FrankRuhl" w:cs="MF FrankRuhl"/>
          <w:rtl/>
        </w:rPr>
        <w:t xml:space="preserve">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339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3493C116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left" w:pos="1440"/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rtl/>
        </w:rPr>
        <w:lastRenderedPageBreak/>
        <w:t xml:space="preserve">"ומי שהיה רבו כועס עליו, </w:t>
      </w:r>
      <w:proofErr w:type="spellStart"/>
      <w:r w:rsidRPr="00427E0F">
        <w:rPr>
          <w:rFonts w:ascii="MF FrankRuhl" w:hAnsi="MF FrankRuhl" w:cs="MF FrankRuhl"/>
          <w:rtl/>
        </w:rPr>
        <w:t>מבעיט</w:t>
      </w:r>
      <w:proofErr w:type="spellEnd"/>
      <w:r w:rsidRPr="00427E0F">
        <w:rPr>
          <w:rFonts w:ascii="MF FrankRuhl" w:hAnsi="MF FrankRuhl" w:cs="MF FrankRuhl"/>
          <w:rtl/>
        </w:rPr>
        <w:t xml:space="preserve"> בו ויצא" – </w:t>
      </w:r>
      <w:r>
        <w:rPr>
          <w:rFonts w:ascii="MF FrankRuhl" w:hAnsi="MF FrankRuhl" w:cs="MF FrankRuhl"/>
          <w:rtl/>
        </w:rPr>
        <w:br/>
      </w:r>
      <w:r w:rsidRPr="00427E0F">
        <w:rPr>
          <w:rFonts w:ascii="MF FrankRuhl" w:hAnsi="MF FrankRuhl" w:cs="MF FrankRuhl"/>
          <w:rtl/>
        </w:rPr>
        <w:t>הוצאת תלמיד ממסגרת תורנית (</w:t>
      </w:r>
      <w:proofErr w:type="spellStart"/>
      <w:r w:rsidRPr="00427E0F">
        <w:rPr>
          <w:rFonts w:ascii="MF FrankRuhl" w:hAnsi="MF FrankRuhl" w:cs="MF FrankRuhl"/>
          <w:rtl/>
        </w:rPr>
        <w:t>כא</w:t>
      </w:r>
      <w:proofErr w:type="spellEnd"/>
      <w:r w:rsidRPr="00427E0F">
        <w:rPr>
          <w:rFonts w:ascii="MF FrankRuhl" w:hAnsi="MF FrankRuhl" w:cs="MF FrankRuhl"/>
          <w:rtl/>
        </w:rPr>
        <w:t xml:space="preserve"> ע"א)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357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23633CEA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  <w:rtl/>
        </w:rPr>
      </w:pPr>
      <w:r w:rsidRPr="00427E0F">
        <w:rPr>
          <w:rFonts w:ascii="MF FrankRuhl" w:hAnsi="MF FrankRuhl" w:cs="MF FrankRuhl"/>
          <w:b/>
          <w:rtl/>
        </w:rPr>
        <w:t>"בן חמש שנים למקרא"</w:t>
      </w:r>
      <w:r>
        <w:rPr>
          <w:rFonts w:ascii="MF FrankRuhl" w:hAnsi="MF FrankRuhl" w:cs="MF FrankRuhl" w:hint="cs"/>
          <w:b/>
          <w:rtl/>
        </w:rPr>
        <w:t>,</w:t>
      </w:r>
      <w:r w:rsidRPr="00427E0F">
        <w:rPr>
          <w:rFonts w:ascii="MF FrankRuhl" w:hAnsi="MF FrankRuhl" w:cs="MF FrankRuhl"/>
          <w:b/>
          <w:rtl/>
        </w:rPr>
        <w:t xml:space="preserve"> "בר שית למקרא" (</w:t>
      </w:r>
      <w:proofErr w:type="spellStart"/>
      <w:r w:rsidRPr="00427E0F">
        <w:rPr>
          <w:rFonts w:ascii="MF FrankRuhl" w:hAnsi="MF FrankRuhl" w:cs="MF FrankRuhl"/>
          <w:b/>
          <w:rtl/>
        </w:rPr>
        <w:t>כא</w:t>
      </w:r>
      <w:proofErr w:type="spellEnd"/>
      <w:r w:rsidRPr="00427E0F">
        <w:rPr>
          <w:rFonts w:ascii="MF FrankRuhl" w:hAnsi="MF FrankRuhl" w:cs="MF FrankRuhl"/>
          <w:b/>
          <w:rtl/>
        </w:rPr>
        <w:t xml:space="preserve"> ע"א)</w:t>
      </w:r>
      <w:r>
        <w:rPr>
          <w:rFonts w:ascii="MF FrankRuhl" w:hAnsi="MF FrankRuhl" w:cs="MF FrankRuhl"/>
          <w:b/>
          <w:rtl/>
        </w:rPr>
        <w:tab/>
      </w:r>
      <w:r>
        <w:rPr>
          <w:rFonts w:ascii="MF FrankRuhl" w:hAnsi="MF FrankRuhl" w:cs="MF FrankRuhl" w:hint="cs"/>
          <w:b/>
          <w:rtl/>
        </w:rPr>
        <w:t>374</w:t>
      </w:r>
      <w:r w:rsidRPr="00427E0F">
        <w:rPr>
          <w:rFonts w:ascii="MF FrankRuhl" w:hAnsi="MF FrankRuhl" w:cs="MF FrankRuhl"/>
          <w:b/>
          <w:rtl/>
        </w:rPr>
        <w:t xml:space="preserve"> </w:t>
      </w:r>
    </w:p>
    <w:p w14:paraId="3124A145" w14:textId="77777777" w:rsidR="00023955" w:rsidRPr="00427E0F" w:rsidRDefault="00023955" w:rsidP="00023955">
      <w:pPr>
        <w:pStyle w:val="a9"/>
        <w:numPr>
          <w:ilvl w:val="0"/>
          <w:numId w:val="1"/>
        </w:numPr>
        <w:tabs>
          <w:tab w:val="right" w:leader="dot" w:pos="6804"/>
        </w:tabs>
        <w:spacing w:after="0" w:line="320" w:lineRule="exact"/>
        <w:ind w:left="50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b/>
          <w:rtl/>
        </w:rPr>
        <w:t>ניידות תלמידים מחוץ למקומות מגוריהם (</w:t>
      </w:r>
      <w:proofErr w:type="spellStart"/>
      <w:r w:rsidRPr="00427E0F">
        <w:rPr>
          <w:rFonts w:ascii="MF FrankRuhl" w:hAnsi="MF FrankRuhl" w:cs="MF FrankRuhl"/>
          <w:b/>
          <w:rtl/>
        </w:rPr>
        <w:t>כא</w:t>
      </w:r>
      <w:proofErr w:type="spellEnd"/>
      <w:r w:rsidRPr="00427E0F">
        <w:rPr>
          <w:rFonts w:ascii="MF FrankRuhl" w:hAnsi="MF FrankRuhl" w:cs="MF FrankRuhl"/>
          <w:b/>
          <w:rtl/>
        </w:rPr>
        <w:t xml:space="preserve"> ע"א)</w:t>
      </w:r>
      <w:r>
        <w:rPr>
          <w:rFonts w:ascii="MF FrankRuhl" w:hAnsi="MF FrankRuhl" w:cs="MF FrankRuhl"/>
          <w:b/>
          <w:rtl/>
        </w:rPr>
        <w:tab/>
      </w:r>
      <w:r>
        <w:rPr>
          <w:rFonts w:ascii="MF FrankRuhl" w:hAnsi="MF FrankRuhl" w:cs="MF FrankRuhl" w:hint="cs"/>
          <w:b/>
          <w:rtl/>
        </w:rPr>
        <w:t>397</w:t>
      </w:r>
      <w:r w:rsidRPr="00427E0F">
        <w:rPr>
          <w:rFonts w:ascii="MF FrankRuhl" w:hAnsi="MF FrankRuhl" w:cs="MF FrankRuhl"/>
          <w:b/>
          <w:rtl/>
        </w:rPr>
        <w:t xml:space="preserve"> </w:t>
      </w:r>
    </w:p>
    <w:p w14:paraId="654B99BF" w14:textId="77777777" w:rsidR="00023955" w:rsidRPr="00427E0F" w:rsidRDefault="00023955" w:rsidP="00023955">
      <w:pPr>
        <w:pStyle w:val="ac"/>
        <w:numPr>
          <w:ilvl w:val="0"/>
          <w:numId w:val="1"/>
        </w:numPr>
        <w:tabs>
          <w:tab w:val="right" w:leader="dot" w:pos="6804"/>
        </w:tabs>
        <w:ind w:left="501" w:right="0"/>
        <w:jc w:val="left"/>
        <w:rPr>
          <w:rFonts w:ascii="MF FrankRuhl" w:hAnsi="MF FrankRuhl" w:cs="MF FrankRuhl"/>
          <w:sz w:val="22"/>
          <w:szCs w:val="22"/>
        </w:rPr>
      </w:pPr>
      <w:r w:rsidRPr="00427E0F">
        <w:rPr>
          <w:rFonts w:ascii="MF FrankRuhl" w:hAnsi="MF FrankRuhl" w:cs="MF FrankRuhl"/>
          <w:sz w:val="22"/>
          <w:szCs w:val="22"/>
          <w:rtl/>
        </w:rPr>
        <w:t xml:space="preserve">מורה שאינו מוודא שהתלמידים למדו כנדרש, </w:t>
      </w:r>
      <w:r>
        <w:rPr>
          <w:rFonts w:ascii="MF FrankRuhl" w:hAnsi="MF FrankRuhl" w:cs="MF FrankRuhl"/>
          <w:sz w:val="22"/>
          <w:szCs w:val="22"/>
          <w:rtl/>
        </w:rPr>
        <w:br/>
      </w:r>
      <w:r w:rsidRPr="00427E0F">
        <w:rPr>
          <w:rFonts w:ascii="MF FrankRuhl" w:hAnsi="MF FrankRuhl" w:cs="MF FrankRuhl"/>
          <w:sz w:val="22"/>
          <w:szCs w:val="22"/>
          <w:rtl/>
        </w:rPr>
        <w:t>ומורה שאינו מלמד נכון (כא ע"א–ע"ב)</w:t>
      </w:r>
      <w:r>
        <w:rPr>
          <w:rFonts w:ascii="MF FrankRuhl" w:hAnsi="MF FrankRuhl" w:cs="MF FrankRuhl"/>
          <w:sz w:val="22"/>
          <w:szCs w:val="22"/>
          <w:rtl/>
        </w:rPr>
        <w:tab/>
      </w:r>
      <w:r>
        <w:rPr>
          <w:rFonts w:ascii="MF FrankRuhl" w:hAnsi="MF FrankRuhl" w:cs="MF FrankRuhl" w:hint="cs"/>
          <w:sz w:val="22"/>
          <w:szCs w:val="22"/>
          <w:rtl/>
        </w:rPr>
        <w:t>408</w:t>
      </w:r>
      <w:r w:rsidRPr="00427E0F">
        <w:rPr>
          <w:rFonts w:ascii="MF FrankRuhl" w:hAnsi="MF FrankRuhl" w:cs="MF FrankRuhl"/>
          <w:sz w:val="22"/>
          <w:szCs w:val="22"/>
          <w:rtl/>
        </w:rPr>
        <w:t xml:space="preserve"> </w:t>
      </w:r>
    </w:p>
    <w:p w14:paraId="205631BE" w14:textId="77777777" w:rsidR="00023955" w:rsidRPr="00427E0F" w:rsidRDefault="00023955" w:rsidP="00023955">
      <w:pPr>
        <w:pStyle w:val="ac"/>
        <w:tabs>
          <w:tab w:val="right" w:leader="dot" w:pos="6804"/>
        </w:tabs>
        <w:ind w:left="516" w:hanging="357"/>
        <w:rPr>
          <w:rFonts w:ascii="MF FrankRuhl" w:hAnsi="MF FrankRuhl" w:cs="MF FrankRuhl"/>
          <w:sz w:val="22"/>
          <w:szCs w:val="22"/>
        </w:rPr>
      </w:pPr>
      <w:r w:rsidRPr="00427E0F">
        <w:rPr>
          <w:rFonts w:ascii="MF FrankRuhl" w:hAnsi="MF FrankRuhl" w:cs="MF FrankRuhl"/>
          <w:b/>
          <w:bCs/>
          <w:sz w:val="22"/>
          <w:szCs w:val="22"/>
          <w:rtl/>
        </w:rPr>
        <w:t>כח</w:t>
      </w:r>
      <w:r w:rsidRPr="00427E0F">
        <w:rPr>
          <w:rFonts w:ascii="MF FrankRuhl" w:hAnsi="MF FrankRuhl" w:cs="MF FrankRuhl"/>
          <w:sz w:val="22"/>
          <w:szCs w:val="22"/>
          <w:rtl/>
        </w:rPr>
        <w:t>.</w:t>
      </w:r>
      <w:r>
        <w:rPr>
          <w:rFonts w:ascii="MF FrankRuhl" w:hAnsi="MF FrankRuhl" w:cs="MF FrankRuhl"/>
          <w:sz w:val="22"/>
          <w:szCs w:val="22"/>
          <w:rtl/>
        </w:rPr>
        <w:tab/>
      </w:r>
      <w:r w:rsidRPr="00427E0F">
        <w:rPr>
          <w:rFonts w:ascii="MF FrankRuhl" w:hAnsi="MF FrankRuhl" w:cs="MF FrankRuhl"/>
          <w:sz w:val="22"/>
          <w:szCs w:val="22"/>
          <w:rtl/>
        </w:rPr>
        <w:t>רב יוסף: "אפיקו לי קורקור", "זיל קוץ" (כב ע"ב–כג ע"א; כו ע"א)</w:t>
      </w:r>
      <w:r>
        <w:rPr>
          <w:rFonts w:ascii="MF FrankRuhl" w:hAnsi="MF FrankRuhl" w:cs="MF FrankRuhl"/>
          <w:sz w:val="22"/>
          <w:szCs w:val="22"/>
          <w:rtl/>
        </w:rPr>
        <w:tab/>
      </w:r>
      <w:r>
        <w:rPr>
          <w:rFonts w:ascii="MF FrankRuhl" w:hAnsi="MF FrankRuhl" w:cs="MF FrankRuhl" w:hint="cs"/>
          <w:sz w:val="22"/>
          <w:szCs w:val="22"/>
          <w:rtl/>
        </w:rPr>
        <w:t>427</w:t>
      </w:r>
      <w:r w:rsidRPr="00427E0F">
        <w:rPr>
          <w:rFonts w:ascii="MF FrankRuhl" w:hAnsi="MF FrankRuhl" w:cs="MF FrankRuhl"/>
          <w:sz w:val="22"/>
          <w:szCs w:val="22"/>
          <w:rtl/>
        </w:rPr>
        <w:t xml:space="preserve"> </w:t>
      </w:r>
    </w:p>
    <w:p w14:paraId="25BF1B72" w14:textId="77777777" w:rsidR="00023955" w:rsidRPr="00427E0F" w:rsidRDefault="00023955" w:rsidP="00023955">
      <w:pPr>
        <w:pStyle w:val="ac"/>
        <w:numPr>
          <w:ilvl w:val="0"/>
          <w:numId w:val="2"/>
        </w:numPr>
        <w:tabs>
          <w:tab w:val="right" w:leader="dot" w:pos="6804"/>
        </w:tabs>
        <w:ind w:left="521" w:right="0"/>
        <w:rPr>
          <w:rFonts w:ascii="MF FrankRuhl" w:hAnsi="MF FrankRuhl" w:cs="MF FrankRuhl"/>
          <w:sz w:val="22"/>
          <w:szCs w:val="22"/>
          <w:rtl/>
        </w:rPr>
      </w:pPr>
      <w:r w:rsidRPr="00427E0F">
        <w:rPr>
          <w:rFonts w:ascii="MF FrankRuhl" w:hAnsi="MF FrankRuhl" w:cs="MF FrankRuhl"/>
          <w:sz w:val="22"/>
          <w:szCs w:val="22"/>
          <w:rtl/>
        </w:rPr>
        <w:t>מרחיקין את האילן מן העיר (כד ע"ב)</w:t>
      </w:r>
      <w:r>
        <w:rPr>
          <w:rFonts w:ascii="MF FrankRuhl" w:hAnsi="MF FrankRuhl" w:cs="MF FrankRuhl"/>
          <w:sz w:val="22"/>
          <w:szCs w:val="22"/>
          <w:rtl/>
        </w:rPr>
        <w:tab/>
      </w:r>
      <w:r>
        <w:rPr>
          <w:rFonts w:ascii="MF FrankRuhl" w:hAnsi="MF FrankRuhl" w:cs="MF FrankRuhl" w:hint="cs"/>
          <w:sz w:val="22"/>
          <w:szCs w:val="22"/>
          <w:rtl/>
        </w:rPr>
        <w:t>442</w:t>
      </w:r>
      <w:r w:rsidRPr="00427E0F">
        <w:rPr>
          <w:rFonts w:ascii="MF FrankRuhl" w:hAnsi="MF FrankRuhl" w:cs="MF FrankRuhl"/>
          <w:sz w:val="22"/>
          <w:szCs w:val="22"/>
          <w:rtl/>
        </w:rPr>
        <w:t xml:space="preserve"> </w:t>
      </w:r>
    </w:p>
    <w:p w14:paraId="2F8C9A97" w14:textId="77777777" w:rsidR="00023955" w:rsidRPr="00427E0F" w:rsidRDefault="00023955" w:rsidP="00023955">
      <w:pPr>
        <w:pStyle w:val="a9"/>
        <w:numPr>
          <w:ilvl w:val="0"/>
          <w:numId w:val="2"/>
        </w:numPr>
        <w:tabs>
          <w:tab w:val="right" w:leader="dot" w:pos="6804"/>
        </w:tabs>
        <w:spacing w:after="0" w:line="320" w:lineRule="exact"/>
        <w:ind w:left="521" w:right="0"/>
        <w:rPr>
          <w:rFonts w:ascii="MF FrankRuhl" w:hAnsi="MF FrankRuhl" w:cs="MF FrankRuhl"/>
        </w:rPr>
      </w:pPr>
      <w:r w:rsidRPr="00427E0F">
        <w:rPr>
          <w:rFonts w:ascii="MF FrankRuhl" w:hAnsi="MF FrankRuhl" w:cs="MF FrankRuhl"/>
          <w:rtl/>
        </w:rPr>
        <w:t>ביכורים מאילן הסמוך למיצר (</w:t>
      </w:r>
      <w:proofErr w:type="spellStart"/>
      <w:r w:rsidRPr="00427E0F">
        <w:rPr>
          <w:rFonts w:ascii="MF FrankRuhl" w:hAnsi="MF FrankRuhl" w:cs="MF FrankRuhl"/>
          <w:rtl/>
        </w:rPr>
        <w:t>כו</w:t>
      </w:r>
      <w:proofErr w:type="spellEnd"/>
      <w:r w:rsidRPr="00427E0F">
        <w:rPr>
          <w:rFonts w:ascii="MF FrankRuhl" w:hAnsi="MF FrankRuhl" w:cs="MF FrankRuhl"/>
          <w:rtl/>
        </w:rPr>
        <w:t xml:space="preserve"> ע"ב–</w:t>
      </w:r>
      <w:proofErr w:type="spellStart"/>
      <w:r w:rsidRPr="00427E0F">
        <w:rPr>
          <w:rFonts w:ascii="MF FrankRuhl" w:hAnsi="MF FrankRuhl" w:cs="MF FrankRuhl"/>
          <w:rtl/>
        </w:rPr>
        <w:t>כז</w:t>
      </w:r>
      <w:proofErr w:type="spellEnd"/>
      <w:r w:rsidRPr="00427E0F">
        <w:rPr>
          <w:rFonts w:ascii="MF FrankRuhl" w:hAnsi="MF FrankRuhl" w:cs="MF FrankRuhl"/>
          <w:rtl/>
        </w:rPr>
        <w:t xml:space="preserve"> ע"ב)</w:t>
      </w:r>
      <w:r>
        <w:rPr>
          <w:rFonts w:ascii="MF FrankRuhl" w:hAnsi="MF FrankRuhl" w:cs="MF FrankRuhl"/>
          <w:rtl/>
        </w:rPr>
        <w:tab/>
      </w:r>
      <w:r>
        <w:rPr>
          <w:rFonts w:ascii="MF FrankRuhl" w:hAnsi="MF FrankRuhl" w:cs="MF FrankRuhl" w:hint="cs"/>
          <w:rtl/>
        </w:rPr>
        <w:t>462</w:t>
      </w:r>
      <w:r w:rsidRPr="00427E0F">
        <w:rPr>
          <w:rFonts w:ascii="MF FrankRuhl" w:hAnsi="MF FrankRuhl" w:cs="MF FrankRuhl"/>
          <w:rtl/>
        </w:rPr>
        <w:t xml:space="preserve"> </w:t>
      </w:r>
    </w:p>
    <w:p w14:paraId="401352D8" w14:textId="77777777" w:rsidR="00023955" w:rsidRPr="00BC5A0E" w:rsidRDefault="00023955" w:rsidP="00023955">
      <w:pPr>
        <w:rPr>
          <w:rtl/>
        </w:rPr>
      </w:pPr>
    </w:p>
    <w:p w14:paraId="405E06F4" w14:textId="77777777" w:rsidR="00023955" w:rsidRDefault="00023955" w:rsidP="00023955">
      <w:pPr>
        <w:rPr>
          <w:rtl/>
        </w:rPr>
      </w:pPr>
    </w:p>
    <w:p w14:paraId="723D9A5A" w14:textId="77777777" w:rsidR="00023955" w:rsidRDefault="00023955" w:rsidP="00023955">
      <w:pPr>
        <w:rPr>
          <w:rtl/>
        </w:rPr>
      </w:pPr>
    </w:p>
    <w:p w14:paraId="4057551F" w14:textId="77777777" w:rsidR="00023955" w:rsidRPr="001551A4" w:rsidRDefault="00023955" w:rsidP="00023955">
      <w:pPr>
        <w:rPr>
          <w:rtl/>
        </w:rPr>
        <w:sectPr w:rsidR="00023955" w:rsidRPr="001551A4" w:rsidSect="00146041">
          <w:headerReference w:type="default" r:id="rId5"/>
          <w:footerReference w:type="default" r:id="rId6"/>
          <w:footerReference w:type="first" r:id="rId7"/>
          <w:footnotePr>
            <w:numRestart w:val="eachSect"/>
          </w:footnotePr>
          <w:pgSz w:w="9356" w:h="13325"/>
          <w:pgMar w:top="1134" w:right="1276" w:bottom="1134" w:left="1276" w:header="567" w:footer="680" w:gutter="0"/>
          <w:cols w:space="708"/>
          <w:titlePg/>
          <w:bidi/>
          <w:rtlGutter/>
          <w:docGrid w:linePitch="360"/>
        </w:sectPr>
      </w:pPr>
    </w:p>
    <w:p w14:paraId="686451AF" w14:textId="77777777" w:rsidR="00283F52" w:rsidRDefault="00283F52"/>
    <w:sectPr w:rsidR="00283F52" w:rsidSect="00210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F FrankRuhl">
    <w:altName w:val="Times New Roman"/>
    <w:charset w:val="00"/>
    <w:family w:val="roman"/>
    <w:pitch w:val="variable"/>
    <w:sig w:usb0="80000827" w:usb1="5000004A" w:usb2="0000002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242329921"/>
      <w:docPartObj>
        <w:docPartGallery w:val="Page Numbers (Bottom of Page)"/>
        <w:docPartUnique/>
      </w:docPartObj>
    </w:sdtPr>
    <w:sdtEndPr>
      <w:rPr>
        <w:rFonts w:ascii="MF FrankRuhl" w:hAnsi="MF FrankRuhl" w:cs="MF FrankRuhl"/>
      </w:rPr>
    </w:sdtEndPr>
    <w:sdtContent>
      <w:p w14:paraId="15D2BA62" w14:textId="77777777" w:rsidR="002F31BD" w:rsidRPr="00232C85" w:rsidRDefault="00023955" w:rsidP="00232C85">
        <w:pPr>
          <w:pStyle w:val="a5"/>
          <w:jc w:val="center"/>
          <w:rPr>
            <w:rFonts w:ascii="MF FrankRuhl" w:hAnsi="MF FrankRuhl" w:cs="MF FrankRuhl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2B25" w14:textId="77777777" w:rsidR="002F31BD" w:rsidRPr="00FB0099" w:rsidRDefault="00023955" w:rsidP="00FB0099">
    <w:pPr>
      <w:pStyle w:val="a5"/>
      <w:jc w:val="center"/>
      <w:rPr>
        <w:rFonts w:ascii="MF FrankRuhl" w:hAnsi="MF FrankRuhl" w:cs="MF FrankRuhl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6BC9" w14:textId="77777777" w:rsidR="002F31BD" w:rsidRPr="006A59DC" w:rsidRDefault="00023955" w:rsidP="00232C85">
    <w:pPr>
      <w:pStyle w:val="a3"/>
      <w:jc w:val="right"/>
      <w:rPr>
        <w:rFonts w:ascii="MF FrankRuhl" w:hAnsi="MF FrankRuhl" w:cs="MF FrankRuhl"/>
        <w:color w:val="BFBFBF" w:themeColor="background1" w:themeShade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1234A"/>
    <w:multiLevelType w:val="hybridMultilevel"/>
    <w:tmpl w:val="0FEEA40A"/>
    <w:lvl w:ilvl="0" w:tplc="A10CEC76">
      <w:start w:val="1"/>
      <w:numFmt w:val="hebrew1"/>
      <w:lvlText w:val="%1."/>
      <w:lvlJc w:val="left"/>
      <w:pPr>
        <w:ind w:left="720" w:right="501" w:hanging="360"/>
      </w:pPr>
      <w:rPr>
        <w:rFonts w:ascii="MF FrankRuhl" w:eastAsia="Times New Roman" w:hAnsi="MF FrankRuhl" w:cs="MF FrankRuhl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12AF7"/>
    <w:multiLevelType w:val="hybridMultilevel"/>
    <w:tmpl w:val="C042328E"/>
    <w:lvl w:ilvl="0" w:tplc="D5EEC21A">
      <w:start w:val="29"/>
      <w:numFmt w:val="hebrew1"/>
      <w:lvlText w:val="%1."/>
      <w:lvlJc w:val="left"/>
      <w:pPr>
        <w:ind w:left="720" w:right="861" w:hanging="360"/>
      </w:pPr>
      <w:rPr>
        <w:b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right="1581" w:hanging="360"/>
      </w:pPr>
    </w:lvl>
    <w:lvl w:ilvl="2" w:tplc="0409001B">
      <w:start w:val="1"/>
      <w:numFmt w:val="lowerRoman"/>
      <w:lvlText w:val="%3."/>
      <w:lvlJc w:val="right"/>
      <w:pPr>
        <w:ind w:left="2160" w:right="2301" w:hanging="180"/>
      </w:pPr>
    </w:lvl>
    <w:lvl w:ilvl="3" w:tplc="0409000F">
      <w:start w:val="1"/>
      <w:numFmt w:val="decimal"/>
      <w:lvlText w:val="%4."/>
      <w:lvlJc w:val="left"/>
      <w:pPr>
        <w:ind w:left="2880" w:right="3021" w:hanging="360"/>
      </w:pPr>
    </w:lvl>
    <w:lvl w:ilvl="4" w:tplc="04090019">
      <w:start w:val="1"/>
      <w:numFmt w:val="lowerLetter"/>
      <w:lvlText w:val="%5."/>
      <w:lvlJc w:val="left"/>
      <w:pPr>
        <w:ind w:left="3600" w:right="3741" w:hanging="360"/>
      </w:pPr>
    </w:lvl>
    <w:lvl w:ilvl="5" w:tplc="0409001B">
      <w:start w:val="1"/>
      <w:numFmt w:val="lowerRoman"/>
      <w:lvlText w:val="%6."/>
      <w:lvlJc w:val="right"/>
      <w:pPr>
        <w:ind w:left="4320" w:right="4461" w:hanging="180"/>
      </w:pPr>
    </w:lvl>
    <w:lvl w:ilvl="6" w:tplc="0409000F">
      <w:start w:val="1"/>
      <w:numFmt w:val="decimal"/>
      <w:lvlText w:val="%7."/>
      <w:lvlJc w:val="left"/>
      <w:pPr>
        <w:ind w:left="5040" w:right="5181" w:hanging="360"/>
      </w:pPr>
    </w:lvl>
    <w:lvl w:ilvl="7" w:tplc="04090019">
      <w:start w:val="1"/>
      <w:numFmt w:val="lowerLetter"/>
      <w:lvlText w:val="%8."/>
      <w:lvlJc w:val="left"/>
      <w:pPr>
        <w:ind w:left="5760" w:right="5901" w:hanging="360"/>
      </w:pPr>
    </w:lvl>
    <w:lvl w:ilvl="8" w:tplc="0409001B">
      <w:start w:val="1"/>
      <w:numFmt w:val="lowerRoman"/>
      <w:lvlText w:val="%9."/>
      <w:lvlJc w:val="right"/>
      <w:pPr>
        <w:ind w:left="6480" w:right="662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E"/>
    <w:rsid w:val="00023955"/>
    <w:rsid w:val="002105BE"/>
    <w:rsid w:val="00283F52"/>
    <w:rsid w:val="009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6A91"/>
  <w15:chartTrackingRefBased/>
  <w15:docId w15:val="{4E71B6C8-4545-4D07-9C7E-888C3164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3955"/>
  </w:style>
  <w:style w:type="paragraph" w:styleId="a5">
    <w:name w:val="footer"/>
    <w:basedOn w:val="a"/>
    <w:link w:val="a6"/>
    <w:unhideWhenUsed/>
    <w:rsid w:val="00023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rsid w:val="00023955"/>
  </w:style>
  <w:style w:type="paragraph" w:styleId="a7">
    <w:name w:val="footnote text"/>
    <w:basedOn w:val="a"/>
    <w:link w:val="a8"/>
    <w:unhideWhenUsed/>
    <w:rsid w:val="00023955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rsid w:val="00023955"/>
    <w:rPr>
      <w:sz w:val="20"/>
      <w:szCs w:val="20"/>
    </w:rPr>
  </w:style>
  <w:style w:type="paragraph" w:styleId="a9">
    <w:name w:val="List Paragraph"/>
    <w:basedOn w:val="a"/>
    <w:uiPriority w:val="34"/>
    <w:qFormat/>
    <w:rsid w:val="00023955"/>
    <w:pPr>
      <w:ind w:left="720"/>
      <w:contextualSpacing/>
    </w:pPr>
  </w:style>
  <w:style w:type="paragraph" w:styleId="aa">
    <w:name w:val="Title"/>
    <w:basedOn w:val="a"/>
    <w:link w:val="ab"/>
    <w:qFormat/>
    <w:rsid w:val="00023955"/>
    <w:pPr>
      <w:spacing w:after="0" w:line="240" w:lineRule="auto"/>
      <w:jc w:val="center"/>
    </w:pPr>
    <w:rPr>
      <w:rFonts w:ascii="Times New Roman" w:cs="David"/>
      <w:b/>
      <w:bCs/>
      <w:sz w:val="20"/>
      <w:szCs w:val="40"/>
    </w:rPr>
  </w:style>
  <w:style w:type="character" w:customStyle="1" w:styleId="ab">
    <w:name w:val="כותרת טקסט תו"/>
    <w:basedOn w:val="a0"/>
    <w:link w:val="aa"/>
    <w:rsid w:val="00023955"/>
    <w:rPr>
      <w:rFonts w:ascii="Times New Roman" w:cs="David"/>
      <w:b/>
      <w:bCs/>
      <w:sz w:val="20"/>
      <w:szCs w:val="40"/>
    </w:rPr>
  </w:style>
  <w:style w:type="paragraph" w:customStyle="1" w:styleId="ac">
    <w:name w:val="זולדן"/>
    <w:basedOn w:val="ad"/>
    <w:rsid w:val="00023955"/>
    <w:pPr>
      <w:numPr>
        <w:ilvl w:val="0"/>
      </w:numPr>
      <w:spacing w:after="0" w:line="320" w:lineRule="exact"/>
      <w:ind w:firstLine="284"/>
      <w:jc w:val="both"/>
    </w:pPr>
    <w:rPr>
      <w:rFonts w:ascii="Times New Roman" w:eastAsia="Times New Roman" w:hAnsi="Times New Roman" w:cs="Narkisim"/>
      <w:noProof/>
      <w:color w:val="auto"/>
      <w:spacing w:val="0"/>
      <w:sz w:val="24"/>
      <w:szCs w:val="24"/>
      <w:lang w:eastAsia="he-IL"/>
    </w:rPr>
  </w:style>
  <w:style w:type="paragraph" w:styleId="ad">
    <w:name w:val="Subtitle"/>
    <w:basedOn w:val="a"/>
    <w:next w:val="a"/>
    <w:link w:val="ae"/>
    <w:uiPriority w:val="11"/>
    <w:qFormat/>
    <w:rsid w:val="00023955"/>
    <w:pPr>
      <w:numPr>
        <w:ilvl w:val="1"/>
      </w:numPr>
    </w:pPr>
    <w:rPr>
      <w:rFonts w:eastAsiaTheme="minorEastAsia" w:hAnsiTheme="minorHAnsi" w:cstheme="minorBidi"/>
      <w:color w:val="5A5A5A" w:themeColor="text1" w:themeTint="A5"/>
      <w:spacing w:val="15"/>
    </w:rPr>
  </w:style>
  <w:style w:type="character" w:customStyle="1" w:styleId="ae">
    <w:name w:val="כותרת משנה תו"/>
    <w:basedOn w:val="a0"/>
    <w:link w:val="ad"/>
    <w:uiPriority w:val="11"/>
    <w:rsid w:val="00023955"/>
    <w:rPr>
      <w:rFonts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זולדן</dc:creator>
  <cp:keywords/>
  <dc:description/>
  <cp:lastModifiedBy>זולדן</cp:lastModifiedBy>
  <cp:revision>2</cp:revision>
  <dcterms:created xsi:type="dcterms:W3CDTF">2021-08-23T06:52:00Z</dcterms:created>
  <dcterms:modified xsi:type="dcterms:W3CDTF">2021-08-23T06:53:00Z</dcterms:modified>
</cp:coreProperties>
</file>