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86F" w:rsidRDefault="0043504C" w:rsidP="0043504C">
      <w:pPr>
        <w:rPr>
          <w:rFonts w:cs="David" w:hint="cs"/>
          <w:sz w:val="38"/>
          <w:szCs w:val="38"/>
          <w:rtl/>
        </w:rPr>
      </w:pPr>
      <w:r w:rsidRPr="00E22FD6">
        <w:rPr>
          <w:rFonts w:cs="David" w:hint="cs"/>
          <w:sz w:val="38"/>
          <w:szCs w:val="38"/>
          <w:highlight w:val="cyan"/>
          <w:rtl/>
        </w:rPr>
        <w:t xml:space="preserve">טבלאות עזר </w:t>
      </w:r>
      <w:r w:rsidR="00E22FD6" w:rsidRPr="00E22FD6">
        <w:rPr>
          <w:rFonts w:cs="David" w:hint="cs"/>
          <w:sz w:val="38"/>
          <w:szCs w:val="38"/>
          <w:highlight w:val="cyan"/>
          <w:rtl/>
        </w:rPr>
        <w:t xml:space="preserve"> של מסקנות הגמרא  </w:t>
      </w:r>
      <w:r w:rsidRPr="00E22FD6">
        <w:rPr>
          <w:rFonts w:cs="David" w:hint="cs"/>
          <w:sz w:val="38"/>
          <w:szCs w:val="38"/>
          <w:highlight w:val="cyan"/>
          <w:rtl/>
        </w:rPr>
        <w:t xml:space="preserve">ללימוד  ברכות דף </w:t>
      </w:r>
      <w:proofErr w:type="spellStart"/>
      <w:r w:rsidRPr="00E22FD6">
        <w:rPr>
          <w:rFonts w:cs="David" w:hint="cs"/>
          <w:sz w:val="38"/>
          <w:szCs w:val="38"/>
          <w:highlight w:val="cyan"/>
          <w:rtl/>
        </w:rPr>
        <w:t>יג</w:t>
      </w:r>
      <w:proofErr w:type="spellEnd"/>
    </w:p>
    <w:p w:rsidR="001E686F" w:rsidRDefault="001E686F" w:rsidP="0043504C">
      <w:pPr>
        <w:rPr>
          <w:rFonts w:cs="David" w:hint="cs"/>
          <w:sz w:val="38"/>
          <w:szCs w:val="38"/>
          <w:rtl/>
        </w:rPr>
      </w:pPr>
      <w:r w:rsidRPr="001E686F">
        <w:rPr>
          <w:rFonts w:cs="David" w:hint="cs"/>
          <w:sz w:val="26"/>
          <w:szCs w:val="26"/>
          <w:rtl/>
        </w:rPr>
        <w:t>ערך הרב חנניה מלכה</w:t>
      </w:r>
    </w:p>
    <w:tbl>
      <w:tblPr>
        <w:tblStyle w:val="a4"/>
        <w:tblpPr w:leftFromText="180" w:rightFromText="180" w:vertAnchor="page" w:horzAnchor="margin" w:tblpXSpec="center" w:tblpY="2881"/>
        <w:bidiVisual/>
        <w:tblW w:w="9639" w:type="dxa"/>
        <w:tblLook w:val="04A0" w:firstRow="1" w:lastRow="0" w:firstColumn="1" w:lastColumn="0" w:noHBand="0" w:noVBand="1"/>
      </w:tblPr>
      <w:tblGrid>
        <w:gridCol w:w="2788"/>
        <w:gridCol w:w="2882"/>
        <w:gridCol w:w="3969"/>
      </w:tblGrid>
      <w:tr w:rsidR="001E686F" w:rsidRPr="00A6612F" w:rsidTr="001E686F">
        <w:tc>
          <w:tcPr>
            <w:tcW w:w="9639" w:type="dxa"/>
            <w:gridSpan w:val="3"/>
          </w:tcPr>
          <w:p w:rsidR="001E686F" w:rsidRPr="00A6612F" w:rsidRDefault="001E686F" w:rsidP="001E686F">
            <w:pPr>
              <w:jc w:val="center"/>
              <w:rPr>
                <w:rFonts w:cs="David" w:hint="cs"/>
                <w:sz w:val="28"/>
                <w:szCs w:val="28"/>
                <w:rtl/>
              </w:rPr>
            </w:pPr>
            <w:r w:rsidRPr="00E22FD6">
              <w:rPr>
                <w:rFonts w:cs="David" w:hint="cs"/>
                <w:sz w:val="40"/>
                <w:szCs w:val="40"/>
                <w:highlight w:val="yellow"/>
                <w:rtl/>
              </w:rPr>
              <w:t>הנושא באיזה שפה קוראים את קריאת שמע?</w:t>
            </w:r>
          </w:p>
        </w:tc>
      </w:tr>
      <w:tr w:rsidR="001E686F" w:rsidRPr="00A6612F" w:rsidTr="001E686F">
        <w:tc>
          <w:tcPr>
            <w:tcW w:w="2788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המקור </w:t>
            </w:r>
          </w:p>
        </w:tc>
        <w:tc>
          <w:tcPr>
            <w:tcW w:w="2882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רבי </w:t>
            </w:r>
            <w:r w:rsidRPr="001E686F">
              <w:rPr>
                <w:rFonts w:cs="David"/>
                <w:sz w:val="28"/>
                <w:szCs w:val="28"/>
                <w:highlight w:val="lightGray"/>
                <w:rtl/>
              </w:rPr>
              <w:t>–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קריאת שמע ככתבה בלשון הקודש</w:t>
            </w:r>
            <w:r>
              <w:rPr>
                <w:rFonts w:cs="David" w:hint="cs"/>
                <w:sz w:val="28"/>
                <w:szCs w:val="28"/>
                <w:rtl/>
              </w:rPr>
              <w:t>.</w:t>
            </w:r>
          </w:p>
        </w:tc>
        <w:tc>
          <w:tcPr>
            <w:tcW w:w="3969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לחכמים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 בכל לשון</w:t>
            </w:r>
            <w:r>
              <w:rPr>
                <w:rFonts w:cs="David" w:hint="cs"/>
                <w:sz w:val="28"/>
                <w:szCs w:val="28"/>
                <w:rtl/>
              </w:rPr>
              <w:t>.</w:t>
            </w:r>
          </w:p>
        </w:tc>
      </w:tr>
      <w:tr w:rsidR="001E686F" w:rsidRPr="00A6612F" w:rsidTr="001E686F">
        <w:tc>
          <w:tcPr>
            <w:tcW w:w="2788" w:type="dxa"/>
          </w:tcPr>
          <w:p w:rsidR="001E686F" w:rsidRPr="001E686F" w:rsidRDefault="001E686F" w:rsidP="001E686F">
            <w:pPr>
              <w:rPr>
                <w:rFonts w:cs="David"/>
                <w:sz w:val="28"/>
                <w:szCs w:val="28"/>
                <w:highlight w:val="magenta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magenta"/>
                <w:rtl/>
              </w:rPr>
              <w:t>"והיו "</w:t>
            </w:r>
          </w:p>
        </w:tc>
        <w:tc>
          <w:tcPr>
            <w:tcW w:w="2882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proofErr w:type="spellStart"/>
            <w:r w:rsidRPr="00A6612F">
              <w:rPr>
                <w:rFonts w:cs="David" w:hint="cs"/>
                <w:sz w:val="28"/>
                <w:szCs w:val="28"/>
                <w:rtl/>
              </w:rPr>
              <w:t>בהויתן</w:t>
            </w:r>
            <w:proofErr w:type="spellEnd"/>
            <w:r w:rsidRPr="00A6612F">
              <w:rPr>
                <w:rFonts w:cs="David" w:hint="cs"/>
                <w:sz w:val="28"/>
                <w:szCs w:val="28"/>
                <w:rtl/>
              </w:rPr>
              <w:t xml:space="preserve"> יהיו</w:t>
            </w:r>
          </w:p>
        </w:tc>
        <w:tc>
          <w:tcPr>
            <w:tcW w:w="3969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 xml:space="preserve">שלא יקרא למפרע </w:t>
            </w:r>
          </w:p>
        </w:tc>
      </w:tr>
      <w:tr w:rsidR="001E686F" w:rsidRPr="00A6612F" w:rsidTr="001E686F">
        <w:tc>
          <w:tcPr>
            <w:tcW w:w="2788" w:type="dxa"/>
          </w:tcPr>
          <w:p w:rsidR="001E686F" w:rsidRPr="001E686F" w:rsidRDefault="001E686F" w:rsidP="001E686F">
            <w:pPr>
              <w:rPr>
                <w:rFonts w:cs="David"/>
                <w:sz w:val="28"/>
                <w:szCs w:val="28"/>
                <w:highlight w:val="magenta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magenta"/>
                <w:rtl/>
              </w:rPr>
              <w:t>"שמע"</w:t>
            </w:r>
          </w:p>
        </w:tc>
        <w:tc>
          <w:tcPr>
            <w:tcW w:w="2882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 xml:space="preserve">השמע לאוזנך </w:t>
            </w:r>
          </w:p>
        </w:tc>
        <w:tc>
          <w:tcPr>
            <w:tcW w:w="3969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>בכל לשון שאתה שומע</w:t>
            </w:r>
          </w:p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>וסוברים שלא השמיע לאוזנו יצא</w:t>
            </w:r>
          </w:p>
        </w:tc>
      </w:tr>
      <w:tr w:rsidR="001E686F" w:rsidRPr="00A6612F" w:rsidTr="001E686F">
        <w:tc>
          <w:tcPr>
            <w:tcW w:w="2788" w:type="dxa"/>
          </w:tcPr>
          <w:p w:rsidR="001E686F" w:rsidRPr="001E686F" w:rsidRDefault="001E686F" w:rsidP="001E686F">
            <w:pPr>
              <w:rPr>
                <w:rFonts w:cs="David"/>
                <w:sz w:val="28"/>
                <w:szCs w:val="28"/>
                <w:highlight w:val="magenta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magenta"/>
                <w:rtl/>
              </w:rPr>
              <w:t xml:space="preserve">"הדברים </w:t>
            </w:r>
            <w:r w:rsidRPr="001E686F">
              <w:rPr>
                <w:rFonts w:cs="David"/>
                <w:sz w:val="28"/>
                <w:szCs w:val="28"/>
                <w:highlight w:val="magenta"/>
                <w:rtl/>
              </w:rPr>
              <w:t>–</w:t>
            </w:r>
            <w:r w:rsidRPr="001E686F">
              <w:rPr>
                <w:rFonts w:cs="David" w:hint="cs"/>
                <w:sz w:val="28"/>
                <w:szCs w:val="28"/>
                <w:highlight w:val="magenta"/>
                <w:rtl/>
              </w:rPr>
              <w:t xml:space="preserve"> דברים" </w:t>
            </w:r>
          </w:p>
        </w:tc>
        <w:tc>
          <w:tcPr>
            <w:tcW w:w="2882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 xml:space="preserve">שלא יקרא למפרע </w:t>
            </w:r>
          </w:p>
        </w:tc>
        <w:tc>
          <w:tcPr>
            <w:tcW w:w="3969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>לא ניתן לדרוש את ההא</w:t>
            </w:r>
          </w:p>
        </w:tc>
      </w:tr>
      <w:tr w:rsidR="001E686F" w:rsidRPr="00A6612F" w:rsidTr="001E686F">
        <w:tc>
          <w:tcPr>
            <w:tcW w:w="2788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 xml:space="preserve">האם התורה נאמרה </w:t>
            </w:r>
            <w:r w:rsidRPr="00E22FD6">
              <w:rPr>
                <w:rFonts w:cs="David" w:hint="cs"/>
                <w:sz w:val="24"/>
                <w:szCs w:val="24"/>
                <w:rtl/>
              </w:rPr>
              <w:t xml:space="preserve">(האם צריך לקרא בתורה בכל שבוע לרש"י, או פרשת זכור ומקרא ביכורים </w:t>
            </w:r>
            <w:proofErr w:type="spellStart"/>
            <w:r w:rsidRPr="00E22FD6">
              <w:rPr>
                <w:rFonts w:cs="David" w:hint="cs"/>
                <w:sz w:val="24"/>
                <w:szCs w:val="24"/>
                <w:rtl/>
              </w:rPr>
              <w:t>לתו"ס</w:t>
            </w:r>
            <w:proofErr w:type="spellEnd"/>
            <w:r w:rsidRPr="00E22FD6">
              <w:rPr>
                <w:rFonts w:cs="David" w:hint="cs"/>
                <w:sz w:val="24"/>
                <w:szCs w:val="24"/>
                <w:rtl/>
              </w:rPr>
              <w:t xml:space="preserve">) </w:t>
            </w:r>
            <w:r w:rsidRPr="00A6612F">
              <w:rPr>
                <w:rFonts w:cs="David" w:hint="cs"/>
                <w:sz w:val="28"/>
                <w:szCs w:val="28"/>
                <w:rtl/>
              </w:rPr>
              <w:t>בשפת הקודש או בכל לשון?</w:t>
            </w:r>
          </w:p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</w:p>
        </w:tc>
        <w:tc>
          <w:tcPr>
            <w:tcW w:w="2882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>התורה נאמרה בלשון הקודש. ומה שנאמר והיו כדי שלא נלמד מהמילה שמע בכל לשון שאתה שומע.</w:t>
            </w:r>
          </w:p>
        </w:tc>
        <w:tc>
          <w:tcPr>
            <w:tcW w:w="3969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 xml:space="preserve">התורה נאמרה בכל לשון ונאמר שמע שלא נלמד מהמילים והיו שדווקא צריך לקרא  את ק"ש בלשון הקודש. </w:t>
            </w:r>
          </w:p>
        </w:tc>
      </w:tr>
    </w:tbl>
    <w:p w:rsidR="001E686F" w:rsidRPr="00E22FD6" w:rsidRDefault="001E686F" w:rsidP="001E686F">
      <w:pPr>
        <w:rPr>
          <w:rFonts w:cs="David" w:hint="cs"/>
          <w:sz w:val="38"/>
          <w:szCs w:val="38"/>
          <w:rtl/>
        </w:rPr>
      </w:pPr>
    </w:p>
    <w:tbl>
      <w:tblPr>
        <w:tblStyle w:val="a4"/>
        <w:tblpPr w:leftFromText="180" w:rightFromText="180" w:vertAnchor="text" w:horzAnchor="margin" w:tblpXSpec="center" w:tblpY="-22"/>
        <w:bidiVisual/>
        <w:tblW w:w="10065" w:type="dxa"/>
        <w:tblLook w:val="04A0" w:firstRow="1" w:lastRow="0" w:firstColumn="1" w:lastColumn="0" w:noHBand="0" w:noVBand="1"/>
      </w:tblPr>
      <w:tblGrid>
        <w:gridCol w:w="1276"/>
        <w:gridCol w:w="8789"/>
      </w:tblGrid>
      <w:tr w:rsidR="001E686F" w:rsidRPr="00A6612F" w:rsidTr="001E686F">
        <w:tc>
          <w:tcPr>
            <w:tcW w:w="10065" w:type="dxa"/>
            <w:gridSpan w:val="2"/>
          </w:tcPr>
          <w:p w:rsidR="001E686F" w:rsidRPr="00A6612F" w:rsidRDefault="001E686F" w:rsidP="001E686F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E22FD6">
              <w:rPr>
                <w:rFonts w:cs="David" w:hint="cs"/>
                <w:sz w:val="40"/>
                <w:szCs w:val="40"/>
                <w:highlight w:val="yellow"/>
                <w:rtl/>
              </w:rPr>
              <w:t>עד היכן צריך כוונת הלב?</w:t>
            </w:r>
          </w:p>
        </w:tc>
      </w:tr>
      <w:tr w:rsidR="001E686F" w:rsidRPr="00A6612F" w:rsidTr="001E686F">
        <w:tc>
          <w:tcPr>
            <w:tcW w:w="1276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רבי אליעזר</w:t>
            </w:r>
          </w:p>
        </w:tc>
        <w:tc>
          <w:tcPr>
            <w:tcW w:w="8789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magenta"/>
                <w:rtl/>
              </w:rPr>
              <w:t>"האלה "</w:t>
            </w:r>
            <w:r w:rsidRPr="001E686F">
              <w:rPr>
                <w:rFonts w:cs="David"/>
                <w:sz w:val="28"/>
                <w:szCs w:val="28"/>
                <w:highlight w:val="magenta"/>
                <w:rtl/>
              </w:rPr>
              <w:t>–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עד כאן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(המילה) </w:t>
            </w:r>
            <w:r w:rsidRPr="00A6612F">
              <w:rPr>
                <w:rFonts w:cs="David" w:hint="cs"/>
                <w:sz w:val="28"/>
                <w:szCs w:val="28"/>
                <w:rtl/>
              </w:rPr>
              <w:t>צריך כוונת הלב.</w:t>
            </w:r>
          </w:p>
        </w:tc>
      </w:tr>
      <w:tr w:rsidR="001E686F" w:rsidRPr="00A6612F" w:rsidTr="001E686F">
        <w:tc>
          <w:tcPr>
            <w:tcW w:w="1276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רבי עקיבא </w:t>
            </w:r>
            <w:r w:rsidRPr="001E686F">
              <w:rPr>
                <w:rFonts w:cs="David"/>
                <w:sz w:val="28"/>
                <w:szCs w:val="28"/>
                <w:highlight w:val="lightGray"/>
                <w:rtl/>
              </w:rPr>
              <w:t>–</w:t>
            </w: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 רב אחא</w:t>
            </w:r>
          </w:p>
        </w:tc>
        <w:tc>
          <w:tcPr>
            <w:tcW w:w="8789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>"</w:t>
            </w:r>
            <w:r w:rsidRPr="001E686F">
              <w:rPr>
                <w:rFonts w:cs="David" w:hint="cs"/>
                <w:sz w:val="28"/>
                <w:szCs w:val="28"/>
                <w:highlight w:val="magenta"/>
                <w:rtl/>
              </w:rPr>
              <w:t>אשר אנוכי מצווך היום"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כל הפרשה הראשונה.</w:t>
            </w:r>
          </w:p>
        </w:tc>
      </w:tr>
      <w:tr w:rsidR="001E686F" w:rsidRPr="00A6612F" w:rsidTr="001E686F">
        <w:tc>
          <w:tcPr>
            <w:tcW w:w="1276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רב </w:t>
            </w:r>
            <w:proofErr w:type="spellStart"/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זוטרא</w:t>
            </w:r>
            <w:proofErr w:type="spellEnd"/>
          </w:p>
        </w:tc>
        <w:tc>
          <w:tcPr>
            <w:tcW w:w="8789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 xml:space="preserve">פרשה ראשונה שנאמר בה </w:t>
            </w:r>
            <w:r w:rsidRPr="001E686F">
              <w:rPr>
                <w:rFonts w:cs="David" w:hint="cs"/>
                <w:sz w:val="28"/>
                <w:szCs w:val="28"/>
                <w:highlight w:val="magenta"/>
                <w:rtl/>
              </w:rPr>
              <w:t>" על לבבך" "ודברת בם "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צריכה כוונה וקריאה. </w:t>
            </w:r>
          </w:p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פרשה שניה שנאמר בה 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"ודברתם בם" צריכה רק קריאה.  </w:t>
            </w:r>
          </w:p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>
              <w:rPr>
                <w:rFonts w:cs="David" w:hint="cs"/>
                <w:sz w:val="28"/>
                <w:szCs w:val="28"/>
                <w:rtl/>
              </w:rPr>
              <w:t xml:space="preserve">והמילים על לבבכם </w:t>
            </w:r>
            <w:r w:rsidRPr="00A6612F">
              <w:rPr>
                <w:rFonts w:cs="David" w:hint="cs"/>
                <w:sz w:val="28"/>
                <w:szCs w:val="28"/>
                <w:rtl/>
              </w:rPr>
              <w:t>בא</w:t>
            </w:r>
            <w:r>
              <w:rPr>
                <w:rFonts w:cs="David" w:hint="cs"/>
                <w:sz w:val="28"/>
                <w:szCs w:val="28"/>
                <w:rtl/>
              </w:rPr>
              <w:t xml:space="preserve">ים 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ללמד שצריך להניח תפילין כנגד הלב</w:t>
            </w:r>
          </w:p>
        </w:tc>
      </w:tr>
      <w:tr w:rsidR="001E686F" w:rsidRPr="00A6612F" w:rsidTr="001E686F">
        <w:tc>
          <w:tcPr>
            <w:tcW w:w="1276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רב </w:t>
            </w:r>
            <w:proofErr w:type="spellStart"/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אושעיא</w:t>
            </w:r>
            <w:proofErr w:type="spellEnd"/>
          </w:p>
        </w:tc>
        <w:tc>
          <w:tcPr>
            <w:tcW w:w="8789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 xml:space="preserve">פרשה ראשונה  שנאמר בה </w:t>
            </w:r>
            <w:r w:rsidRPr="001E686F">
              <w:rPr>
                <w:rFonts w:cs="David" w:hint="cs"/>
                <w:sz w:val="28"/>
                <w:szCs w:val="28"/>
                <w:highlight w:val="magenta"/>
                <w:rtl/>
              </w:rPr>
              <w:t>" על לבבך" "ודברת בם "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מצוות קריאה וכוונה פרשה שניה שנאמר בה  "ועל </w:t>
            </w:r>
            <w:proofErr w:type="spellStart"/>
            <w:r w:rsidRPr="00A6612F">
              <w:rPr>
                <w:rFonts w:cs="David" w:hint="cs"/>
                <w:sz w:val="28"/>
                <w:szCs w:val="28"/>
                <w:rtl/>
              </w:rPr>
              <w:t>לבבכם"צריכה</w:t>
            </w:r>
            <w:proofErr w:type="spellEnd"/>
            <w:r w:rsidRPr="00A6612F">
              <w:rPr>
                <w:rFonts w:cs="David" w:hint="cs"/>
                <w:sz w:val="28"/>
                <w:szCs w:val="28"/>
                <w:rtl/>
              </w:rPr>
              <w:t xml:space="preserve"> רק כוונה. ו</w:t>
            </w:r>
            <w:r>
              <w:rPr>
                <w:rFonts w:cs="David" w:hint="cs"/>
                <w:sz w:val="28"/>
                <w:szCs w:val="28"/>
                <w:rtl/>
              </w:rPr>
              <w:t xml:space="preserve">המילים ודברתם בם מלמדים על מצוות 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לימוד תורה.</w:t>
            </w:r>
          </w:p>
        </w:tc>
      </w:tr>
      <w:tr w:rsidR="001E686F" w:rsidRPr="00A6612F" w:rsidTr="001E686F">
        <w:tc>
          <w:tcPr>
            <w:tcW w:w="1276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רבי מאיר</w:t>
            </w:r>
          </w:p>
        </w:tc>
        <w:tc>
          <w:tcPr>
            <w:tcW w:w="8789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>רק פסוק ראשון שמע ישראל</w:t>
            </w:r>
          </w:p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proofErr w:type="spellStart"/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סומכוס</w:t>
            </w:r>
            <w:proofErr w:type="spellEnd"/>
            <w:r w:rsidRPr="001E686F"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>
              <w:rPr>
                <w:rFonts w:cs="David" w:hint="cs"/>
                <w:sz w:val="28"/>
                <w:szCs w:val="28"/>
                <w:rtl/>
              </w:rPr>
              <w:t xml:space="preserve">- </w:t>
            </w:r>
            <w:r w:rsidRPr="00A6612F">
              <w:rPr>
                <w:rFonts w:cs="David" w:hint="cs"/>
                <w:sz w:val="28"/>
                <w:szCs w:val="28"/>
                <w:rtl/>
              </w:rPr>
              <w:t>להאריך באחד.</w:t>
            </w:r>
          </w:p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רב אחא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>
              <w:rPr>
                <w:rFonts w:cs="David"/>
                <w:sz w:val="28"/>
                <w:szCs w:val="28"/>
                <w:rtl/>
              </w:rPr>
              <w:t>–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להאריך 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ב-ד .</w:t>
            </w:r>
          </w:p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רב אשי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שלא יחטוף בחית.</w:t>
            </w:r>
          </w:p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רבי </w:t>
            </w:r>
            <w:proofErr w:type="spellStart"/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ירמיה</w:t>
            </w:r>
            <w:r w:rsidRPr="00A6612F">
              <w:rPr>
                <w:rFonts w:cs="David" w:hint="cs"/>
                <w:sz w:val="28"/>
                <w:szCs w:val="28"/>
                <w:rtl/>
              </w:rPr>
              <w:t>:לא</w:t>
            </w:r>
            <w:proofErr w:type="spellEnd"/>
            <w:r w:rsidRPr="00A6612F">
              <w:rPr>
                <w:rFonts w:cs="David" w:hint="cs"/>
                <w:sz w:val="28"/>
                <w:szCs w:val="28"/>
                <w:rtl/>
              </w:rPr>
              <w:t xml:space="preserve"> להאריך אלא לכוון למעלה למטה וארבע רוחות השמים.</w:t>
            </w:r>
          </w:p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רבי יהודה הנשיא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היה יוצא ידי חובה בפסוק ראשון. והוא עשה זאת באמצע השיעור בשעה שהיה מעביר ידיו על פניו. (העברת היד על הפנים הייתה או משום ריכוז </w:t>
            </w:r>
            <w:proofErr w:type="spellStart"/>
            <w:r w:rsidRPr="00A6612F">
              <w:rPr>
                <w:rFonts w:cs="David" w:hint="cs"/>
                <w:sz w:val="28"/>
                <w:szCs w:val="28"/>
                <w:rtl/>
              </w:rPr>
              <w:t>לריטב"א</w:t>
            </w:r>
            <w:proofErr w:type="spellEnd"/>
            <w:r w:rsidRPr="00A6612F">
              <w:rPr>
                <w:rFonts w:cs="David" w:hint="cs"/>
                <w:sz w:val="28"/>
                <w:szCs w:val="28"/>
                <w:rtl/>
              </w:rPr>
              <w:t xml:space="preserve">. או משום שהיה מסתכל לכל צדדי ההמלכה ולא רצה שיראו </w:t>
            </w:r>
            <w:r w:rsidRPr="00A6612F">
              <w:rPr>
                <w:rFonts w:cs="David"/>
                <w:sz w:val="28"/>
                <w:szCs w:val="28"/>
                <w:rtl/>
              </w:rPr>
              <w:t>–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רבינו יונה) לבר </w:t>
            </w:r>
            <w:proofErr w:type="spellStart"/>
            <w:r w:rsidRPr="00A6612F">
              <w:rPr>
                <w:rFonts w:cs="David" w:hint="cs"/>
                <w:sz w:val="28"/>
                <w:szCs w:val="28"/>
                <w:rtl/>
              </w:rPr>
              <w:t>קפרא</w:t>
            </w:r>
            <w:proofErr w:type="spellEnd"/>
            <w:r w:rsidRPr="00A6612F">
              <w:rPr>
                <w:rFonts w:cs="David" w:hint="cs"/>
                <w:sz w:val="28"/>
                <w:szCs w:val="28"/>
                <w:rtl/>
              </w:rPr>
              <w:t xml:space="preserve"> היה חוזר וגומרה  רבי שמעון בנו של רבי אמר לא חוזר וגומרה. </w:t>
            </w:r>
          </w:p>
        </w:tc>
      </w:tr>
    </w:tbl>
    <w:p w:rsidR="00A6612F" w:rsidRDefault="00A6612F" w:rsidP="0043504C">
      <w:pPr>
        <w:rPr>
          <w:rFonts w:cs="David" w:hint="cs"/>
          <w:sz w:val="28"/>
          <w:szCs w:val="28"/>
          <w:rtl/>
        </w:rPr>
      </w:pPr>
    </w:p>
    <w:p w:rsidR="001E686F" w:rsidRDefault="001E686F" w:rsidP="0043504C">
      <w:pPr>
        <w:rPr>
          <w:rFonts w:cs="David" w:hint="cs"/>
          <w:sz w:val="28"/>
          <w:szCs w:val="28"/>
          <w:rtl/>
        </w:rPr>
      </w:pPr>
    </w:p>
    <w:p w:rsidR="001E686F" w:rsidRPr="00A6612F" w:rsidRDefault="001E686F" w:rsidP="0043504C">
      <w:pPr>
        <w:rPr>
          <w:rFonts w:cs="David"/>
          <w:sz w:val="28"/>
          <w:szCs w:val="28"/>
          <w:rtl/>
        </w:rPr>
      </w:pPr>
    </w:p>
    <w:tbl>
      <w:tblPr>
        <w:tblStyle w:val="a4"/>
        <w:tblpPr w:leftFromText="180" w:rightFromText="180" w:vertAnchor="text" w:horzAnchor="margin" w:tblpY="-365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1E686F" w:rsidRPr="00A6612F" w:rsidTr="001E686F">
        <w:tc>
          <w:tcPr>
            <w:tcW w:w="8522" w:type="dxa"/>
            <w:gridSpan w:val="3"/>
          </w:tcPr>
          <w:p w:rsidR="001E686F" w:rsidRPr="00A6612F" w:rsidRDefault="001E686F" w:rsidP="001E686F">
            <w:pPr>
              <w:jc w:val="center"/>
              <w:rPr>
                <w:rFonts w:cs="David"/>
                <w:sz w:val="28"/>
                <w:szCs w:val="28"/>
                <w:rtl/>
              </w:rPr>
            </w:pPr>
            <w:r w:rsidRPr="00E22FD6">
              <w:rPr>
                <w:rFonts w:cs="David" w:hint="cs"/>
                <w:sz w:val="40"/>
                <w:szCs w:val="40"/>
                <w:highlight w:val="yellow"/>
                <w:rtl/>
              </w:rPr>
              <w:lastRenderedPageBreak/>
              <w:t>דינים שונים בקריאת שמע</w:t>
            </w:r>
          </w:p>
        </w:tc>
      </w:tr>
      <w:tr w:rsidR="001E686F" w:rsidRPr="00A6612F" w:rsidTr="001E686F">
        <w:tc>
          <w:tcPr>
            <w:tcW w:w="2840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>עמידה בקריאת שמע</w:t>
            </w:r>
          </w:p>
        </w:tc>
        <w:tc>
          <w:tcPr>
            <w:tcW w:w="2841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רב נתן בר מר </w:t>
            </w:r>
            <w:proofErr w:type="spellStart"/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עוקבא</w:t>
            </w:r>
            <w:proofErr w:type="spellEnd"/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 </w:t>
            </w:r>
            <w:r w:rsidRPr="001E686F">
              <w:rPr>
                <w:rFonts w:cs="David"/>
                <w:sz w:val="28"/>
                <w:szCs w:val="28"/>
                <w:highlight w:val="lightGray"/>
                <w:rtl/>
              </w:rPr>
              <w:t>–</w:t>
            </w: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 רב יהודה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עד המילים על לבבך</w:t>
            </w:r>
            <w:r>
              <w:rPr>
                <w:rFonts w:cs="David" w:hint="cs"/>
                <w:sz w:val="28"/>
                <w:szCs w:val="28"/>
                <w:rtl/>
              </w:rPr>
              <w:t>.</w:t>
            </w:r>
          </w:p>
        </w:tc>
        <w:tc>
          <w:tcPr>
            <w:tcW w:w="2841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רבי יוחנן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כל הפרשה הראשונה</w:t>
            </w:r>
            <w:r>
              <w:rPr>
                <w:rFonts w:cs="David" w:hint="cs"/>
                <w:sz w:val="28"/>
                <w:szCs w:val="28"/>
                <w:rtl/>
              </w:rPr>
              <w:t>.</w:t>
            </w:r>
          </w:p>
        </w:tc>
      </w:tr>
      <w:tr w:rsidR="001E686F" w:rsidRPr="00A6612F" w:rsidTr="001E686F">
        <w:tc>
          <w:tcPr>
            <w:tcW w:w="2840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>נאנס וקרא רק פסוק ראשון בכוונה והשאר כמתנמנם</w:t>
            </w:r>
          </w:p>
        </w:tc>
        <w:tc>
          <w:tcPr>
            <w:tcW w:w="5682" w:type="dxa"/>
            <w:gridSpan w:val="2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רבי </w:t>
            </w:r>
            <w:proofErr w:type="spellStart"/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אילא</w:t>
            </w:r>
            <w:proofErr w:type="spellEnd"/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 בריה </w:t>
            </w:r>
            <w:proofErr w:type="spellStart"/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דרב</w:t>
            </w:r>
            <w:proofErr w:type="spellEnd"/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 xml:space="preserve"> שמואל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יצא ידי חובה, </w:t>
            </w:r>
          </w:p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ורב נחמן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אמרו לדרו עבדו שרק בפסוק ראשון יעיר אותו. </w:t>
            </w:r>
          </w:p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רבה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היה מצער נפשו בפסוק ראשון.</w:t>
            </w:r>
          </w:p>
        </w:tc>
      </w:tr>
      <w:tr w:rsidR="001E686F" w:rsidRPr="00A6612F" w:rsidTr="001E686F">
        <w:tc>
          <w:tcPr>
            <w:tcW w:w="2840" w:type="dxa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A6612F">
              <w:rPr>
                <w:rFonts w:cs="David" w:hint="cs"/>
                <w:sz w:val="28"/>
                <w:szCs w:val="28"/>
                <w:rtl/>
              </w:rPr>
              <w:t xml:space="preserve">פרקדן </w:t>
            </w:r>
            <w:r w:rsidRPr="00A6612F">
              <w:rPr>
                <w:rFonts w:cs="David"/>
                <w:sz w:val="28"/>
                <w:szCs w:val="28"/>
                <w:rtl/>
              </w:rPr>
              <w:t>–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שוכב על הגב</w:t>
            </w:r>
          </w:p>
        </w:tc>
        <w:tc>
          <w:tcPr>
            <w:tcW w:w="5682" w:type="dxa"/>
            <w:gridSpan w:val="2"/>
          </w:tcPr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לרבי יהושע בין לוי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לא ישכב על הגב גם בלי לקרא והוא קילל מי שעושה זאת, אבל לשכב</w:t>
            </w:r>
            <w:r>
              <w:rPr>
                <w:rFonts w:cs="David" w:hint="cs"/>
                <w:sz w:val="28"/>
                <w:szCs w:val="28"/>
                <w:rtl/>
              </w:rPr>
              <w:t xml:space="preserve"> 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על הצד מותר. </w:t>
            </w:r>
          </w:p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לרב יוסף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לא יקרא גם ששוכב על הצד .</w:t>
            </w:r>
          </w:p>
          <w:p w:rsidR="001E686F" w:rsidRPr="00A6612F" w:rsidRDefault="001E686F" w:rsidP="001E686F">
            <w:pPr>
              <w:rPr>
                <w:rFonts w:cs="David"/>
                <w:sz w:val="28"/>
                <w:szCs w:val="28"/>
                <w:rtl/>
              </w:rPr>
            </w:pPr>
            <w:r w:rsidRPr="001E686F">
              <w:rPr>
                <w:rFonts w:cs="David" w:hint="cs"/>
                <w:sz w:val="28"/>
                <w:szCs w:val="28"/>
                <w:highlight w:val="lightGray"/>
                <w:rtl/>
              </w:rPr>
              <w:t>ורבי יוחנן</w:t>
            </w:r>
            <w:r w:rsidRPr="00A6612F">
              <w:rPr>
                <w:rFonts w:cs="David" w:hint="cs"/>
                <w:sz w:val="28"/>
                <w:szCs w:val="28"/>
                <w:rtl/>
              </w:rPr>
              <w:t xml:space="preserve"> שהיה בעל בשר ולא </w:t>
            </w:r>
            <w:proofErr w:type="spellStart"/>
            <w:r w:rsidRPr="00A6612F">
              <w:rPr>
                <w:rFonts w:cs="David" w:hint="cs"/>
                <w:sz w:val="28"/>
                <w:szCs w:val="28"/>
                <w:rtl/>
              </w:rPr>
              <w:t>יכל</w:t>
            </w:r>
            <w:proofErr w:type="spellEnd"/>
            <w:r w:rsidRPr="00A6612F">
              <w:rPr>
                <w:rFonts w:cs="David" w:hint="cs"/>
                <w:sz w:val="28"/>
                <w:szCs w:val="28"/>
                <w:rtl/>
              </w:rPr>
              <w:t xml:space="preserve"> להסתובב </w:t>
            </w:r>
            <w:proofErr w:type="spellStart"/>
            <w:r w:rsidRPr="00A6612F">
              <w:rPr>
                <w:rFonts w:cs="David" w:hint="cs"/>
                <w:sz w:val="28"/>
                <w:szCs w:val="28"/>
                <w:rtl/>
              </w:rPr>
              <w:t>יכל</w:t>
            </w:r>
            <w:proofErr w:type="spellEnd"/>
            <w:r w:rsidRPr="00A6612F">
              <w:rPr>
                <w:rFonts w:cs="David" w:hint="cs"/>
                <w:sz w:val="28"/>
                <w:szCs w:val="28"/>
                <w:rtl/>
              </w:rPr>
              <w:t xml:space="preserve">  לקרא על גבו עם הטיה קלה</w:t>
            </w:r>
            <w:r>
              <w:rPr>
                <w:rFonts w:cs="David" w:hint="cs"/>
                <w:sz w:val="28"/>
                <w:szCs w:val="28"/>
                <w:rtl/>
              </w:rPr>
              <w:t>.</w:t>
            </w:r>
          </w:p>
        </w:tc>
      </w:tr>
    </w:tbl>
    <w:p w:rsidR="0043504C" w:rsidRPr="00A6612F" w:rsidRDefault="0043504C" w:rsidP="0043504C">
      <w:pPr>
        <w:rPr>
          <w:rFonts w:cs="David"/>
          <w:sz w:val="28"/>
          <w:szCs w:val="28"/>
          <w:rtl/>
        </w:rPr>
      </w:pPr>
    </w:p>
    <w:p w:rsidR="0043504C" w:rsidRDefault="0043504C" w:rsidP="0043504C">
      <w:pPr>
        <w:rPr>
          <w:rFonts w:cs="David" w:hint="cs"/>
          <w:sz w:val="28"/>
          <w:szCs w:val="28"/>
          <w:rtl/>
        </w:rPr>
      </w:pPr>
    </w:p>
    <w:p w:rsidR="00A6612F" w:rsidRDefault="00A6612F" w:rsidP="0043504C">
      <w:pPr>
        <w:rPr>
          <w:rFonts w:cs="David" w:hint="cs"/>
          <w:sz w:val="28"/>
          <w:szCs w:val="28"/>
          <w:rtl/>
        </w:rPr>
      </w:pPr>
    </w:p>
    <w:p w:rsidR="00A6612F" w:rsidRDefault="00A6612F" w:rsidP="0043504C">
      <w:pPr>
        <w:rPr>
          <w:rFonts w:cs="David" w:hint="cs"/>
          <w:sz w:val="28"/>
          <w:szCs w:val="28"/>
          <w:rtl/>
        </w:rPr>
      </w:pPr>
    </w:p>
    <w:p w:rsidR="00A6612F" w:rsidRPr="00A6612F" w:rsidRDefault="00A6612F" w:rsidP="0043504C">
      <w:pPr>
        <w:rPr>
          <w:rFonts w:cs="David"/>
          <w:sz w:val="28"/>
          <w:szCs w:val="28"/>
        </w:rPr>
      </w:pPr>
      <w:bookmarkStart w:id="0" w:name="_GoBack"/>
      <w:bookmarkEnd w:id="0"/>
    </w:p>
    <w:p w:rsidR="003D0DE2" w:rsidRPr="00A6612F" w:rsidRDefault="003D0DE2">
      <w:pPr>
        <w:rPr>
          <w:rFonts w:cs="David"/>
          <w:sz w:val="28"/>
          <w:szCs w:val="28"/>
        </w:rPr>
      </w:pPr>
    </w:p>
    <w:sectPr w:rsidR="003D0DE2" w:rsidRPr="00A6612F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F6" w:rsidRDefault="00C243F6" w:rsidP="0007590D">
      <w:pPr>
        <w:spacing w:after="0" w:line="240" w:lineRule="auto"/>
      </w:pPr>
      <w:r>
        <w:separator/>
      </w:r>
    </w:p>
  </w:endnote>
  <w:endnote w:type="continuationSeparator" w:id="0">
    <w:p w:rsidR="00C243F6" w:rsidRDefault="00C243F6" w:rsidP="0007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F6" w:rsidRDefault="00C243F6" w:rsidP="0007590D">
      <w:pPr>
        <w:spacing w:after="0" w:line="240" w:lineRule="auto"/>
      </w:pPr>
      <w:r>
        <w:separator/>
      </w:r>
    </w:p>
  </w:footnote>
  <w:footnote w:type="continuationSeparator" w:id="0">
    <w:p w:rsidR="00C243F6" w:rsidRDefault="00C243F6" w:rsidP="000759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06F2"/>
    <w:multiLevelType w:val="multilevel"/>
    <w:tmpl w:val="1FCC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7B"/>
    <w:rsid w:val="00033E9B"/>
    <w:rsid w:val="0007590D"/>
    <w:rsid w:val="001E686F"/>
    <w:rsid w:val="003D0DE2"/>
    <w:rsid w:val="0043504C"/>
    <w:rsid w:val="00482C75"/>
    <w:rsid w:val="005A2300"/>
    <w:rsid w:val="0063077B"/>
    <w:rsid w:val="00731F76"/>
    <w:rsid w:val="008653C9"/>
    <w:rsid w:val="00A64CC2"/>
    <w:rsid w:val="00A6612F"/>
    <w:rsid w:val="00C243F6"/>
    <w:rsid w:val="00C615BF"/>
    <w:rsid w:val="00E22FD6"/>
    <w:rsid w:val="00F1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3077B"/>
    <w:rPr>
      <w:strike w:val="0"/>
      <w:dstrike w:val="0"/>
      <w:color w:val="666666"/>
      <w:u w:val="none"/>
      <w:effect w:val="none"/>
      <w:bdr w:val="none" w:sz="0" w:space="0" w:color="auto" w:frame="1"/>
    </w:rPr>
  </w:style>
  <w:style w:type="character" w:styleId="a3">
    <w:name w:val="Strong"/>
    <w:basedOn w:val="a0"/>
    <w:uiPriority w:val="22"/>
    <w:qFormat/>
    <w:rsid w:val="0063077B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63077B"/>
    <w:pPr>
      <w:bidi w:val="0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A2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75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07590D"/>
  </w:style>
  <w:style w:type="paragraph" w:styleId="a7">
    <w:name w:val="footer"/>
    <w:basedOn w:val="a"/>
    <w:link w:val="a8"/>
    <w:uiPriority w:val="99"/>
    <w:unhideWhenUsed/>
    <w:rsid w:val="00075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7590D"/>
  </w:style>
  <w:style w:type="paragraph" w:styleId="a9">
    <w:name w:val="Balloon Text"/>
    <w:basedOn w:val="a"/>
    <w:link w:val="aa"/>
    <w:uiPriority w:val="99"/>
    <w:semiHidden/>
    <w:unhideWhenUsed/>
    <w:rsid w:val="0007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075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63077B"/>
    <w:rPr>
      <w:strike w:val="0"/>
      <w:dstrike w:val="0"/>
      <w:color w:val="666666"/>
      <w:u w:val="none"/>
      <w:effect w:val="none"/>
      <w:bdr w:val="none" w:sz="0" w:space="0" w:color="auto" w:frame="1"/>
    </w:rPr>
  </w:style>
  <w:style w:type="character" w:styleId="a3">
    <w:name w:val="Strong"/>
    <w:basedOn w:val="a0"/>
    <w:uiPriority w:val="22"/>
    <w:qFormat/>
    <w:rsid w:val="0063077B"/>
    <w:rPr>
      <w:b/>
      <w:bCs/>
    </w:rPr>
  </w:style>
  <w:style w:type="paragraph" w:styleId="NormalWeb">
    <w:name w:val="Normal (Web)"/>
    <w:basedOn w:val="a"/>
    <w:uiPriority w:val="99"/>
    <w:semiHidden/>
    <w:unhideWhenUsed/>
    <w:rsid w:val="0063077B"/>
    <w:pPr>
      <w:bidi w:val="0"/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5A2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75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07590D"/>
  </w:style>
  <w:style w:type="paragraph" w:styleId="a7">
    <w:name w:val="footer"/>
    <w:basedOn w:val="a"/>
    <w:link w:val="a8"/>
    <w:uiPriority w:val="99"/>
    <w:unhideWhenUsed/>
    <w:rsid w:val="000759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07590D"/>
  </w:style>
  <w:style w:type="paragraph" w:styleId="a9">
    <w:name w:val="Balloon Text"/>
    <w:basedOn w:val="a"/>
    <w:link w:val="aa"/>
    <w:uiPriority w:val="99"/>
    <w:semiHidden/>
    <w:unhideWhenUsed/>
    <w:rsid w:val="00075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075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6644">
                  <w:marLeft w:val="0"/>
                  <w:marRight w:val="0"/>
                  <w:marTop w:val="0"/>
                  <w:marBottom w:val="0"/>
                  <w:divBdr>
                    <w:top w:val="single" w:sz="6" w:space="23" w:color="90ACBD"/>
                    <w:left w:val="none" w:sz="0" w:space="0" w:color="90ACBD"/>
                    <w:bottom w:val="single" w:sz="6" w:space="23" w:color="90ACBD"/>
                    <w:right w:val="none" w:sz="0" w:space="0" w:color="90ACBD"/>
                  </w:divBdr>
                  <w:divsChild>
                    <w:div w:id="311830782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2" w:color="8597A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90ACBD"/>
                            <w:left w:val="none" w:sz="0" w:space="0" w:color="90ACBD"/>
                            <w:bottom w:val="none" w:sz="0" w:space="0" w:color="90ACBD"/>
                            <w:right w:val="none" w:sz="0" w:space="0" w:color="90ACBD"/>
                          </w:divBdr>
                          <w:divsChild>
                            <w:div w:id="210268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58628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344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2012-08-14T07:50:00Z</dcterms:created>
  <dcterms:modified xsi:type="dcterms:W3CDTF">2012-08-14T08:19:00Z</dcterms:modified>
</cp:coreProperties>
</file>