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20" w:rsidRDefault="00866F20" w:rsidP="00866F20">
      <w:pPr>
        <w:spacing w:line="240" w:lineRule="auto"/>
        <w:rPr>
          <w:rFonts w:ascii="Times New Roman" w:eastAsia="Times New Roman" w:hAnsi="Times New Roman" w:cs="David"/>
          <w:sz w:val="38"/>
          <w:szCs w:val="38"/>
          <w:rtl/>
        </w:rPr>
      </w:pPr>
      <w:r w:rsidRPr="00186A7A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טבלאות עזר של מסקנות הגמרא ללימוד ברכות </w:t>
      </w:r>
      <w:r w:rsidR="006E0EF6" w:rsidRPr="006E0EF6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דף </w:t>
      </w:r>
      <w:proofErr w:type="spellStart"/>
      <w:r w:rsidR="006E0EF6" w:rsidRPr="006E0EF6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יח</w:t>
      </w:r>
      <w:proofErr w:type="spellEnd"/>
    </w:p>
    <w:p w:rsidR="00160F54" w:rsidRPr="006E0EF6" w:rsidRDefault="00866F20" w:rsidP="006E0EF6">
      <w:pPr>
        <w:spacing w:line="240" w:lineRule="auto"/>
        <w:rPr>
          <w:rFonts w:ascii="Times New Roman" w:eastAsia="Times New Roman" w:hAnsi="Times New Roman" w:cs="David" w:hint="cs"/>
          <w:sz w:val="38"/>
          <w:szCs w:val="38"/>
          <w:rtl/>
        </w:rPr>
      </w:pPr>
      <w:r w:rsidRPr="00041F52">
        <w:rPr>
          <w:rFonts w:ascii="Times New Roman" w:eastAsia="Times New Roman" w:hAnsi="Times New Roman" w:cs="David" w:hint="cs"/>
          <w:sz w:val="26"/>
          <w:szCs w:val="26"/>
          <w:rtl/>
        </w:rPr>
        <w:t>ערך הרב חנניה מלכה</w:t>
      </w:r>
      <w:bookmarkStart w:id="0" w:name="_GoBack"/>
      <w:bookmarkEnd w:id="0"/>
    </w:p>
    <w:p w:rsidR="00160F54" w:rsidRPr="006E0EF6" w:rsidRDefault="00160F54">
      <w:pPr>
        <w:rPr>
          <w:rFonts w:hint="cs"/>
          <w:sz w:val="32"/>
          <w:szCs w:val="32"/>
          <w:rtl/>
        </w:rPr>
      </w:pPr>
    </w:p>
    <w:tbl>
      <w:tblPr>
        <w:tblStyle w:val="a3"/>
        <w:bidiVisual/>
        <w:tblW w:w="10065" w:type="dxa"/>
        <w:tblInd w:w="-800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E5FE9" w:rsidRPr="006E0EF6" w:rsidTr="006E0EF6">
        <w:tc>
          <w:tcPr>
            <w:tcW w:w="10065" w:type="dxa"/>
            <w:gridSpan w:val="2"/>
          </w:tcPr>
          <w:p w:rsidR="00CE5FE9" w:rsidRPr="006E0EF6" w:rsidRDefault="00CE5FE9" w:rsidP="00CE5FE9">
            <w:pPr>
              <w:jc w:val="center"/>
              <w:rPr>
                <w:sz w:val="30"/>
                <w:szCs w:val="30"/>
                <w:rtl/>
              </w:rPr>
            </w:pPr>
            <w:r w:rsidRPr="006E0EF6">
              <w:rPr>
                <w:rFonts w:hint="cs"/>
                <w:sz w:val="30"/>
                <w:szCs w:val="30"/>
                <w:highlight w:val="yellow"/>
                <w:rtl/>
              </w:rPr>
              <w:t>האם אדם ששמת, לו מת אך מתו לא מוטל לפניו פטור מקריאת שמע?</w:t>
            </w:r>
          </w:p>
        </w:tc>
      </w:tr>
      <w:tr w:rsidR="00CE5FE9" w:rsidTr="006E0EF6">
        <w:tc>
          <w:tcPr>
            <w:tcW w:w="5103" w:type="dxa"/>
          </w:tcPr>
          <w:p w:rsidR="00CE5FE9" w:rsidRPr="006E0EF6" w:rsidRDefault="00CE5FE9" w:rsidP="00CE5FE9">
            <w:pPr>
              <w:jc w:val="center"/>
              <w:rPr>
                <w:highlight w:val="magenta"/>
                <w:rtl/>
              </w:rPr>
            </w:pPr>
            <w:r w:rsidRPr="006E0EF6">
              <w:rPr>
                <w:rFonts w:hint="cs"/>
                <w:highlight w:val="magenta"/>
                <w:rtl/>
              </w:rPr>
              <w:t>משנה</w:t>
            </w:r>
          </w:p>
        </w:tc>
        <w:tc>
          <w:tcPr>
            <w:tcW w:w="4962" w:type="dxa"/>
          </w:tcPr>
          <w:p w:rsidR="00CE5FE9" w:rsidRDefault="00CE5FE9" w:rsidP="00CE5FE9">
            <w:pPr>
              <w:jc w:val="center"/>
              <w:rPr>
                <w:rtl/>
              </w:rPr>
            </w:pPr>
            <w:r w:rsidRPr="006E0EF6">
              <w:rPr>
                <w:rFonts w:hint="cs"/>
                <w:highlight w:val="magenta"/>
                <w:rtl/>
              </w:rPr>
              <w:t>ברייתא</w:t>
            </w:r>
          </w:p>
        </w:tc>
      </w:tr>
      <w:tr w:rsidR="00CE5FE9" w:rsidTr="006E0EF6">
        <w:tc>
          <w:tcPr>
            <w:tcW w:w="5103" w:type="dxa"/>
          </w:tcPr>
          <w:p w:rsidR="00CE5FE9" w:rsidRDefault="00CE5FE9">
            <w:pPr>
              <w:rPr>
                <w:rtl/>
              </w:rPr>
            </w:pPr>
            <w:r>
              <w:rPr>
                <w:rFonts w:hint="cs"/>
                <w:rtl/>
              </w:rPr>
              <w:t>מי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שמתו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מוטל</w:t>
            </w:r>
            <w:r>
              <w:rPr>
                <w:rtl/>
              </w:rPr>
              <w:t xml:space="preserve"> </w:t>
            </w:r>
            <w:r w:rsidRPr="00160F54">
              <w:rPr>
                <w:rFonts w:hint="cs"/>
                <w:highlight w:val="yellow"/>
                <w:rtl/>
              </w:rPr>
              <w:t>לפניו</w:t>
            </w:r>
            <w:r>
              <w:rPr>
                <w:rtl/>
              </w:rPr>
              <w:t xml:space="preserve"> - </w:t>
            </w:r>
            <w:r>
              <w:rPr>
                <w:rFonts w:hint="cs"/>
                <w:rtl/>
              </w:rPr>
              <w:t>פטור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מקריאת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שמע</w:t>
            </w:r>
          </w:p>
        </w:tc>
        <w:tc>
          <w:tcPr>
            <w:tcW w:w="4962" w:type="dxa"/>
          </w:tcPr>
          <w:p w:rsidR="00CE5FE9" w:rsidRDefault="00CE5FE9">
            <w:pPr>
              <w:rPr>
                <w:rtl/>
              </w:rPr>
            </w:pPr>
            <w:r>
              <w:rPr>
                <w:rFonts w:hint="cs"/>
                <w:rtl/>
              </w:rPr>
              <w:t>אוכל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בבית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חבירו</w:t>
            </w:r>
            <w:proofErr w:type="spellEnd"/>
            <w:r>
              <w:rPr>
                <w:rFonts w:hint="cs"/>
                <w:rtl/>
              </w:rPr>
              <w:t xml:space="preserve"> ...</w:t>
            </w:r>
            <w:r>
              <w:rPr>
                <w:rFonts w:hint="cs"/>
                <w:rtl/>
              </w:rPr>
              <w:t>ופטור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מקריאת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שמע</w:t>
            </w:r>
            <w:r>
              <w:rPr>
                <w:rFonts w:hint="cs"/>
                <w:rtl/>
              </w:rPr>
              <w:t>.</w:t>
            </w:r>
          </w:p>
        </w:tc>
      </w:tr>
      <w:tr w:rsidR="00CE5FE9" w:rsidTr="006E0EF6">
        <w:tc>
          <w:tcPr>
            <w:tcW w:w="5103" w:type="dxa"/>
          </w:tcPr>
          <w:p w:rsidR="00CE5FE9" w:rsidRDefault="00CE5FE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משמע שאם המת בבית אחר אינו פטור. </w:t>
            </w:r>
          </w:p>
        </w:tc>
        <w:tc>
          <w:tcPr>
            <w:tcW w:w="4962" w:type="dxa"/>
          </w:tcPr>
          <w:p w:rsidR="00CE5FE9" w:rsidRDefault="00CE5FE9">
            <w:pPr>
              <w:rPr>
                <w:rtl/>
              </w:rPr>
            </w:pPr>
            <w:r>
              <w:rPr>
                <w:rFonts w:hint="cs"/>
                <w:rtl/>
              </w:rPr>
              <w:t>משמע שאם המת בבית אחר עדיין פטור מקריאת שמע</w:t>
            </w:r>
            <w:r>
              <w:rPr>
                <w:rFonts w:hint="cs"/>
                <w:rtl/>
              </w:rPr>
              <w:t xml:space="preserve">. </w:t>
            </w:r>
          </w:p>
        </w:tc>
      </w:tr>
      <w:tr w:rsidR="00CE5FE9" w:rsidTr="006E0EF6">
        <w:tc>
          <w:tcPr>
            <w:tcW w:w="5103" w:type="dxa"/>
          </w:tcPr>
          <w:p w:rsidR="00CE5FE9" w:rsidRDefault="00CE5FE9">
            <w:pPr>
              <w:rPr>
                <w:rFonts w:hint="cs"/>
                <w:rtl/>
              </w:rPr>
            </w:pPr>
            <w:r w:rsidRPr="006E0EF6">
              <w:rPr>
                <w:rFonts w:hint="cs"/>
                <w:highlight w:val="lightGray"/>
                <w:rtl/>
              </w:rPr>
              <w:t xml:space="preserve">רב </w:t>
            </w:r>
            <w:proofErr w:type="spellStart"/>
            <w:r w:rsidRPr="006E0EF6">
              <w:rPr>
                <w:rFonts w:hint="cs"/>
                <w:highlight w:val="lightGray"/>
                <w:rtl/>
              </w:rPr>
              <w:t>פפא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דברי המשנה נכונים</w:t>
            </w:r>
            <w:r>
              <w:rPr>
                <w:rFonts w:hint="cs"/>
                <w:rtl/>
              </w:rPr>
              <w:t>:</w:t>
            </w:r>
          </w:p>
          <w:p w:rsidR="00CE5FE9" w:rsidRDefault="00CE5FE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הפטור מקריאת שמע בברייתא לא מדבר על האוכל בבית </w:t>
            </w:r>
            <w:proofErr w:type="spellStart"/>
            <w:r>
              <w:rPr>
                <w:rFonts w:hint="cs"/>
                <w:rtl/>
              </w:rPr>
              <w:t>חבירו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בבית אחר, אלא על תחילת הברייתא ששם נאמר שהוא נמצא בבית המת.</w:t>
            </w:r>
          </w:p>
        </w:tc>
        <w:tc>
          <w:tcPr>
            <w:tcW w:w="4962" w:type="dxa"/>
          </w:tcPr>
          <w:p w:rsidR="00CE5FE9" w:rsidRDefault="00CE5FE9">
            <w:pPr>
              <w:rPr>
                <w:rtl/>
              </w:rPr>
            </w:pPr>
            <w:r w:rsidRPr="006E0EF6">
              <w:rPr>
                <w:rFonts w:hint="cs"/>
                <w:highlight w:val="lightGray"/>
                <w:rtl/>
              </w:rPr>
              <w:t>רב אשי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דבר הברייתא נכונים. ומה שכתוב במשנה מי שמוטל לפניו אין הכוונה מוטל לפניו פיזית שהוא והמת באותו הבית. אלא שמוטל עליו </w:t>
            </w:r>
            <w:proofErr w:type="spellStart"/>
            <w:r>
              <w:rPr>
                <w:rFonts w:hint="cs"/>
                <w:rtl/>
              </w:rPr>
              <w:t>לקוברו</w:t>
            </w:r>
            <w:proofErr w:type="spellEnd"/>
            <w:r>
              <w:rPr>
                <w:rFonts w:hint="cs"/>
                <w:rtl/>
              </w:rPr>
              <w:t xml:space="preserve"> למרות שהמת בבית אחר. כפי שנאמר אצל אברהם ואקברה מתי מלפני ושרה לא היה לפניו פיזית אלא חובת קבורתה הייתה עליו באותה שעה. </w:t>
            </w:r>
          </w:p>
        </w:tc>
      </w:tr>
      <w:tr w:rsidR="00CE5FE9" w:rsidTr="006E0EF6">
        <w:tc>
          <w:tcPr>
            <w:tcW w:w="10065" w:type="dxa"/>
            <w:gridSpan w:val="2"/>
          </w:tcPr>
          <w:p w:rsidR="00CE5FE9" w:rsidRPr="006E0EF6" w:rsidRDefault="00CE5FE9" w:rsidP="00CE5FE9">
            <w:pPr>
              <w:rPr>
                <w:highlight w:val="cyan"/>
                <w:rtl/>
              </w:rPr>
            </w:pPr>
            <w:r w:rsidRPr="006E0EF6">
              <w:rPr>
                <w:rFonts w:hint="cs"/>
                <w:highlight w:val="cyan"/>
                <w:rtl/>
              </w:rPr>
              <w:t>שולחן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ערוך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יו"ד</w:t>
            </w:r>
            <w:r w:rsidRPr="006E0EF6">
              <w:rPr>
                <w:highlight w:val="cyan"/>
                <w:rtl/>
              </w:rPr>
              <w:t xml:space="preserve"> </w:t>
            </w:r>
            <w:proofErr w:type="spellStart"/>
            <w:r w:rsidRPr="006E0EF6">
              <w:rPr>
                <w:rFonts w:hint="cs"/>
                <w:highlight w:val="cyan"/>
                <w:rtl/>
              </w:rPr>
              <w:t>שמא</w:t>
            </w:r>
            <w:r w:rsidRPr="006E0EF6">
              <w:rPr>
                <w:rFonts w:hint="cs"/>
                <w:highlight w:val="cyan"/>
                <w:rtl/>
              </w:rPr>
              <w:t>,</w:t>
            </w:r>
            <w:r w:rsidRPr="006E0EF6">
              <w:rPr>
                <w:rFonts w:hint="cs"/>
                <w:highlight w:val="cyan"/>
                <w:rtl/>
              </w:rPr>
              <w:t>א</w:t>
            </w:r>
            <w:proofErr w:type="spellEnd"/>
            <w:r w:rsidRPr="006E0EF6">
              <w:rPr>
                <w:highlight w:val="cyan"/>
                <w:rtl/>
              </w:rPr>
              <w:t xml:space="preserve"> </w:t>
            </w:r>
          </w:p>
          <w:p w:rsidR="00CE5FE9" w:rsidRPr="006E0EF6" w:rsidRDefault="00CE5FE9" w:rsidP="00CE5FE9">
            <w:pPr>
              <w:rPr>
                <w:rFonts w:hint="cs"/>
                <w:highlight w:val="cyan"/>
                <w:rtl/>
              </w:rPr>
            </w:pPr>
            <w:r w:rsidRPr="006E0EF6">
              <w:rPr>
                <w:rFonts w:hint="cs"/>
                <w:highlight w:val="cyan"/>
                <w:rtl/>
              </w:rPr>
              <w:t>מי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שמת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לו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מת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שהוא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חייב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להתאבל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עליו</w:t>
            </w:r>
            <w:r w:rsidRPr="006E0EF6">
              <w:rPr>
                <w:highlight w:val="cyan"/>
                <w:rtl/>
              </w:rPr>
              <w:t xml:space="preserve">, </w:t>
            </w:r>
            <w:r w:rsidRPr="006E0EF6">
              <w:rPr>
                <w:rFonts w:hint="cs"/>
                <w:highlight w:val="cyan"/>
                <w:rtl/>
              </w:rPr>
              <w:t>קודם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קבורה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אוכל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בבית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אחר</w:t>
            </w:r>
            <w:r w:rsidRPr="006E0EF6">
              <w:rPr>
                <w:highlight w:val="cyan"/>
                <w:rtl/>
              </w:rPr>
              <w:t>.</w:t>
            </w:r>
            <w:r w:rsidRPr="006E0EF6">
              <w:rPr>
                <w:rFonts w:hint="cs"/>
                <w:highlight w:val="cyan"/>
                <w:rtl/>
              </w:rPr>
              <w:t>...</w:t>
            </w:r>
            <w:r w:rsidRPr="006E0EF6">
              <w:rPr>
                <w:rFonts w:hint="cs"/>
                <w:highlight w:val="cyan"/>
                <w:rtl/>
              </w:rPr>
              <w:t>ואפילו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הוא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בעיר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אחרת</w:t>
            </w:r>
            <w:r w:rsidRPr="006E0EF6">
              <w:rPr>
                <w:highlight w:val="cyan"/>
                <w:rtl/>
              </w:rPr>
              <w:t xml:space="preserve">, </w:t>
            </w:r>
            <w:r w:rsidRPr="006E0EF6">
              <w:rPr>
                <w:rFonts w:hint="cs"/>
                <w:highlight w:val="cyan"/>
                <w:rtl/>
              </w:rPr>
              <w:t>...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פטור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מכל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מצות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האמורות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בתורה</w:t>
            </w:r>
            <w:r w:rsidRPr="006E0EF6">
              <w:rPr>
                <w:rFonts w:hint="cs"/>
                <w:highlight w:val="cyan"/>
                <w:rtl/>
              </w:rPr>
              <w:t>.</w:t>
            </w:r>
          </w:p>
        </w:tc>
      </w:tr>
    </w:tbl>
    <w:p w:rsidR="00160F54" w:rsidRDefault="00160F54">
      <w:pPr>
        <w:rPr>
          <w:rFonts w:hint="cs"/>
          <w:rtl/>
        </w:rPr>
      </w:pPr>
    </w:p>
    <w:tbl>
      <w:tblPr>
        <w:tblStyle w:val="a3"/>
        <w:bidiVisual/>
        <w:tblW w:w="9781" w:type="dxa"/>
        <w:tblInd w:w="-658" w:type="dxa"/>
        <w:tblLook w:val="04A0" w:firstRow="1" w:lastRow="0" w:firstColumn="1" w:lastColumn="0" w:noHBand="0" w:noVBand="1"/>
      </w:tblPr>
      <w:tblGrid>
        <w:gridCol w:w="4819"/>
        <w:gridCol w:w="4962"/>
      </w:tblGrid>
      <w:tr w:rsidR="001A777B" w:rsidTr="006E0EF6">
        <w:tc>
          <w:tcPr>
            <w:tcW w:w="9781" w:type="dxa"/>
            <w:gridSpan w:val="2"/>
          </w:tcPr>
          <w:p w:rsidR="001A777B" w:rsidRPr="006E0EF6" w:rsidRDefault="00BB2CD0" w:rsidP="00BB2CD0">
            <w:pPr>
              <w:jc w:val="center"/>
              <w:rPr>
                <w:rFonts w:hint="cs"/>
                <w:sz w:val="28"/>
                <w:szCs w:val="28"/>
                <w:highlight w:val="yellow"/>
                <w:rtl/>
              </w:rPr>
            </w:pPr>
            <w:r w:rsidRPr="006E0EF6">
              <w:rPr>
                <w:rFonts w:hint="cs"/>
                <w:sz w:val="28"/>
                <w:szCs w:val="28"/>
                <w:highlight w:val="yellow"/>
                <w:rtl/>
              </w:rPr>
              <w:t xml:space="preserve">3 חידושים לגבי </w:t>
            </w:r>
            <w:r w:rsidR="001A777B" w:rsidRPr="006E0EF6">
              <w:rPr>
                <w:rFonts w:hint="cs"/>
                <w:sz w:val="28"/>
                <w:szCs w:val="28"/>
                <w:highlight w:val="yellow"/>
                <w:rtl/>
              </w:rPr>
              <w:t>דין פטור המשמר את המת , ומי שמתו מוטל לפניו</w:t>
            </w:r>
            <w:r w:rsidRPr="006E0EF6">
              <w:rPr>
                <w:rFonts w:hint="cs"/>
                <w:sz w:val="28"/>
                <w:szCs w:val="28"/>
                <w:highlight w:val="yellow"/>
                <w:rtl/>
              </w:rPr>
              <w:t>,</w:t>
            </w:r>
            <w:r w:rsidR="001A777B" w:rsidRPr="006E0EF6">
              <w:rPr>
                <w:rFonts w:hint="cs"/>
                <w:sz w:val="28"/>
                <w:szCs w:val="28"/>
                <w:highlight w:val="yellow"/>
                <w:rtl/>
              </w:rPr>
              <w:t xml:space="preserve"> מקריאת שמע?</w:t>
            </w:r>
          </w:p>
        </w:tc>
      </w:tr>
      <w:tr w:rsidR="001A777B" w:rsidTr="006E0EF6">
        <w:tc>
          <w:tcPr>
            <w:tcW w:w="4819" w:type="dxa"/>
          </w:tcPr>
          <w:p w:rsidR="001A777B" w:rsidRPr="006E0EF6" w:rsidRDefault="001A777B" w:rsidP="00160F54">
            <w:pPr>
              <w:rPr>
                <w:highlight w:val="magenta"/>
                <w:rtl/>
              </w:rPr>
            </w:pPr>
            <w:r w:rsidRPr="006E0EF6">
              <w:rPr>
                <w:rFonts w:hint="cs"/>
                <w:highlight w:val="magenta"/>
                <w:rtl/>
              </w:rPr>
              <w:t xml:space="preserve">משנה </w:t>
            </w:r>
          </w:p>
        </w:tc>
        <w:tc>
          <w:tcPr>
            <w:tcW w:w="4962" w:type="dxa"/>
          </w:tcPr>
          <w:p w:rsidR="001A777B" w:rsidRPr="006E0EF6" w:rsidRDefault="001A777B" w:rsidP="00160F54">
            <w:pPr>
              <w:rPr>
                <w:highlight w:val="magenta"/>
                <w:rtl/>
              </w:rPr>
            </w:pPr>
            <w:r w:rsidRPr="006E0EF6">
              <w:rPr>
                <w:rFonts w:hint="cs"/>
                <w:highlight w:val="magenta"/>
                <w:rtl/>
              </w:rPr>
              <w:t>ברייתא</w:t>
            </w:r>
          </w:p>
        </w:tc>
      </w:tr>
      <w:tr w:rsidR="001A777B" w:rsidTr="006E0EF6">
        <w:tc>
          <w:tcPr>
            <w:tcW w:w="4819" w:type="dxa"/>
          </w:tcPr>
          <w:p w:rsidR="001A777B" w:rsidRDefault="001A777B" w:rsidP="00160F5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מי </w:t>
            </w:r>
            <w:r w:rsidRPr="00BB2CD0">
              <w:rPr>
                <w:rFonts w:hint="cs"/>
                <w:highlight w:val="yellow"/>
                <w:rtl/>
              </w:rPr>
              <w:t>שמתו</w:t>
            </w:r>
            <w:r>
              <w:rPr>
                <w:rFonts w:hint="cs"/>
                <w:rtl/>
              </w:rPr>
              <w:t xml:space="preserve"> מוטל לפניו  פטור מקריאת שמע </w:t>
            </w:r>
          </w:p>
        </w:tc>
        <w:tc>
          <w:tcPr>
            <w:tcW w:w="4962" w:type="dxa"/>
          </w:tcPr>
          <w:p w:rsidR="001A777B" w:rsidRDefault="001A777B" w:rsidP="00160F54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המשמרו</w:t>
            </w:r>
            <w:proofErr w:type="spellEnd"/>
            <w:r>
              <w:rPr>
                <w:rFonts w:hint="cs"/>
                <w:rtl/>
              </w:rPr>
              <w:t xml:space="preserve"> אף על פי </w:t>
            </w:r>
            <w:r w:rsidRPr="00BB2CD0">
              <w:rPr>
                <w:rFonts w:hint="cs"/>
                <w:highlight w:val="yellow"/>
                <w:rtl/>
              </w:rPr>
              <w:t>שאינו מתו</w:t>
            </w:r>
            <w:r>
              <w:rPr>
                <w:rFonts w:hint="cs"/>
                <w:rtl/>
              </w:rPr>
              <w:t xml:space="preserve"> פטור</w:t>
            </w:r>
          </w:p>
        </w:tc>
      </w:tr>
      <w:tr w:rsidR="001A777B" w:rsidTr="006E0EF6">
        <w:tc>
          <w:tcPr>
            <w:tcW w:w="4819" w:type="dxa"/>
          </w:tcPr>
          <w:p w:rsidR="001A777B" w:rsidRDefault="001A777B" w:rsidP="00160F5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משמע שמי שמשמר את המת </w:t>
            </w:r>
            <w:r w:rsidRPr="00BB2CD0">
              <w:rPr>
                <w:rFonts w:hint="cs"/>
                <w:highlight w:val="green"/>
                <w:rtl/>
              </w:rPr>
              <w:t>חייב</w:t>
            </w:r>
            <w:r w:rsidR="00BB2CD0" w:rsidRPr="00BB2CD0">
              <w:rPr>
                <w:rFonts w:hint="cs"/>
                <w:highlight w:val="green"/>
                <w:rtl/>
              </w:rPr>
              <w:t>.</w:t>
            </w:r>
          </w:p>
        </w:tc>
        <w:tc>
          <w:tcPr>
            <w:tcW w:w="4962" w:type="dxa"/>
          </w:tcPr>
          <w:p w:rsidR="001A777B" w:rsidRDefault="001A777B" w:rsidP="00BB2CD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משמע שהמשמר את מת </w:t>
            </w:r>
            <w:r w:rsidR="00BB2CD0" w:rsidRPr="00BB2CD0">
              <w:rPr>
                <w:rFonts w:hint="cs"/>
                <w:highlight w:val="green"/>
                <w:rtl/>
              </w:rPr>
              <w:t>פטור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1A777B" w:rsidTr="006E0EF6">
        <w:tc>
          <w:tcPr>
            <w:tcW w:w="9781" w:type="dxa"/>
            <w:gridSpan w:val="2"/>
          </w:tcPr>
          <w:p w:rsidR="001A777B" w:rsidRDefault="001A777B" w:rsidP="001A777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אין מחלוקת בין </w:t>
            </w:r>
            <w:r w:rsidRPr="006E0EF6">
              <w:rPr>
                <w:rFonts w:hint="cs"/>
                <w:highlight w:val="lightGray"/>
                <w:rtl/>
              </w:rPr>
              <w:t>הברייתא למשנה</w:t>
            </w:r>
            <w:r>
              <w:rPr>
                <w:rFonts w:hint="cs"/>
                <w:rtl/>
              </w:rPr>
              <w:t xml:space="preserve"> רק שהמשנה חדשה,</w:t>
            </w:r>
          </w:p>
          <w:p w:rsidR="001A777B" w:rsidRDefault="001A777B" w:rsidP="001A777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שמי שמתו  מוטל לפניו פטור מק"ש  </w:t>
            </w:r>
            <w:r w:rsidRPr="00BB2CD0">
              <w:rPr>
                <w:rFonts w:hint="cs"/>
                <w:highlight w:val="yellow"/>
                <w:rtl/>
              </w:rPr>
              <w:t>אף על פי שאינו משמרו.</w:t>
            </w:r>
          </w:p>
          <w:p w:rsidR="001A777B" w:rsidRDefault="001A777B" w:rsidP="001A777B">
            <w:pPr>
              <w:jc w:val="center"/>
              <w:rPr>
                <w:rtl/>
              </w:rPr>
            </w:pPr>
            <w:r w:rsidRPr="006E0EF6">
              <w:rPr>
                <w:rFonts w:hint="cs"/>
                <w:highlight w:val="lightGray"/>
                <w:rtl/>
              </w:rPr>
              <w:t>והברייתא</w:t>
            </w:r>
            <w:r>
              <w:rPr>
                <w:rFonts w:hint="cs"/>
                <w:rtl/>
              </w:rPr>
              <w:t xml:space="preserve"> חדשה שמי שמשמר את המת אף על פי </w:t>
            </w:r>
            <w:r w:rsidRPr="00BB2CD0">
              <w:rPr>
                <w:rFonts w:hint="cs"/>
                <w:highlight w:val="yellow"/>
                <w:rtl/>
              </w:rPr>
              <w:t>שאינו מתו</w:t>
            </w:r>
            <w:r>
              <w:rPr>
                <w:rFonts w:hint="cs"/>
                <w:rtl/>
              </w:rPr>
              <w:t xml:space="preserve"> פטור מקריאת שמע.</w:t>
            </w:r>
          </w:p>
        </w:tc>
      </w:tr>
      <w:tr w:rsidR="001A777B" w:rsidTr="006E0EF6">
        <w:tc>
          <w:tcPr>
            <w:tcW w:w="9781" w:type="dxa"/>
            <w:gridSpan w:val="2"/>
          </w:tcPr>
          <w:p w:rsidR="001A777B" w:rsidRDefault="001A777B" w:rsidP="00160F5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ועוד חידוש יש שהמשמר את המת או מי שמתו מוטל לפניו</w:t>
            </w:r>
            <w:r w:rsidR="00BB2CD0">
              <w:rPr>
                <w:rFonts w:hint="cs"/>
                <w:rtl/>
              </w:rPr>
              <w:t xml:space="preserve"> פטורים מק</w:t>
            </w:r>
            <w:r>
              <w:rPr>
                <w:rFonts w:hint="cs"/>
                <w:rtl/>
              </w:rPr>
              <w:t>ר</w:t>
            </w:r>
            <w:r w:rsidR="00BB2CD0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 xml:space="preserve">את שמע גם אם הוא </w:t>
            </w:r>
            <w:r w:rsidRPr="00BB2CD0">
              <w:rPr>
                <w:rFonts w:hint="cs"/>
                <w:highlight w:val="yellow"/>
                <w:rtl/>
              </w:rPr>
              <w:t>רחוק מהם יותר מד'</w:t>
            </w:r>
            <w:r>
              <w:rPr>
                <w:rFonts w:hint="cs"/>
                <w:rtl/>
              </w:rPr>
              <w:t xml:space="preserve"> אמות</w:t>
            </w:r>
            <w:r w:rsidR="00BB2CD0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וזה בניגוד ל</w:t>
            </w:r>
            <w:r w:rsidR="00BB2CD0">
              <w:rPr>
                <w:rFonts w:hint="cs"/>
                <w:rtl/>
              </w:rPr>
              <w:t>מה</w:t>
            </w:r>
            <w:r>
              <w:rPr>
                <w:rFonts w:hint="cs"/>
                <w:rtl/>
              </w:rPr>
              <w:t xml:space="preserve">לך בבית הקברות שרק אם הוא בתוך ד' אמות של  מת הוא פטור מקריאת שמע. </w:t>
            </w:r>
          </w:p>
        </w:tc>
      </w:tr>
      <w:tr w:rsidR="00BB2CD0" w:rsidTr="006E0EF6">
        <w:tc>
          <w:tcPr>
            <w:tcW w:w="9781" w:type="dxa"/>
            <w:gridSpan w:val="2"/>
          </w:tcPr>
          <w:p w:rsidR="00BB2CD0" w:rsidRPr="006E0EF6" w:rsidRDefault="00BB2CD0" w:rsidP="00BB2CD0">
            <w:pPr>
              <w:rPr>
                <w:highlight w:val="cyan"/>
                <w:rtl/>
              </w:rPr>
            </w:pPr>
            <w:r w:rsidRPr="006E0EF6">
              <w:rPr>
                <w:rFonts w:hint="cs"/>
                <w:highlight w:val="cyan"/>
                <w:rtl/>
              </w:rPr>
              <w:t>שולחן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ערוך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יו"ד</w:t>
            </w:r>
            <w:r w:rsidRPr="006E0EF6">
              <w:rPr>
                <w:highlight w:val="cyan"/>
                <w:rtl/>
              </w:rPr>
              <w:t xml:space="preserve"> </w:t>
            </w:r>
            <w:proofErr w:type="spellStart"/>
            <w:r w:rsidRPr="006E0EF6">
              <w:rPr>
                <w:rFonts w:hint="cs"/>
                <w:highlight w:val="cyan"/>
                <w:rtl/>
              </w:rPr>
              <w:t>שמא</w:t>
            </w:r>
            <w:r w:rsidRPr="006E0EF6">
              <w:rPr>
                <w:rFonts w:hint="cs"/>
                <w:highlight w:val="cyan"/>
                <w:rtl/>
              </w:rPr>
              <w:t>,ו</w:t>
            </w:r>
            <w:proofErr w:type="spellEnd"/>
            <w:r w:rsidRPr="006E0EF6">
              <w:rPr>
                <w:highlight w:val="cyan"/>
                <w:rtl/>
              </w:rPr>
              <w:t xml:space="preserve"> </w:t>
            </w:r>
          </w:p>
          <w:p w:rsidR="00BB2CD0" w:rsidRDefault="00BB2CD0" w:rsidP="00BB2CD0">
            <w:pPr>
              <w:rPr>
                <w:rFonts w:hint="cs"/>
                <w:rtl/>
              </w:rPr>
            </w:pPr>
            <w:r w:rsidRPr="006E0EF6">
              <w:rPr>
                <w:rFonts w:hint="cs"/>
                <w:highlight w:val="cyan"/>
                <w:rtl/>
              </w:rPr>
              <w:t>המשמר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את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המת</w:t>
            </w:r>
            <w:r w:rsidRPr="006E0EF6">
              <w:rPr>
                <w:highlight w:val="cyan"/>
                <w:rtl/>
              </w:rPr>
              <w:t xml:space="preserve">, </w:t>
            </w:r>
            <w:r w:rsidRPr="006E0EF6">
              <w:rPr>
                <w:rFonts w:hint="cs"/>
                <w:highlight w:val="cyan"/>
                <w:rtl/>
              </w:rPr>
              <w:t>אפילו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שאינו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מתו</w:t>
            </w:r>
            <w:r w:rsidRPr="006E0EF6">
              <w:rPr>
                <w:highlight w:val="cyan"/>
                <w:rtl/>
              </w:rPr>
              <w:t xml:space="preserve">, </w:t>
            </w:r>
            <w:r w:rsidRPr="006E0EF6">
              <w:rPr>
                <w:rFonts w:hint="cs"/>
                <w:highlight w:val="cyan"/>
                <w:rtl/>
              </w:rPr>
              <w:t>פטור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מקריאת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שמע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ומכל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מצות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האמורות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בתורה</w:t>
            </w:r>
            <w:r w:rsidRPr="006E0EF6">
              <w:rPr>
                <w:highlight w:val="cyan"/>
                <w:rtl/>
              </w:rPr>
              <w:t xml:space="preserve">. </w:t>
            </w:r>
            <w:r w:rsidRPr="006E0EF6">
              <w:rPr>
                <w:rFonts w:hint="cs"/>
                <w:highlight w:val="cyan"/>
                <w:rtl/>
              </w:rPr>
              <w:t>היו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שנים</w:t>
            </w:r>
            <w:r w:rsidRPr="006E0EF6">
              <w:rPr>
                <w:highlight w:val="cyan"/>
                <w:rtl/>
              </w:rPr>
              <w:t xml:space="preserve">, </w:t>
            </w:r>
            <w:r w:rsidRPr="006E0EF6">
              <w:rPr>
                <w:rFonts w:hint="cs"/>
                <w:highlight w:val="cyan"/>
                <w:rtl/>
              </w:rPr>
              <w:t>זה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משמר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וזה</w:t>
            </w:r>
            <w:r w:rsidRPr="006E0EF6">
              <w:rPr>
                <w:highlight w:val="cyan"/>
                <w:rtl/>
              </w:rPr>
              <w:t xml:space="preserve"> </w:t>
            </w:r>
            <w:r w:rsidRPr="006E0EF6">
              <w:rPr>
                <w:rFonts w:hint="cs"/>
                <w:highlight w:val="cyan"/>
                <w:rtl/>
              </w:rPr>
              <w:t>קורא</w:t>
            </w:r>
            <w:r>
              <w:rPr>
                <w:rtl/>
              </w:rPr>
              <w:t>.</w:t>
            </w:r>
          </w:p>
        </w:tc>
      </w:tr>
    </w:tbl>
    <w:p w:rsidR="00160F54" w:rsidRDefault="00160F54" w:rsidP="00160F54">
      <w:pPr>
        <w:rPr>
          <w:rFonts w:hint="cs"/>
          <w:rtl/>
        </w:rPr>
      </w:pPr>
    </w:p>
    <w:tbl>
      <w:tblPr>
        <w:tblStyle w:val="a3"/>
        <w:bidiVisual/>
        <w:tblW w:w="9781" w:type="dxa"/>
        <w:tblInd w:w="-658" w:type="dxa"/>
        <w:tblLook w:val="04A0" w:firstRow="1" w:lastRow="0" w:firstColumn="1" w:lastColumn="0" w:noHBand="0" w:noVBand="1"/>
      </w:tblPr>
      <w:tblGrid>
        <w:gridCol w:w="3498"/>
        <w:gridCol w:w="6283"/>
      </w:tblGrid>
      <w:tr w:rsidR="00BB2CD0" w:rsidTr="006E0EF6">
        <w:tc>
          <w:tcPr>
            <w:tcW w:w="9781" w:type="dxa"/>
            <w:gridSpan w:val="2"/>
          </w:tcPr>
          <w:p w:rsidR="00BB2CD0" w:rsidRPr="006E0EF6" w:rsidRDefault="00BB2CD0" w:rsidP="006E0EF6">
            <w:pPr>
              <w:jc w:val="center"/>
              <w:rPr>
                <w:sz w:val="26"/>
                <w:szCs w:val="26"/>
                <w:rtl/>
              </w:rPr>
            </w:pPr>
            <w:r w:rsidRPr="006E0EF6">
              <w:rPr>
                <w:rFonts w:hint="cs"/>
                <w:sz w:val="26"/>
                <w:szCs w:val="26"/>
                <w:highlight w:val="yellow"/>
                <w:rtl/>
              </w:rPr>
              <w:t>האם המתים יודעים מה קורה עם חיים?</w:t>
            </w:r>
          </w:p>
        </w:tc>
      </w:tr>
      <w:tr w:rsidR="003C0385" w:rsidTr="006E0EF6">
        <w:tc>
          <w:tcPr>
            <w:tcW w:w="9781" w:type="dxa"/>
            <w:gridSpan w:val="2"/>
          </w:tcPr>
          <w:p w:rsidR="003C0385" w:rsidRDefault="00F76B9E" w:rsidP="00F76B9E">
            <w:pPr>
              <w:rPr>
                <w:rtl/>
              </w:rPr>
            </w:pPr>
            <w:r w:rsidRPr="006E0EF6">
              <w:rPr>
                <w:rFonts w:hint="cs"/>
                <w:highlight w:val="magenta"/>
                <w:rtl/>
              </w:rPr>
              <w:t>המקרה</w:t>
            </w:r>
            <w:r>
              <w:rPr>
                <w:rFonts w:hint="cs"/>
                <w:rtl/>
              </w:rPr>
              <w:t xml:space="preserve">                                         </w:t>
            </w:r>
            <w:r w:rsidR="006E0EF6">
              <w:rPr>
                <w:rFonts w:hint="cs"/>
                <w:rtl/>
              </w:rPr>
              <w:t xml:space="preserve">     </w:t>
            </w:r>
            <w:r w:rsidR="006E0EF6" w:rsidRPr="006E0EF6">
              <w:rPr>
                <w:rFonts w:hint="cs"/>
                <w:highlight w:val="magenta"/>
                <w:rtl/>
              </w:rPr>
              <w:t>הדחיה</w:t>
            </w:r>
          </w:p>
        </w:tc>
      </w:tr>
      <w:tr w:rsidR="00F76B9E" w:rsidTr="006E0EF6">
        <w:tc>
          <w:tcPr>
            <w:tcW w:w="3498" w:type="dxa"/>
          </w:tcPr>
          <w:p w:rsidR="00F76B9E" w:rsidRPr="006E0EF6" w:rsidRDefault="00F76B9E" w:rsidP="00160F54">
            <w:pPr>
              <w:rPr>
                <w:rtl/>
              </w:rPr>
            </w:pPr>
            <w:r w:rsidRPr="006E0EF6">
              <w:rPr>
                <w:rFonts w:hint="cs"/>
                <w:rtl/>
              </w:rPr>
              <w:t xml:space="preserve">נחלקו בזה רבי יונתן ורבי </w:t>
            </w:r>
            <w:proofErr w:type="spellStart"/>
            <w:r w:rsidRPr="006E0EF6">
              <w:rPr>
                <w:rFonts w:hint="cs"/>
                <w:rtl/>
              </w:rPr>
              <w:t>חייא</w:t>
            </w:r>
            <w:proofErr w:type="spellEnd"/>
          </w:p>
        </w:tc>
        <w:tc>
          <w:tcPr>
            <w:tcW w:w="6283" w:type="dxa"/>
          </w:tcPr>
          <w:p w:rsidR="00F76B9E" w:rsidRDefault="00F76B9E" w:rsidP="003C0385">
            <w:pPr>
              <w:rPr>
                <w:rtl/>
              </w:rPr>
            </w:pPr>
            <w:r w:rsidRPr="006E0EF6">
              <w:rPr>
                <w:rFonts w:hint="cs"/>
                <w:rtl/>
              </w:rPr>
              <w:t>וְהַמֵּתִים</w:t>
            </w:r>
            <w:r w:rsidRPr="006E0EF6">
              <w:rPr>
                <w:rtl/>
              </w:rPr>
              <w:t xml:space="preserve"> </w:t>
            </w:r>
            <w:r w:rsidRPr="006E0EF6">
              <w:rPr>
                <w:rFonts w:hint="cs"/>
                <w:rtl/>
              </w:rPr>
              <w:t>אֵינָם</w:t>
            </w:r>
            <w:r w:rsidRPr="006E0EF6">
              <w:rPr>
                <w:rtl/>
              </w:rPr>
              <w:t xml:space="preserve"> </w:t>
            </w:r>
            <w:r w:rsidRPr="006E0EF6">
              <w:rPr>
                <w:rFonts w:hint="cs"/>
                <w:rtl/>
              </w:rPr>
              <w:t>יוֹדְעִים</w:t>
            </w:r>
            <w:r w:rsidRPr="006E0EF6">
              <w:rPr>
                <w:rtl/>
              </w:rPr>
              <w:t xml:space="preserve"> </w:t>
            </w:r>
            <w:r w:rsidRPr="006E0EF6">
              <w:rPr>
                <w:rFonts w:hint="cs"/>
                <w:rtl/>
              </w:rPr>
              <w:t xml:space="preserve">מְאוּמָה"                                                          </w:t>
            </w:r>
            <w:r w:rsidRPr="006E0EF6">
              <w:rPr>
                <w:rFonts w:hint="cs"/>
                <w:rtl/>
              </w:rPr>
              <w:t>לרב יונתן כפשוטו אינם יודעים ולכן הלך עם ציצית בבית הקברות</w:t>
            </w:r>
            <w:r w:rsidR="006E0EF6" w:rsidRPr="006E0EF6">
              <w:rPr>
                <w:rFonts w:hint="cs"/>
                <w:rtl/>
              </w:rPr>
              <w:t>,</w:t>
            </w:r>
            <w:r w:rsidRPr="006E0EF6">
              <w:rPr>
                <w:rFonts w:hint="cs"/>
                <w:rtl/>
              </w:rPr>
              <w:t xml:space="preserve"> </w:t>
            </w:r>
            <w:r w:rsidRPr="006E0EF6">
              <w:rPr>
                <w:rFonts w:hint="cs"/>
                <w:rtl/>
              </w:rPr>
              <w:t xml:space="preserve">לרבי </w:t>
            </w:r>
            <w:proofErr w:type="spellStart"/>
            <w:r w:rsidRPr="006E0EF6">
              <w:rPr>
                <w:rFonts w:hint="cs"/>
                <w:rtl/>
              </w:rPr>
              <w:t>חייא</w:t>
            </w:r>
            <w:proofErr w:type="spellEnd"/>
            <w:r w:rsidRPr="006E0EF6">
              <w:rPr>
                <w:rFonts w:hint="cs"/>
                <w:rtl/>
              </w:rPr>
              <w:t xml:space="preserve"> המתים אלו הרשעים שעושים עצמם שלא יודעים כלום מיום המיתה בעולם הזה</w:t>
            </w:r>
            <w:r w:rsidRPr="006E0EF6">
              <w:rPr>
                <w:rFonts w:hint="cs"/>
                <w:rtl/>
              </w:rPr>
              <w:t>,</w:t>
            </w:r>
            <w:r w:rsidRPr="006E0EF6">
              <w:rPr>
                <w:rFonts w:hint="cs"/>
                <w:rtl/>
              </w:rPr>
              <w:t xml:space="preserve"> ונקראים מתים גם בעולם הזה.</w:t>
            </w:r>
            <w:r w:rsidRPr="006E0EF6">
              <w:rPr>
                <w:rFonts w:hint="cs"/>
                <w:rtl/>
              </w:rPr>
              <w:t xml:space="preserve"> אבל המתים בבית הקברות יודעים מה קורה עם החיים . ורבי יונתן חזר והסכים לו מכך שנאמר שמ</w:t>
            </w:r>
            <w:r w:rsidR="006E0EF6" w:rsidRPr="006E0EF6">
              <w:rPr>
                <w:rFonts w:hint="cs"/>
                <w:rtl/>
              </w:rPr>
              <w:t>ש</w:t>
            </w:r>
            <w:r w:rsidRPr="006E0EF6">
              <w:rPr>
                <w:rFonts w:hint="cs"/>
                <w:rtl/>
              </w:rPr>
              <w:t>ה צריך לספר לאבות על קיום השבועה להם. משמע שהם יודעים ו</w:t>
            </w:r>
            <w:r w:rsidR="006E0EF6" w:rsidRPr="006E0EF6">
              <w:rPr>
                <w:rFonts w:hint="cs"/>
                <w:rtl/>
              </w:rPr>
              <w:t>מ</w:t>
            </w:r>
            <w:r w:rsidRPr="006E0EF6">
              <w:rPr>
                <w:rFonts w:hint="cs"/>
                <w:rtl/>
              </w:rPr>
              <w:t>תעניינים במה שקורה פה.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F76B9E" w:rsidTr="006E0EF6">
        <w:tc>
          <w:tcPr>
            <w:tcW w:w="3498" w:type="dxa"/>
          </w:tcPr>
          <w:p w:rsidR="00F76B9E" w:rsidRDefault="00F76B9E" w:rsidP="00160F5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נחלקו </w:t>
            </w:r>
            <w:r w:rsidRPr="006E0EF6">
              <w:rPr>
                <w:rFonts w:hint="cs"/>
                <w:highlight w:val="lightGray"/>
                <w:rtl/>
              </w:rPr>
              <w:t xml:space="preserve">בזה בני רבי </w:t>
            </w:r>
            <w:proofErr w:type="spellStart"/>
            <w:r w:rsidRPr="006E0EF6">
              <w:rPr>
                <w:rFonts w:hint="cs"/>
                <w:highlight w:val="lightGray"/>
                <w:rtl/>
              </w:rPr>
              <w:t>חייא</w:t>
            </w:r>
            <w:proofErr w:type="spellEnd"/>
            <w:r>
              <w:rPr>
                <w:rFonts w:hint="cs"/>
                <w:rtl/>
              </w:rPr>
              <w:t xml:space="preserve"> ששכחו תלמודם ונחלקו האם אביהם יודע ששכחו תלמודם.</w:t>
            </w:r>
          </w:p>
        </w:tc>
        <w:tc>
          <w:tcPr>
            <w:tcW w:w="6283" w:type="dxa"/>
          </w:tcPr>
          <w:p w:rsidR="00F76B9E" w:rsidRDefault="00F76B9E" w:rsidP="00160F5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חלק אמרו שלא יודע מהפסוק: יכבדו בניו ולא ידע , וחלק אמרו שיודע מהפסוק:  </w:t>
            </w:r>
            <w:r>
              <w:rPr>
                <w:rFonts w:hint="cs"/>
                <w:rtl/>
              </w:rPr>
              <w:t>אך בשרו עליו יכאב ונפשו עליו תאבל</w:t>
            </w:r>
            <w:r w:rsidR="006E0EF6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משמע שהוא מודע לבשרו</w:t>
            </w:r>
            <w:r>
              <w:rPr>
                <w:rFonts w:hint="cs"/>
                <w:rtl/>
              </w:rPr>
              <w:t xml:space="preserve"> (קשה רימה למת כמחט בבשר החי)</w:t>
            </w:r>
            <w:r>
              <w:rPr>
                <w:rFonts w:hint="cs"/>
                <w:rtl/>
              </w:rPr>
              <w:t xml:space="preserve"> ו</w:t>
            </w:r>
            <w:r>
              <w:rPr>
                <w:rFonts w:hint="cs"/>
                <w:rtl/>
              </w:rPr>
              <w:t>משמע ש</w:t>
            </w:r>
            <w:r>
              <w:rPr>
                <w:rFonts w:hint="cs"/>
                <w:rtl/>
              </w:rPr>
              <w:t>גם לבניו.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הגמרא דוחה שאולי הוא מודע רק </w:t>
            </w:r>
            <w:r w:rsidRPr="006E0EF6">
              <w:rPr>
                <w:rFonts w:hint="cs"/>
                <w:highlight w:val="magenta"/>
                <w:rtl/>
              </w:rPr>
              <w:t>לבשרו ולא למה שקורה בין החיים</w:t>
            </w:r>
            <w:r>
              <w:rPr>
                <w:rFonts w:hint="cs"/>
                <w:rtl/>
              </w:rPr>
              <w:t>.</w:t>
            </w:r>
          </w:p>
        </w:tc>
      </w:tr>
      <w:tr w:rsidR="00F76B9E" w:rsidTr="006E0EF6">
        <w:tc>
          <w:tcPr>
            <w:tcW w:w="3498" w:type="dxa"/>
          </w:tcPr>
          <w:p w:rsidR="00F76B9E" w:rsidRDefault="00F76B9E" w:rsidP="00FF738B">
            <w:pPr>
              <w:rPr>
                <w:rtl/>
              </w:rPr>
            </w:pPr>
            <w:r w:rsidRPr="006E0EF6">
              <w:rPr>
                <w:rFonts w:hint="cs"/>
                <w:highlight w:val="lightGray"/>
                <w:rtl/>
              </w:rPr>
              <w:t>ממעשה החסיד</w:t>
            </w:r>
            <w:r>
              <w:rPr>
                <w:rFonts w:hint="cs"/>
                <w:rtl/>
              </w:rPr>
              <w:t xml:space="preserve"> משמע שרוח הקבורה במחצלת הקנים יודעת שהקניטו את אימה.</w:t>
            </w:r>
          </w:p>
        </w:tc>
        <w:tc>
          <w:tcPr>
            <w:tcW w:w="6283" w:type="dxa"/>
          </w:tcPr>
          <w:p w:rsidR="00F76B9E" w:rsidRDefault="00F76B9E" w:rsidP="00160F54">
            <w:pPr>
              <w:rPr>
                <w:rtl/>
              </w:rPr>
            </w:pPr>
            <w:r>
              <w:rPr>
                <w:rFonts w:hint="cs"/>
                <w:rtl/>
              </w:rPr>
              <w:t>אולי היא יודעת מאדם שהיה בארץ ונפטר והגיע אליה.</w:t>
            </w:r>
            <w:r w:rsidR="006E0EF6">
              <w:rPr>
                <w:rFonts w:hint="cs"/>
                <w:rtl/>
              </w:rPr>
              <w:t xml:space="preserve"> </w:t>
            </w:r>
            <w:r w:rsidR="006E0EF6" w:rsidRPr="006E0EF6">
              <w:rPr>
                <w:rFonts w:hint="cs"/>
                <w:highlight w:val="magenta"/>
                <w:rtl/>
              </w:rPr>
              <w:t>כך שאין ראיה שהם יודעים.</w:t>
            </w:r>
          </w:p>
        </w:tc>
      </w:tr>
      <w:tr w:rsidR="00F76B9E" w:rsidTr="006E0EF6">
        <w:tc>
          <w:tcPr>
            <w:tcW w:w="3498" w:type="dxa"/>
          </w:tcPr>
          <w:p w:rsidR="00F76B9E" w:rsidRDefault="00F76B9E" w:rsidP="00FF738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האישה שאמרה </w:t>
            </w:r>
            <w:proofErr w:type="spellStart"/>
            <w:r w:rsidRPr="006E0EF6">
              <w:rPr>
                <w:rFonts w:hint="cs"/>
                <w:highlight w:val="lightGray"/>
                <w:rtl/>
              </w:rPr>
              <w:t>לזעיר</w:t>
            </w:r>
            <w:r>
              <w:rPr>
                <w:rFonts w:hint="cs"/>
                <w:rtl/>
              </w:rPr>
              <w:t>י</w:t>
            </w:r>
            <w:proofErr w:type="spellEnd"/>
            <w:r>
              <w:rPr>
                <w:rFonts w:hint="cs"/>
                <w:rtl/>
              </w:rPr>
              <w:t xml:space="preserve"> שמחר תמות משהי.</w:t>
            </w:r>
          </w:p>
        </w:tc>
        <w:tc>
          <w:tcPr>
            <w:tcW w:w="6283" w:type="dxa"/>
          </w:tcPr>
          <w:p w:rsidR="00F76B9E" w:rsidRDefault="00F76B9E" w:rsidP="00160F5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אולי היא יודעת מדומה שבשמיים </w:t>
            </w:r>
            <w:r>
              <w:rPr>
                <w:rFonts w:hint="cs"/>
                <w:rtl/>
              </w:rPr>
              <w:t xml:space="preserve">המכריז על פטירתה אבל על שאר </w:t>
            </w:r>
            <w:r w:rsidRPr="006E0EF6">
              <w:rPr>
                <w:rFonts w:hint="cs"/>
                <w:rtl/>
              </w:rPr>
              <w:t>הדברים הקורים בין החיים</w:t>
            </w:r>
            <w:r>
              <w:rPr>
                <w:rFonts w:hint="cs"/>
                <w:rtl/>
              </w:rPr>
              <w:t xml:space="preserve"> </w:t>
            </w:r>
            <w:r w:rsidRPr="006E0EF6">
              <w:rPr>
                <w:rFonts w:hint="cs"/>
                <w:highlight w:val="magenta"/>
                <w:rtl/>
              </w:rPr>
              <w:t>המתים לא יודעים</w:t>
            </w:r>
            <w:r>
              <w:rPr>
                <w:rFonts w:hint="cs"/>
                <w:rtl/>
              </w:rPr>
              <w:t xml:space="preserve">. </w:t>
            </w:r>
          </w:p>
        </w:tc>
      </w:tr>
      <w:tr w:rsidR="00F76B9E" w:rsidTr="006E0EF6">
        <w:tc>
          <w:tcPr>
            <w:tcW w:w="3498" w:type="dxa"/>
          </w:tcPr>
          <w:p w:rsidR="00F76B9E" w:rsidRDefault="00F76B9E" w:rsidP="00FF738B">
            <w:pPr>
              <w:rPr>
                <w:rtl/>
              </w:rPr>
            </w:pPr>
            <w:r w:rsidRPr="006E0EF6">
              <w:rPr>
                <w:rFonts w:hint="cs"/>
                <w:highlight w:val="lightGray"/>
                <w:rtl/>
              </w:rPr>
              <w:t>אביו של שמואל</w:t>
            </w:r>
            <w:r>
              <w:rPr>
                <w:rFonts w:hint="cs"/>
                <w:rtl/>
              </w:rPr>
              <w:t xml:space="preserve"> ידע שהוא חשוב בין החיים מהיכן ?</w:t>
            </w:r>
          </w:p>
        </w:tc>
        <w:tc>
          <w:tcPr>
            <w:tcW w:w="6283" w:type="dxa"/>
          </w:tcPr>
          <w:p w:rsidR="00F76B9E" w:rsidRDefault="00F76B9E" w:rsidP="00160F54">
            <w:pPr>
              <w:rPr>
                <w:rtl/>
              </w:rPr>
            </w:pPr>
            <w:r>
              <w:rPr>
                <w:rFonts w:hint="cs"/>
                <w:rtl/>
              </w:rPr>
              <w:t>אולי דומה הכריז עליו הרבה לפני מותו שהוא חשוב והוא הולך למות</w:t>
            </w:r>
            <w:r w:rsidRPr="006E0EF6">
              <w:rPr>
                <w:rFonts w:hint="cs"/>
                <w:highlight w:val="magenta"/>
                <w:rtl/>
              </w:rPr>
              <w:t>.</w:t>
            </w:r>
            <w:r w:rsidR="006E0EF6" w:rsidRPr="006E0EF6">
              <w:rPr>
                <w:rFonts w:hint="cs"/>
                <w:highlight w:val="magenta"/>
                <w:rtl/>
              </w:rPr>
              <w:t xml:space="preserve"> </w:t>
            </w:r>
            <w:r w:rsidR="006E0EF6" w:rsidRPr="006E0EF6">
              <w:rPr>
                <w:rFonts w:hint="cs"/>
                <w:highlight w:val="magenta"/>
                <w:rtl/>
              </w:rPr>
              <w:t>כך שאין ראיה שהם יודעים.</w:t>
            </w:r>
          </w:p>
        </w:tc>
      </w:tr>
      <w:tr w:rsidR="00F76B9E" w:rsidTr="006E0EF6">
        <w:tc>
          <w:tcPr>
            <w:tcW w:w="3498" w:type="dxa"/>
          </w:tcPr>
          <w:p w:rsidR="00F76B9E" w:rsidRDefault="00F76B9E" w:rsidP="00FF738B">
            <w:pPr>
              <w:rPr>
                <w:rFonts w:hint="cs"/>
                <w:rtl/>
              </w:rPr>
            </w:pPr>
            <w:r w:rsidRPr="006E0EF6">
              <w:rPr>
                <w:rFonts w:hint="cs"/>
                <w:highlight w:val="lightGray"/>
                <w:rtl/>
              </w:rPr>
              <w:t>שמואל</w:t>
            </w:r>
            <w:r>
              <w:rPr>
                <w:rFonts w:hint="cs"/>
                <w:rtl/>
              </w:rPr>
              <w:t xml:space="preserve"> הקפיד על אדם שדיבר עליו לאחר מותו , ואותו אדם מת משמע שהם יודעים .</w:t>
            </w:r>
          </w:p>
        </w:tc>
        <w:tc>
          <w:tcPr>
            <w:tcW w:w="6283" w:type="dxa"/>
          </w:tcPr>
          <w:p w:rsidR="00F76B9E" w:rsidRDefault="00F76B9E" w:rsidP="00160F5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הגמרא דוחה שלא </w:t>
            </w:r>
            <w:r w:rsidRPr="006E0EF6">
              <w:rPr>
                <w:rFonts w:hint="cs"/>
                <w:highlight w:val="lightGray"/>
                <w:rtl/>
              </w:rPr>
              <w:t>שמואל</w:t>
            </w:r>
            <w:r>
              <w:rPr>
                <w:rFonts w:hint="cs"/>
                <w:rtl/>
              </w:rPr>
              <w:t xml:space="preserve"> הקפיד אלא ה' הקפיד עליו מכיוון </w:t>
            </w:r>
            <w:r w:rsidRPr="006E0EF6">
              <w:rPr>
                <w:rFonts w:hint="cs"/>
                <w:highlight w:val="lightGray"/>
                <w:rtl/>
              </w:rPr>
              <w:t>ששמואל</w:t>
            </w:r>
            <w:r>
              <w:rPr>
                <w:rFonts w:hint="cs"/>
                <w:rtl/>
              </w:rPr>
              <w:t xml:space="preserve"> היה תלמיד חכם, וה' מקפיד על מי שמבזה תלמיד חכם</w:t>
            </w:r>
            <w:r w:rsidRPr="006E0EF6">
              <w:rPr>
                <w:rFonts w:hint="cs"/>
                <w:highlight w:val="magenta"/>
                <w:rtl/>
              </w:rPr>
              <w:t xml:space="preserve">. </w:t>
            </w:r>
            <w:r w:rsidR="006E0EF6" w:rsidRPr="006E0EF6">
              <w:rPr>
                <w:rFonts w:hint="cs"/>
                <w:highlight w:val="magenta"/>
                <w:rtl/>
              </w:rPr>
              <w:t>כך שאין ראיה שהם יודעים.</w:t>
            </w:r>
          </w:p>
        </w:tc>
      </w:tr>
    </w:tbl>
    <w:p w:rsidR="00BB2CD0" w:rsidRDefault="00BB2CD0" w:rsidP="00160F54"/>
    <w:sectPr w:rsidR="00BB2CD0" w:rsidSect="00C61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20"/>
    <w:rsid w:val="00160F54"/>
    <w:rsid w:val="001A777B"/>
    <w:rsid w:val="003C0385"/>
    <w:rsid w:val="006E0EF6"/>
    <w:rsid w:val="00866F20"/>
    <w:rsid w:val="008B5240"/>
    <w:rsid w:val="00BB2CD0"/>
    <w:rsid w:val="00C615BF"/>
    <w:rsid w:val="00CE5FE9"/>
    <w:rsid w:val="00F76B9E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2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F2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2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F2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2012-08-18T23:54:00Z</dcterms:created>
  <dcterms:modified xsi:type="dcterms:W3CDTF">2012-08-18T23:54:00Z</dcterms:modified>
</cp:coreProperties>
</file>