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CD671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jc w:val="left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8A06C9">
        <w:rPr>
          <w:rFonts w:ascii="Arial" w:hAnsi="Arial" w:cs="Arial"/>
          <w:sz w:val="16"/>
          <w:szCs w:val="20"/>
          <w:rtl/>
        </w:rPr>
        <w:t xml:space="preserve">תלמוד בבלי מסכת ברכות דף לא עמוד ב </w:t>
      </w:r>
    </w:p>
    <w:p w14:paraId="3E4B7907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jc w:val="left"/>
        <w:rPr>
          <w:rFonts w:ascii="Arial" w:hAnsi="Arial" w:cs="Arial"/>
          <w:sz w:val="16"/>
          <w:szCs w:val="16"/>
        </w:rPr>
      </w:pPr>
      <w:r w:rsidRPr="008A06C9">
        <w:rPr>
          <w:rFonts w:ascii="Arial" w:hAnsi="Arial" w:cs="Arial"/>
          <w:sz w:val="16"/>
          <w:szCs w:val="20"/>
          <w:rtl/>
        </w:rPr>
        <w:t xml:space="preserve">כל היושב בתענית בשבת - קורעין לו גזר דינו של שבעים שנה, ואף על פי כן חוזרין ונפרעין ממנו דין עונג שבת. מאי תקנתיה? אמר רב נחמן בר יצחק: ליתיב תעניתא לתעניתא. </w:t>
      </w:r>
    </w:p>
    <w:p w14:paraId="706EE26C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jc w:val="left"/>
        <w:rPr>
          <w:rFonts w:ascii="Arial" w:hAnsi="Arial" w:cs="Arial"/>
          <w:sz w:val="16"/>
          <w:szCs w:val="16"/>
        </w:rPr>
      </w:pPr>
      <w:r w:rsidRPr="008A06C9">
        <w:rPr>
          <w:rFonts w:ascii="Arial" w:hAnsi="Arial" w:cs="Arial"/>
          <w:sz w:val="16"/>
          <w:szCs w:val="20"/>
          <w:rtl/>
        </w:rPr>
        <w:t xml:space="preserve">תלמוד בבלי מסכת תענית דף יב עמוד ב </w:t>
      </w:r>
    </w:p>
    <w:p w14:paraId="68F1441D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jc w:val="left"/>
        <w:rPr>
          <w:rFonts w:ascii="Arial" w:hAnsi="Arial" w:cs="Arial" w:hint="cs"/>
          <w:sz w:val="16"/>
          <w:szCs w:val="20"/>
          <w:rtl/>
        </w:rPr>
      </w:pPr>
      <w:r w:rsidRPr="008A06C9">
        <w:rPr>
          <w:rFonts w:ascii="Arial" w:hAnsi="Arial" w:cs="Arial"/>
          <w:sz w:val="16"/>
          <w:szCs w:val="20"/>
          <w:rtl/>
        </w:rPr>
        <w:t>רבה בר מחסיא אמר רב חמא בר גוריא אמר רב: יפה תענית לחלום כאש לנעורת.</w:t>
      </w:r>
      <w:r w:rsidRPr="008A06C9">
        <w:rPr>
          <w:rFonts w:ascii="Arial" w:hAnsi="Arial" w:cs="Arial" w:hint="cs"/>
          <w:sz w:val="16"/>
          <w:szCs w:val="20"/>
          <w:rtl/>
        </w:rPr>
        <w:t xml:space="preserve"> [</w:t>
      </w:r>
      <w:r w:rsidRPr="008A06C9">
        <w:rPr>
          <w:rFonts w:ascii="Arial" w:hAnsi="Arial" w:cs="Arial"/>
          <w:sz w:val="16"/>
          <w:szCs w:val="20"/>
          <w:rtl/>
        </w:rPr>
        <w:t>ו</w:t>
      </w:r>
      <w:r w:rsidRPr="008A06C9">
        <w:rPr>
          <w:rFonts w:ascii="Arial" w:hAnsi="Arial" w:cs="Arial" w:hint="cs"/>
          <w:sz w:val="16"/>
          <w:szCs w:val="20"/>
          <w:rtl/>
        </w:rPr>
        <w:t>]</w:t>
      </w:r>
      <w:r w:rsidRPr="008A06C9">
        <w:rPr>
          <w:rFonts w:ascii="Arial" w:hAnsi="Arial" w:cs="Arial"/>
          <w:sz w:val="16"/>
          <w:szCs w:val="20"/>
          <w:rtl/>
        </w:rPr>
        <w:t>אמר</w:t>
      </w:r>
      <w:r w:rsidRPr="008A06C9">
        <w:rPr>
          <w:rFonts w:ascii="Arial" w:hAnsi="Arial" w:cs="Arial" w:hint="cs"/>
          <w:sz w:val="16"/>
          <w:szCs w:val="20"/>
          <w:rtl/>
        </w:rPr>
        <w:t xml:space="preserve"> </w:t>
      </w:r>
      <w:r w:rsidRPr="008A06C9">
        <w:rPr>
          <w:rFonts w:ascii="Arial" w:hAnsi="Arial" w:cs="Arial"/>
          <w:sz w:val="16"/>
          <w:szCs w:val="20"/>
          <w:rtl/>
        </w:rPr>
        <w:t xml:space="preserve">רב חסדא: ובו ביום. ואמר רב יוסף: ואפילו בשבת. מאי תקנתיה? - ליתיב תעניתא לתעניתא. </w:t>
      </w:r>
    </w:p>
    <w:p w14:paraId="0ACF088C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jc w:val="left"/>
        <w:rPr>
          <w:rFonts w:ascii="Arial" w:hAnsi="Arial" w:cs="Arial" w:hint="cs"/>
          <w:sz w:val="16"/>
          <w:szCs w:val="20"/>
          <w:rtl/>
        </w:rPr>
      </w:pPr>
    </w:p>
    <w:p w14:paraId="43878793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jc w:val="left"/>
        <w:rPr>
          <w:rFonts w:hint="cs"/>
          <w:sz w:val="26"/>
          <w:szCs w:val="26"/>
          <w:rtl/>
        </w:rPr>
      </w:pPr>
      <w:r w:rsidRPr="008A06C9">
        <w:rPr>
          <w:rFonts w:hint="cs"/>
          <w:sz w:val="26"/>
          <w:szCs w:val="26"/>
          <w:rtl/>
        </w:rPr>
        <w:t>המשפט "</w:t>
      </w:r>
      <w:r w:rsidRPr="008A06C9">
        <w:rPr>
          <w:rFonts w:hint="cs"/>
          <w:b/>
          <w:bCs/>
          <w:sz w:val="26"/>
          <w:szCs w:val="26"/>
          <w:rtl/>
        </w:rPr>
        <w:t>ליתיב</w:t>
      </w:r>
      <w:r w:rsidRPr="008A06C9">
        <w:rPr>
          <w:rFonts w:hint="cs"/>
          <w:sz w:val="26"/>
          <w:szCs w:val="26"/>
          <w:rtl/>
        </w:rPr>
        <w:t xml:space="preserve"> תעניתא לתעניתא"</w:t>
      </w:r>
      <w:r w:rsidRPr="008A06C9">
        <w:rPr>
          <w:rStyle w:val="a5"/>
          <w:sz w:val="26"/>
          <w:rtl/>
        </w:rPr>
        <w:footnoteReference w:id="1"/>
      </w:r>
      <w:r w:rsidRPr="008A06C9">
        <w:rPr>
          <w:rFonts w:hint="cs"/>
          <w:sz w:val="26"/>
          <w:szCs w:val="26"/>
          <w:rtl/>
        </w:rPr>
        <w:t xml:space="preserve"> מופיע בסוף סוגיית</w:t>
      </w:r>
      <w:r w:rsidRPr="008A06C9">
        <w:rPr>
          <w:sz w:val="26"/>
          <w:szCs w:val="26"/>
          <w:rtl/>
        </w:rPr>
        <w:t xml:space="preserve"> תענית ב</w:t>
      </w:r>
      <w:r w:rsidRPr="008A06C9">
        <w:rPr>
          <w:rFonts w:hint="cs"/>
          <w:sz w:val="26"/>
          <w:szCs w:val="26"/>
          <w:rtl/>
        </w:rPr>
        <w:t xml:space="preserve">יום </w:t>
      </w:r>
      <w:r w:rsidRPr="008A06C9">
        <w:rPr>
          <w:sz w:val="26"/>
          <w:szCs w:val="26"/>
          <w:rtl/>
        </w:rPr>
        <w:t>שבת</w:t>
      </w:r>
      <w:r w:rsidRPr="008A06C9">
        <w:rPr>
          <w:rFonts w:hint="cs"/>
          <w:sz w:val="26"/>
          <w:szCs w:val="26"/>
          <w:rtl/>
        </w:rPr>
        <w:t>, ומשמעותו, בניסוחו של ה</w:t>
      </w:r>
      <w:r w:rsidRPr="008A06C9">
        <w:rPr>
          <w:sz w:val="26"/>
          <w:szCs w:val="26"/>
          <w:rtl/>
        </w:rPr>
        <w:t>רמב"ם</w:t>
      </w:r>
      <w:r w:rsidRPr="008A06C9">
        <w:rPr>
          <w:rStyle w:val="a5"/>
          <w:sz w:val="26"/>
          <w:rtl/>
        </w:rPr>
        <w:footnoteReference w:id="2"/>
      </w:r>
      <w:r w:rsidRPr="008A06C9">
        <w:rPr>
          <w:rFonts w:hint="cs"/>
          <w:sz w:val="26"/>
          <w:szCs w:val="26"/>
          <w:rtl/>
        </w:rPr>
        <w:t xml:space="preserve">: </w:t>
      </w:r>
    </w:p>
    <w:p w14:paraId="4168EC64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ind w:left="1246"/>
        <w:jc w:val="left"/>
        <w:rPr>
          <w:sz w:val="26"/>
          <w:szCs w:val="26"/>
        </w:rPr>
      </w:pPr>
      <w:r w:rsidRPr="008A06C9">
        <w:rPr>
          <w:rFonts w:hint="cs"/>
          <w:sz w:val="26"/>
          <w:szCs w:val="26"/>
          <w:rtl/>
        </w:rPr>
        <w:t>"</w:t>
      </w:r>
      <w:r w:rsidRPr="008A06C9">
        <w:rPr>
          <w:sz w:val="26"/>
          <w:szCs w:val="26"/>
          <w:rtl/>
        </w:rPr>
        <w:t>הרואה חלום רע צריך להתענות למחר, כדי שישוב ויעור במעשיו ויחפש בהן ויחזור בתשובה, ומתענה ואפילו בשבת</w:t>
      </w:r>
      <w:r w:rsidRPr="008A06C9">
        <w:rPr>
          <w:rFonts w:hint="cs"/>
          <w:sz w:val="26"/>
          <w:szCs w:val="26"/>
          <w:rtl/>
        </w:rPr>
        <w:t xml:space="preserve">... </w:t>
      </w:r>
      <w:r w:rsidRPr="008A06C9">
        <w:rPr>
          <w:sz w:val="26"/>
          <w:szCs w:val="26"/>
          <w:rtl/>
        </w:rPr>
        <w:t>והמתענה בשבת</w:t>
      </w:r>
      <w:r w:rsidRPr="008A06C9">
        <w:rPr>
          <w:rFonts w:hint="cs"/>
          <w:sz w:val="26"/>
          <w:szCs w:val="26"/>
          <w:rtl/>
        </w:rPr>
        <w:t>,</w:t>
      </w:r>
      <w:r w:rsidRPr="008A06C9">
        <w:rPr>
          <w:sz w:val="26"/>
          <w:szCs w:val="26"/>
          <w:rtl/>
        </w:rPr>
        <w:t xml:space="preserve"> </w:t>
      </w:r>
      <w:r w:rsidRPr="008A06C9">
        <w:rPr>
          <w:b/>
          <w:bCs/>
          <w:sz w:val="26"/>
          <w:szCs w:val="26"/>
          <w:rtl/>
        </w:rPr>
        <w:t>מתענה יום אחר</w:t>
      </w:r>
      <w:r w:rsidRPr="008A06C9">
        <w:rPr>
          <w:sz w:val="26"/>
          <w:szCs w:val="26"/>
          <w:rtl/>
        </w:rPr>
        <w:t xml:space="preserve"> מפני שביטל עונג שבת</w:t>
      </w:r>
      <w:r w:rsidRPr="008A06C9">
        <w:rPr>
          <w:rFonts w:hint="cs"/>
          <w:sz w:val="26"/>
          <w:szCs w:val="26"/>
          <w:rtl/>
        </w:rPr>
        <w:t>"</w:t>
      </w:r>
      <w:r w:rsidRPr="008A06C9">
        <w:rPr>
          <w:sz w:val="26"/>
          <w:szCs w:val="26"/>
          <w:rtl/>
        </w:rPr>
        <w:t xml:space="preserve">.  </w:t>
      </w:r>
    </w:p>
    <w:p w14:paraId="714197EF" w14:textId="77777777" w:rsidR="008A06C9" w:rsidRPr="008A06C9" w:rsidRDefault="008A06C9" w:rsidP="008A06C9">
      <w:pPr>
        <w:spacing w:after="120"/>
        <w:rPr>
          <w:rFonts w:hint="cs"/>
          <w:sz w:val="26"/>
          <w:szCs w:val="26"/>
          <w:rtl/>
        </w:rPr>
      </w:pPr>
      <w:r w:rsidRPr="008A06C9">
        <w:rPr>
          <w:rFonts w:hint="cs"/>
          <w:sz w:val="26"/>
          <w:szCs w:val="26"/>
          <w:rtl/>
        </w:rPr>
        <w:t>השאלה היא מהי משמעותו המדוייקת של ביטוי זה. ישנן שלוש אפשרויות לנתח את שורשו של הפועל "ליתיב" (שזמנו: "עתיד", וגופו הדקדוקי: "נסתר")</w:t>
      </w:r>
      <w:r w:rsidRPr="008A06C9">
        <w:rPr>
          <w:rStyle w:val="a5"/>
          <w:sz w:val="26"/>
          <w:rtl/>
        </w:rPr>
        <w:footnoteReference w:id="3"/>
      </w:r>
      <w:r w:rsidRPr="008A06C9">
        <w:rPr>
          <w:rFonts w:hint="cs"/>
          <w:sz w:val="26"/>
          <w:szCs w:val="26"/>
          <w:rtl/>
        </w:rPr>
        <w:t>:</w:t>
      </w:r>
    </w:p>
    <w:p w14:paraId="7C6EA355" w14:textId="77777777" w:rsidR="008A06C9" w:rsidRPr="008A06C9" w:rsidRDefault="008A06C9" w:rsidP="008A06C9">
      <w:pPr>
        <w:spacing w:after="120"/>
        <w:rPr>
          <w:rFonts w:hint="cs"/>
          <w:sz w:val="26"/>
          <w:szCs w:val="26"/>
          <w:rtl/>
        </w:rPr>
      </w:pPr>
      <w:r w:rsidRPr="008A06C9">
        <w:rPr>
          <w:rFonts w:hint="cs"/>
          <w:sz w:val="26"/>
          <w:szCs w:val="26"/>
          <w:rtl/>
        </w:rPr>
        <w:t>1. ית"ב (=יש"ב העברי), בבנין קל, כגון:</w:t>
      </w:r>
    </w:p>
    <w:p w14:paraId="3B7CE94B" w14:textId="77777777" w:rsidR="008A06C9" w:rsidRPr="008A06C9" w:rsidRDefault="008A06C9" w:rsidP="008A06C9">
      <w:pPr>
        <w:spacing w:after="120"/>
        <w:ind w:left="1246"/>
        <w:rPr>
          <w:rFonts w:hint="cs"/>
          <w:sz w:val="26"/>
          <w:szCs w:val="26"/>
          <w:rtl/>
        </w:rPr>
      </w:pPr>
      <w:r w:rsidRPr="008A06C9">
        <w:rPr>
          <w:rFonts w:hint="cs"/>
          <w:sz w:val="26"/>
          <w:szCs w:val="26"/>
          <w:rtl/>
        </w:rPr>
        <w:t>"...</w:t>
      </w:r>
      <w:r w:rsidRPr="008A06C9">
        <w:rPr>
          <w:sz w:val="26"/>
          <w:szCs w:val="26"/>
          <w:rtl/>
        </w:rPr>
        <w:t xml:space="preserve">והוה </w:t>
      </w:r>
      <w:r w:rsidRPr="008A06C9">
        <w:rPr>
          <w:b/>
          <w:bCs/>
          <w:sz w:val="26"/>
          <w:szCs w:val="26"/>
          <w:rtl/>
        </w:rPr>
        <w:t>יתיב</w:t>
      </w:r>
      <w:r w:rsidRPr="008A06C9">
        <w:rPr>
          <w:sz w:val="26"/>
          <w:szCs w:val="26"/>
          <w:rtl/>
        </w:rPr>
        <w:t xml:space="preserve"> על גבי קרקע. אמרו ליה: </w:t>
      </w:r>
      <w:r w:rsidRPr="008A06C9">
        <w:rPr>
          <w:b/>
          <w:bCs/>
          <w:sz w:val="26"/>
          <w:szCs w:val="26"/>
          <w:rtl/>
        </w:rPr>
        <w:t>ליתיב</w:t>
      </w:r>
      <w:r w:rsidRPr="008A06C9">
        <w:rPr>
          <w:sz w:val="26"/>
          <w:szCs w:val="26"/>
          <w:rtl/>
        </w:rPr>
        <w:t xml:space="preserve"> מר אכרים וכסתות!</w:t>
      </w:r>
      <w:r w:rsidRPr="008A06C9">
        <w:rPr>
          <w:rFonts w:hint="cs"/>
          <w:sz w:val="26"/>
          <w:szCs w:val="26"/>
          <w:rtl/>
        </w:rPr>
        <w:t>" (</w:t>
      </w:r>
      <w:r w:rsidRPr="008A06C9">
        <w:rPr>
          <w:sz w:val="26"/>
          <w:szCs w:val="26"/>
          <w:rtl/>
        </w:rPr>
        <w:t>בבלי מועד קטן טז</w:t>
      </w:r>
      <w:r w:rsidRPr="008A06C9">
        <w:rPr>
          <w:rFonts w:hint="cs"/>
          <w:sz w:val="26"/>
          <w:szCs w:val="26"/>
          <w:rtl/>
        </w:rPr>
        <w:t xml:space="preserve">, </w:t>
      </w:r>
      <w:r w:rsidRPr="008A06C9">
        <w:rPr>
          <w:sz w:val="26"/>
          <w:szCs w:val="26"/>
          <w:rtl/>
        </w:rPr>
        <w:t>ב</w:t>
      </w:r>
      <w:r w:rsidRPr="008A06C9">
        <w:rPr>
          <w:rFonts w:hint="cs"/>
          <w:sz w:val="26"/>
          <w:szCs w:val="26"/>
          <w:rtl/>
        </w:rPr>
        <w:t>)</w:t>
      </w:r>
    </w:p>
    <w:p w14:paraId="420EAE00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ind w:left="1246"/>
        <w:jc w:val="left"/>
        <w:rPr>
          <w:rFonts w:hint="cs"/>
          <w:sz w:val="20"/>
          <w:szCs w:val="20"/>
          <w:rtl/>
        </w:rPr>
      </w:pPr>
      <w:r w:rsidRPr="008A06C9">
        <w:rPr>
          <w:rFonts w:hint="cs"/>
          <w:sz w:val="20"/>
          <w:szCs w:val="20"/>
          <w:rtl/>
        </w:rPr>
        <w:t>ע"ע: דיקא נמי עמ' 84 - 86.</w:t>
      </w:r>
    </w:p>
    <w:p w14:paraId="483601FA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jc w:val="left"/>
        <w:rPr>
          <w:rFonts w:hint="cs"/>
          <w:sz w:val="26"/>
          <w:szCs w:val="26"/>
          <w:rtl/>
        </w:rPr>
      </w:pPr>
      <w:r w:rsidRPr="008A06C9">
        <w:rPr>
          <w:rFonts w:hint="cs"/>
          <w:sz w:val="26"/>
          <w:szCs w:val="26"/>
          <w:rtl/>
        </w:rPr>
        <w:t>2. שורש יה"ב/נת"ב (=נת"ן העברי), בבנין קל, כגון:</w:t>
      </w:r>
    </w:p>
    <w:p w14:paraId="5AF6B4B4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ind w:left="1246"/>
        <w:jc w:val="left"/>
        <w:rPr>
          <w:rFonts w:hint="cs"/>
          <w:sz w:val="26"/>
          <w:szCs w:val="26"/>
          <w:rtl/>
        </w:rPr>
      </w:pPr>
      <w:r w:rsidRPr="008A06C9">
        <w:rPr>
          <w:rFonts w:hint="cs"/>
          <w:sz w:val="26"/>
          <w:szCs w:val="26"/>
          <w:rtl/>
        </w:rPr>
        <w:lastRenderedPageBreak/>
        <w:t>"</w:t>
      </w:r>
      <w:r w:rsidRPr="008A06C9">
        <w:rPr>
          <w:sz w:val="26"/>
          <w:szCs w:val="26"/>
          <w:rtl/>
        </w:rPr>
        <w:t>כל ד</w:t>
      </w:r>
      <w:r w:rsidRPr="008A06C9">
        <w:rPr>
          <w:b/>
          <w:bCs/>
          <w:sz w:val="26"/>
          <w:szCs w:val="26"/>
          <w:rtl/>
        </w:rPr>
        <w:t>יהיב</w:t>
      </w:r>
      <w:r w:rsidRPr="008A06C9">
        <w:rPr>
          <w:sz w:val="26"/>
          <w:szCs w:val="26"/>
          <w:rtl/>
        </w:rPr>
        <w:t xml:space="preserve"> ליה - ממיטב </w:t>
      </w:r>
      <w:r w:rsidRPr="008A06C9">
        <w:rPr>
          <w:b/>
          <w:bCs/>
          <w:sz w:val="26"/>
          <w:szCs w:val="26"/>
          <w:rtl/>
        </w:rPr>
        <w:t>ליתיב</w:t>
      </w:r>
      <w:r w:rsidRPr="008A06C9">
        <w:rPr>
          <w:sz w:val="26"/>
          <w:szCs w:val="26"/>
          <w:rtl/>
        </w:rPr>
        <w:t xml:space="preserve"> ליה</w:t>
      </w:r>
      <w:r w:rsidRPr="008A06C9">
        <w:rPr>
          <w:rFonts w:hint="cs"/>
          <w:sz w:val="26"/>
          <w:szCs w:val="26"/>
          <w:rtl/>
        </w:rPr>
        <w:t>" (</w:t>
      </w:r>
      <w:r w:rsidRPr="008A06C9">
        <w:rPr>
          <w:sz w:val="26"/>
          <w:szCs w:val="26"/>
          <w:rtl/>
        </w:rPr>
        <w:t>בבלי בבא קמא ז</w:t>
      </w:r>
      <w:r w:rsidRPr="008A06C9">
        <w:rPr>
          <w:rFonts w:hint="cs"/>
          <w:sz w:val="26"/>
          <w:szCs w:val="26"/>
          <w:rtl/>
        </w:rPr>
        <w:t xml:space="preserve">, </w:t>
      </w:r>
      <w:r w:rsidRPr="008A06C9">
        <w:rPr>
          <w:sz w:val="26"/>
          <w:szCs w:val="26"/>
          <w:rtl/>
        </w:rPr>
        <w:t>ב</w:t>
      </w:r>
      <w:r w:rsidRPr="008A06C9">
        <w:rPr>
          <w:rFonts w:hint="cs"/>
          <w:sz w:val="26"/>
          <w:szCs w:val="26"/>
          <w:rtl/>
        </w:rPr>
        <w:t>)</w:t>
      </w:r>
    </w:p>
    <w:p w14:paraId="457F31E9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ind w:left="1246"/>
        <w:jc w:val="left"/>
        <w:rPr>
          <w:rFonts w:hint="cs"/>
          <w:sz w:val="20"/>
          <w:szCs w:val="20"/>
          <w:rtl/>
        </w:rPr>
      </w:pPr>
      <w:r w:rsidRPr="008A06C9">
        <w:rPr>
          <w:rFonts w:hint="cs"/>
          <w:sz w:val="20"/>
          <w:szCs w:val="20"/>
          <w:rtl/>
        </w:rPr>
        <w:t>ע"ע: דיקא נמי עמ' 81 - 83.</w:t>
      </w:r>
    </w:p>
    <w:p w14:paraId="3BAA8D4A" w14:textId="77777777" w:rsidR="008A06C9" w:rsidRPr="008A06C9" w:rsidRDefault="008A06C9" w:rsidP="008A06C9">
      <w:pPr>
        <w:spacing w:after="120"/>
        <w:rPr>
          <w:rFonts w:hint="cs"/>
          <w:sz w:val="26"/>
          <w:szCs w:val="26"/>
        </w:rPr>
      </w:pPr>
      <w:r w:rsidRPr="008A06C9">
        <w:rPr>
          <w:rFonts w:hint="cs"/>
          <w:sz w:val="26"/>
          <w:szCs w:val="26"/>
          <w:rtl/>
        </w:rPr>
        <w:t xml:space="preserve">3. שורש תו"ב (=שו"ב העברי), בבנין אפעֵל, כגון: </w:t>
      </w:r>
    </w:p>
    <w:p w14:paraId="18FB1AF7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ind w:left="1246"/>
        <w:jc w:val="left"/>
        <w:rPr>
          <w:rFonts w:hint="cs"/>
          <w:sz w:val="26"/>
          <w:szCs w:val="26"/>
          <w:rtl/>
        </w:rPr>
      </w:pPr>
      <w:r w:rsidRPr="008A06C9">
        <w:rPr>
          <w:rFonts w:hint="cs"/>
          <w:sz w:val="26"/>
          <w:szCs w:val="26"/>
          <w:rtl/>
        </w:rPr>
        <w:t>"</w:t>
      </w:r>
      <w:r w:rsidRPr="008A06C9">
        <w:rPr>
          <w:sz w:val="26"/>
          <w:szCs w:val="26"/>
          <w:rtl/>
        </w:rPr>
        <w:t xml:space="preserve">רב  שמן בר אבא מאי טעמא שביק מתניתין ומותיב מברייתא - </w:t>
      </w:r>
      <w:r w:rsidRPr="008A06C9">
        <w:rPr>
          <w:b/>
          <w:bCs/>
          <w:sz w:val="26"/>
          <w:szCs w:val="26"/>
          <w:rtl/>
        </w:rPr>
        <w:t>לותיב</w:t>
      </w:r>
      <w:r w:rsidRPr="008A06C9">
        <w:rPr>
          <w:sz w:val="26"/>
          <w:szCs w:val="26"/>
          <w:rtl/>
        </w:rPr>
        <w:t xml:space="preserve"> ממתניתין!</w:t>
      </w:r>
      <w:r w:rsidRPr="008A06C9">
        <w:rPr>
          <w:rFonts w:hint="cs"/>
          <w:sz w:val="26"/>
          <w:szCs w:val="26"/>
          <w:rtl/>
        </w:rPr>
        <w:t>" (</w:t>
      </w:r>
      <w:r w:rsidRPr="008A06C9">
        <w:rPr>
          <w:sz w:val="26"/>
          <w:szCs w:val="26"/>
          <w:rtl/>
        </w:rPr>
        <w:t>בבלי ראש השנה כח</w:t>
      </w:r>
      <w:r w:rsidRPr="008A06C9">
        <w:rPr>
          <w:rFonts w:hint="cs"/>
          <w:sz w:val="26"/>
          <w:szCs w:val="26"/>
          <w:rtl/>
        </w:rPr>
        <w:t xml:space="preserve">, </w:t>
      </w:r>
      <w:r w:rsidRPr="008A06C9">
        <w:rPr>
          <w:sz w:val="26"/>
          <w:szCs w:val="26"/>
          <w:rtl/>
        </w:rPr>
        <w:t>ב</w:t>
      </w:r>
      <w:r w:rsidRPr="008A06C9">
        <w:rPr>
          <w:rFonts w:hint="cs"/>
          <w:sz w:val="26"/>
          <w:szCs w:val="26"/>
          <w:rtl/>
        </w:rPr>
        <w:t>)</w:t>
      </w:r>
      <w:r w:rsidRPr="008A06C9">
        <w:rPr>
          <w:sz w:val="26"/>
          <w:szCs w:val="26"/>
          <w:rtl/>
        </w:rPr>
        <w:t xml:space="preserve"> </w:t>
      </w:r>
    </w:p>
    <w:p w14:paraId="7446295A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ind w:left="1246"/>
        <w:jc w:val="left"/>
        <w:rPr>
          <w:rFonts w:hint="cs"/>
          <w:sz w:val="20"/>
          <w:szCs w:val="20"/>
          <w:rtl/>
        </w:rPr>
      </w:pPr>
      <w:r w:rsidRPr="008A06C9">
        <w:rPr>
          <w:rFonts w:hint="cs"/>
          <w:sz w:val="20"/>
          <w:szCs w:val="20"/>
          <w:rtl/>
        </w:rPr>
        <w:t>ע"ע: דיקא נמי עמ' 87 - 88.</w:t>
      </w:r>
    </w:p>
    <w:p w14:paraId="42AD67AB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jc w:val="left"/>
        <w:rPr>
          <w:rFonts w:hint="cs"/>
          <w:sz w:val="26"/>
          <w:szCs w:val="26"/>
          <w:rtl/>
        </w:rPr>
      </w:pPr>
      <w:r w:rsidRPr="008A06C9">
        <w:rPr>
          <w:rFonts w:hint="cs"/>
          <w:sz w:val="26"/>
          <w:szCs w:val="26"/>
          <w:rtl/>
        </w:rPr>
        <w:t>האפשרות השלישית לכאורה איננה מתקבלת על הדעת, כי הצורה היתה צריכה להיות: "</w:t>
      </w:r>
      <w:r w:rsidRPr="008A06C9">
        <w:rPr>
          <w:rFonts w:hint="cs"/>
          <w:b/>
          <w:bCs/>
          <w:sz w:val="26"/>
          <w:szCs w:val="26"/>
          <w:rtl/>
        </w:rPr>
        <w:t>לותיב</w:t>
      </w:r>
      <w:r w:rsidRPr="008A06C9">
        <w:rPr>
          <w:rFonts w:hint="cs"/>
          <w:sz w:val="26"/>
          <w:szCs w:val="26"/>
          <w:rtl/>
        </w:rPr>
        <w:t>" או "</w:t>
      </w:r>
      <w:r w:rsidRPr="008A06C9">
        <w:rPr>
          <w:rFonts w:hint="cs"/>
          <w:b/>
          <w:bCs/>
          <w:sz w:val="26"/>
          <w:szCs w:val="26"/>
          <w:rtl/>
        </w:rPr>
        <w:t>ליתוב</w:t>
      </w:r>
      <w:r w:rsidRPr="008A06C9">
        <w:rPr>
          <w:rFonts w:hint="cs"/>
          <w:sz w:val="26"/>
          <w:szCs w:val="26"/>
          <w:rtl/>
        </w:rPr>
        <w:t xml:space="preserve">" (עיין דיקא נמי, שם; וכן בעמ' 197). </w:t>
      </w:r>
    </w:p>
    <w:p w14:paraId="116EDC46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jc w:val="left"/>
        <w:rPr>
          <w:rFonts w:hint="cs"/>
          <w:sz w:val="26"/>
          <w:szCs w:val="26"/>
          <w:rtl/>
        </w:rPr>
      </w:pPr>
      <w:r w:rsidRPr="008A06C9">
        <w:rPr>
          <w:rFonts w:hint="cs"/>
          <w:sz w:val="26"/>
          <w:szCs w:val="26"/>
          <w:rtl/>
        </w:rPr>
        <w:t>ברם, העובדה ש"אין לו חבר" איננה פוסלת לגמרי את האפשרות להסביר כך, וכשם שבעבר ובבינוני פועל יש שתי חלופות, תחילית צרויה או חלומה, כך גם בעתיד.</w:t>
      </w:r>
    </w:p>
    <w:p w14:paraId="6505120A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jc w:val="left"/>
        <w:rPr>
          <w:rFonts w:hint="cs"/>
          <w:sz w:val="26"/>
          <w:szCs w:val="26"/>
          <w:rtl/>
        </w:rPr>
      </w:pPr>
      <w:r w:rsidRPr="008A06C9">
        <w:rPr>
          <w:rFonts w:hint="cs"/>
          <w:sz w:val="26"/>
          <w:szCs w:val="26"/>
          <w:rtl/>
        </w:rPr>
        <w:t>האפשרות הראשונה מפתה מאוד, במיוחד לאור מטבע הלשון המצוי במקומות אחרים: "</w:t>
      </w:r>
      <w:r w:rsidRPr="008A06C9">
        <w:rPr>
          <w:b/>
          <w:bCs/>
          <w:sz w:val="26"/>
          <w:szCs w:val="26"/>
          <w:rtl/>
        </w:rPr>
        <w:t>ליתיב</w:t>
      </w:r>
      <w:r w:rsidRPr="008A06C9">
        <w:rPr>
          <w:sz w:val="26"/>
          <w:szCs w:val="26"/>
          <w:rtl/>
        </w:rPr>
        <w:t xml:space="preserve"> </w:t>
      </w:r>
      <w:r w:rsidRPr="008A06C9">
        <w:rPr>
          <w:b/>
          <w:bCs/>
          <w:sz w:val="26"/>
          <w:szCs w:val="26"/>
          <w:rtl/>
        </w:rPr>
        <w:t>ב</w:t>
      </w:r>
      <w:r w:rsidRPr="008A06C9">
        <w:rPr>
          <w:sz w:val="26"/>
          <w:szCs w:val="26"/>
          <w:rtl/>
        </w:rPr>
        <w:t>תעניתא</w:t>
      </w:r>
      <w:r w:rsidRPr="008A06C9">
        <w:rPr>
          <w:rFonts w:hint="cs"/>
          <w:sz w:val="26"/>
          <w:szCs w:val="26"/>
          <w:rtl/>
        </w:rPr>
        <w:t>" (</w:t>
      </w:r>
      <w:r w:rsidRPr="008A06C9">
        <w:rPr>
          <w:sz w:val="26"/>
          <w:szCs w:val="26"/>
          <w:rtl/>
        </w:rPr>
        <w:t>בבלי שבת קט</w:t>
      </w:r>
      <w:r w:rsidRPr="008A06C9">
        <w:rPr>
          <w:rFonts w:hint="cs"/>
          <w:sz w:val="26"/>
          <w:szCs w:val="26"/>
          <w:rtl/>
        </w:rPr>
        <w:t xml:space="preserve">, </w:t>
      </w:r>
      <w:r w:rsidRPr="008A06C9">
        <w:rPr>
          <w:sz w:val="26"/>
          <w:szCs w:val="26"/>
          <w:rtl/>
        </w:rPr>
        <w:t>ב</w:t>
      </w:r>
      <w:r w:rsidRPr="008A06C9">
        <w:rPr>
          <w:rFonts w:hint="cs"/>
          <w:sz w:val="26"/>
          <w:szCs w:val="26"/>
          <w:rtl/>
        </w:rPr>
        <w:t>), "</w:t>
      </w:r>
      <w:r w:rsidRPr="008A06C9">
        <w:rPr>
          <w:sz w:val="26"/>
          <w:szCs w:val="26"/>
          <w:rtl/>
        </w:rPr>
        <w:t xml:space="preserve">בימי רבי זירא גזור שמדא, וגזור דלא </w:t>
      </w:r>
      <w:r w:rsidRPr="008A06C9">
        <w:rPr>
          <w:b/>
          <w:bCs/>
          <w:sz w:val="26"/>
          <w:szCs w:val="26"/>
          <w:rtl/>
        </w:rPr>
        <w:t>למיתב</w:t>
      </w:r>
      <w:r w:rsidRPr="008A06C9">
        <w:rPr>
          <w:sz w:val="26"/>
          <w:szCs w:val="26"/>
          <w:rtl/>
        </w:rPr>
        <w:t xml:space="preserve"> </w:t>
      </w:r>
      <w:r w:rsidRPr="008A06C9">
        <w:rPr>
          <w:b/>
          <w:bCs/>
          <w:sz w:val="26"/>
          <w:szCs w:val="26"/>
          <w:rtl/>
        </w:rPr>
        <w:t>ב</w:t>
      </w:r>
      <w:r w:rsidRPr="008A06C9">
        <w:rPr>
          <w:sz w:val="26"/>
          <w:szCs w:val="26"/>
          <w:rtl/>
        </w:rPr>
        <w:t>תעניתא</w:t>
      </w:r>
      <w:r w:rsidRPr="008A06C9">
        <w:rPr>
          <w:rFonts w:hint="cs"/>
          <w:sz w:val="26"/>
          <w:szCs w:val="26"/>
          <w:rtl/>
        </w:rPr>
        <w:t>" (</w:t>
      </w:r>
      <w:r w:rsidRPr="008A06C9">
        <w:rPr>
          <w:sz w:val="26"/>
          <w:szCs w:val="26"/>
          <w:rtl/>
        </w:rPr>
        <w:t>בבלי תענית ח</w:t>
      </w:r>
      <w:r w:rsidRPr="008A06C9">
        <w:rPr>
          <w:rFonts w:hint="cs"/>
          <w:sz w:val="26"/>
          <w:szCs w:val="26"/>
          <w:rtl/>
        </w:rPr>
        <w:t xml:space="preserve">, ב). וכך מתרגמים כל מהדורות התלמוד המבוארות וכן בעלי המילונים. </w:t>
      </w:r>
    </w:p>
    <w:p w14:paraId="0E91F4B5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jc w:val="left"/>
        <w:rPr>
          <w:rFonts w:hint="cs"/>
          <w:sz w:val="26"/>
          <w:szCs w:val="26"/>
          <w:rtl/>
        </w:rPr>
      </w:pPr>
      <w:r w:rsidRPr="008A06C9">
        <w:rPr>
          <w:rFonts w:hint="cs"/>
          <w:sz w:val="26"/>
          <w:szCs w:val="26"/>
          <w:rtl/>
        </w:rPr>
        <w:t>דא עקא, בכל המקומות שמטבע הלשון של "ישיבה בתענית" מופיע בארמית לא נמצא "תעניתא" ללא שתקדם לה אות היחס ב' (כנ"ל), או מספר התעניות: "</w:t>
      </w:r>
      <w:r w:rsidRPr="008A06C9">
        <w:rPr>
          <w:sz w:val="26"/>
          <w:szCs w:val="26"/>
          <w:rtl/>
        </w:rPr>
        <w:t>יתיב רב חיסדא ארבעין תעניתא</w:t>
      </w:r>
      <w:r w:rsidRPr="008A06C9">
        <w:rPr>
          <w:rFonts w:hint="cs"/>
          <w:sz w:val="26"/>
          <w:szCs w:val="26"/>
          <w:rtl/>
        </w:rPr>
        <w:t>"</w:t>
      </w:r>
      <w:r w:rsidRPr="008A06C9">
        <w:rPr>
          <w:rFonts w:hint="cs"/>
          <w:sz w:val="26"/>
          <w:szCs w:val="26"/>
        </w:rPr>
        <w:t xml:space="preserve"> </w:t>
      </w:r>
      <w:r w:rsidRPr="008A06C9">
        <w:rPr>
          <w:rFonts w:hint="cs"/>
          <w:sz w:val="26"/>
          <w:szCs w:val="26"/>
          <w:rtl/>
        </w:rPr>
        <w:t>(</w:t>
      </w:r>
      <w:r w:rsidRPr="008A06C9">
        <w:rPr>
          <w:sz w:val="26"/>
          <w:szCs w:val="26"/>
          <w:rtl/>
        </w:rPr>
        <w:t>בבא מציעא לג</w:t>
      </w:r>
      <w:r w:rsidRPr="008A06C9">
        <w:rPr>
          <w:rFonts w:hint="cs"/>
          <w:sz w:val="26"/>
          <w:szCs w:val="26"/>
          <w:rtl/>
        </w:rPr>
        <w:t xml:space="preserve">, </w:t>
      </w:r>
      <w:r w:rsidRPr="008A06C9">
        <w:rPr>
          <w:sz w:val="26"/>
          <w:szCs w:val="26"/>
          <w:rtl/>
        </w:rPr>
        <w:t>א</w:t>
      </w:r>
      <w:r w:rsidRPr="008A06C9">
        <w:rPr>
          <w:rFonts w:hint="cs"/>
          <w:sz w:val="26"/>
          <w:szCs w:val="26"/>
          <w:rtl/>
        </w:rPr>
        <w:t>), "</w:t>
      </w:r>
      <w:r w:rsidRPr="008A06C9">
        <w:rPr>
          <w:sz w:val="26"/>
          <w:szCs w:val="26"/>
          <w:rtl/>
        </w:rPr>
        <w:t>יתיב מאה  תעניתא  אחריני</w:t>
      </w:r>
      <w:r w:rsidRPr="008A06C9">
        <w:rPr>
          <w:rFonts w:hint="cs"/>
          <w:sz w:val="26"/>
          <w:szCs w:val="26"/>
          <w:rtl/>
        </w:rPr>
        <w:t xml:space="preserve">" (שם </w:t>
      </w:r>
      <w:r w:rsidRPr="008A06C9">
        <w:rPr>
          <w:sz w:val="26"/>
          <w:szCs w:val="26"/>
          <w:rtl/>
        </w:rPr>
        <w:t>פה</w:t>
      </w:r>
      <w:r w:rsidRPr="008A06C9">
        <w:rPr>
          <w:rFonts w:hint="cs"/>
          <w:sz w:val="26"/>
          <w:szCs w:val="26"/>
          <w:rtl/>
        </w:rPr>
        <w:t xml:space="preserve">, </w:t>
      </w:r>
      <w:r w:rsidRPr="008A06C9">
        <w:rPr>
          <w:sz w:val="26"/>
          <w:szCs w:val="26"/>
          <w:rtl/>
        </w:rPr>
        <w:t>א</w:t>
      </w:r>
      <w:r w:rsidRPr="008A06C9">
        <w:rPr>
          <w:rFonts w:hint="cs"/>
          <w:sz w:val="26"/>
          <w:szCs w:val="26"/>
          <w:rtl/>
        </w:rPr>
        <w:t>), "</w:t>
      </w:r>
      <w:r w:rsidRPr="008A06C9">
        <w:rPr>
          <w:sz w:val="26"/>
          <w:szCs w:val="26"/>
          <w:rtl/>
        </w:rPr>
        <w:t>יתיב רבי תלת</w:t>
      </w:r>
      <w:r w:rsidRPr="008A06C9">
        <w:rPr>
          <w:rFonts w:hint="cs"/>
          <w:sz w:val="26"/>
          <w:szCs w:val="26"/>
          <w:rtl/>
        </w:rPr>
        <w:t xml:space="preserve"> </w:t>
      </w:r>
      <w:r w:rsidRPr="008A06C9">
        <w:rPr>
          <w:sz w:val="26"/>
          <w:szCs w:val="26"/>
          <w:rtl/>
        </w:rPr>
        <w:t>תעניתא</w:t>
      </w:r>
      <w:r w:rsidRPr="008A06C9">
        <w:rPr>
          <w:rFonts w:hint="cs"/>
          <w:sz w:val="26"/>
          <w:szCs w:val="26"/>
          <w:rtl/>
        </w:rPr>
        <w:t>" (</w:t>
      </w:r>
      <w:r w:rsidRPr="008A06C9">
        <w:rPr>
          <w:sz w:val="26"/>
          <w:szCs w:val="26"/>
          <w:rtl/>
        </w:rPr>
        <w:t>חולין פז</w:t>
      </w:r>
      <w:r w:rsidRPr="008A06C9">
        <w:rPr>
          <w:rFonts w:hint="cs"/>
          <w:sz w:val="26"/>
          <w:szCs w:val="26"/>
          <w:rtl/>
        </w:rPr>
        <w:t xml:space="preserve">, </w:t>
      </w:r>
      <w:r w:rsidRPr="008A06C9">
        <w:rPr>
          <w:sz w:val="26"/>
          <w:szCs w:val="26"/>
          <w:rtl/>
        </w:rPr>
        <w:t>א</w:t>
      </w:r>
      <w:r w:rsidRPr="008A06C9">
        <w:rPr>
          <w:rFonts w:hint="cs"/>
          <w:sz w:val="26"/>
          <w:szCs w:val="26"/>
          <w:rtl/>
        </w:rPr>
        <w:t>).</w:t>
      </w:r>
    </w:p>
    <w:p w14:paraId="10658CE3" w14:textId="77777777" w:rsidR="008A06C9" w:rsidRPr="008A06C9" w:rsidRDefault="008A06C9" w:rsidP="008A06C9">
      <w:pPr>
        <w:tabs>
          <w:tab w:val="clear" w:pos="4109"/>
          <w:tab w:val="clear" w:pos="6072"/>
        </w:tabs>
        <w:adjustRightInd w:val="0"/>
        <w:spacing w:after="120"/>
        <w:jc w:val="left"/>
        <w:rPr>
          <w:rFonts w:hint="cs"/>
          <w:sz w:val="26"/>
          <w:szCs w:val="26"/>
          <w:rtl/>
        </w:rPr>
      </w:pPr>
      <w:r w:rsidRPr="008A06C9">
        <w:rPr>
          <w:rFonts w:hint="cs"/>
          <w:sz w:val="26"/>
          <w:szCs w:val="26"/>
          <w:rtl/>
        </w:rPr>
        <w:t xml:space="preserve">בנוסף, לא מובן כיצד ליישב את כפל הלשון "ליתיב תעניתא </w:t>
      </w:r>
      <w:r w:rsidRPr="008A06C9">
        <w:rPr>
          <w:rFonts w:hint="cs"/>
          <w:b/>
          <w:bCs/>
          <w:sz w:val="26"/>
          <w:szCs w:val="26"/>
          <w:rtl/>
        </w:rPr>
        <w:t>לתעניתא</w:t>
      </w:r>
      <w:r w:rsidRPr="008A06C9">
        <w:rPr>
          <w:rFonts w:hint="cs"/>
          <w:sz w:val="26"/>
          <w:szCs w:val="26"/>
          <w:rtl/>
        </w:rPr>
        <w:t>".</w:t>
      </w:r>
    </w:p>
    <w:p w14:paraId="22DA9EBB" w14:textId="77777777" w:rsidR="00E57D75" w:rsidRPr="008A06C9" w:rsidRDefault="008A06C9" w:rsidP="008A06C9">
      <w:r w:rsidRPr="008A06C9">
        <w:rPr>
          <w:rFonts w:hint="cs"/>
          <w:sz w:val="26"/>
          <w:szCs w:val="26"/>
          <w:rtl/>
        </w:rPr>
        <w:t>מבחינות אלה עדיפים הפירושים האחרונים: מי ש</w:t>
      </w:r>
      <w:r w:rsidRPr="008A06C9">
        <w:rPr>
          <w:sz w:val="26"/>
          <w:szCs w:val="26"/>
          <w:rtl/>
        </w:rPr>
        <w:t>התענה בשבת</w:t>
      </w:r>
      <w:r w:rsidRPr="008A06C9">
        <w:rPr>
          <w:rFonts w:hint="cs"/>
          <w:sz w:val="26"/>
          <w:szCs w:val="26"/>
          <w:rtl/>
        </w:rPr>
        <w:t>,</w:t>
      </w:r>
      <w:r w:rsidRPr="008A06C9">
        <w:rPr>
          <w:sz w:val="26"/>
          <w:szCs w:val="26"/>
          <w:rtl/>
        </w:rPr>
        <w:t xml:space="preserve"> </w:t>
      </w:r>
      <w:r w:rsidRPr="008A06C9">
        <w:rPr>
          <w:rFonts w:hint="cs"/>
          <w:sz w:val="26"/>
          <w:szCs w:val="26"/>
          <w:rtl/>
        </w:rPr>
        <w:t>עליו לתת או להשיב "</w:t>
      </w:r>
      <w:r w:rsidRPr="008A06C9">
        <w:rPr>
          <w:sz w:val="26"/>
          <w:szCs w:val="26"/>
          <w:rtl/>
        </w:rPr>
        <w:t>תענ</w:t>
      </w:r>
      <w:r w:rsidRPr="008A06C9">
        <w:rPr>
          <w:rFonts w:hint="cs"/>
          <w:sz w:val="26"/>
          <w:szCs w:val="26"/>
          <w:rtl/>
        </w:rPr>
        <w:t xml:space="preserve">ית לתענית", דהיינו </w:t>
      </w:r>
      <w:r w:rsidRPr="008A06C9">
        <w:rPr>
          <w:rFonts w:hint="cs"/>
          <w:b/>
          <w:bCs/>
          <w:sz w:val="26"/>
          <w:szCs w:val="26"/>
          <w:u w:val="single"/>
          <w:rtl/>
        </w:rPr>
        <w:t>בנוסף</w:t>
      </w:r>
      <w:r w:rsidRPr="008A06C9">
        <w:rPr>
          <w:rFonts w:hint="cs"/>
          <w:sz w:val="26"/>
          <w:szCs w:val="26"/>
          <w:rtl/>
        </w:rPr>
        <w:t xml:space="preserve"> לתענית בשבת, או </w:t>
      </w:r>
      <w:r w:rsidRPr="008A06C9">
        <w:rPr>
          <w:rFonts w:hint="cs"/>
          <w:b/>
          <w:bCs/>
          <w:sz w:val="26"/>
          <w:szCs w:val="26"/>
          <w:u w:val="single"/>
          <w:rtl/>
        </w:rPr>
        <w:t>במקום</w:t>
      </w:r>
      <w:r w:rsidRPr="008A06C9">
        <w:rPr>
          <w:rFonts w:hint="cs"/>
          <w:sz w:val="26"/>
          <w:szCs w:val="26"/>
          <w:rtl/>
        </w:rPr>
        <w:t xml:space="preserve"> התענית ש</w:t>
      </w:r>
      <w:r w:rsidRPr="008A06C9">
        <w:rPr>
          <w:sz w:val="26"/>
          <w:szCs w:val="26"/>
          <w:rtl/>
        </w:rPr>
        <w:t xml:space="preserve">התענה </w:t>
      </w:r>
      <w:r w:rsidRPr="008A06C9">
        <w:rPr>
          <w:rFonts w:hint="cs"/>
          <w:sz w:val="26"/>
          <w:szCs w:val="26"/>
          <w:rtl/>
        </w:rPr>
        <w:t xml:space="preserve">בשבת. (כפירוש זה רשמתי בין השיטין </w:t>
      </w:r>
      <w:r w:rsidRPr="008A06C9">
        <w:rPr>
          <w:rFonts w:hint="cs"/>
          <w:sz w:val="26"/>
          <w:szCs w:val="26"/>
          <w:rtl/>
        </w:rPr>
        <w:lastRenderedPageBreak/>
        <w:t>במסכת ברכות שלי שלמדתי בכיתה ט' מפי מו"ר הרב זוהר מיכאלי נר"ו, בעמח"ס צוהר לתיבה על כללי התלמוד).</w:t>
      </w:r>
    </w:p>
    <w:sectPr w:rsidR="00E57D75" w:rsidRPr="008A06C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06106" w14:textId="77777777" w:rsidR="00FF2152" w:rsidRDefault="00FF2152">
      <w:r>
        <w:separator/>
      </w:r>
    </w:p>
  </w:endnote>
  <w:endnote w:type="continuationSeparator" w:id="0">
    <w:p w14:paraId="185F69E1" w14:textId="77777777" w:rsidR="00FF2152" w:rsidRDefault="00FF2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6325A" w14:textId="77777777" w:rsidR="00FF2152" w:rsidRDefault="00FF2152">
      <w:r>
        <w:separator/>
      </w:r>
    </w:p>
  </w:footnote>
  <w:footnote w:type="continuationSeparator" w:id="0">
    <w:p w14:paraId="4F663296" w14:textId="77777777" w:rsidR="00FF2152" w:rsidRDefault="00FF2152">
      <w:r>
        <w:continuationSeparator/>
      </w:r>
    </w:p>
  </w:footnote>
  <w:footnote w:id="1">
    <w:p w14:paraId="27482FC3" w14:textId="77777777" w:rsidR="00A5150D" w:rsidRPr="00144263" w:rsidRDefault="00A5150D" w:rsidP="008A06C9">
      <w:pPr>
        <w:pStyle w:val="a3"/>
        <w:rPr>
          <w:rFonts w:hint="cs"/>
          <w:color w:val="FF0000"/>
          <w:sz w:val="22"/>
          <w:szCs w:val="22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 w:rsidRPr="00E176D5">
        <w:rPr>
          <w:rFonts w:hint="cs"/>
          <w:color w:val="FF0000"/>
          <w:sz w:val="22"/>
          <w:szCs w:val="22"/>
          <w:rtl/>
        </w:rPr>
        <w:t>המשפט מובא במסכת ברכות לא, ב בשם רב נחמן בר יצחק ובמסכת תענית יב, ב מובא בסתמא.</w:t>
      </w:r>
      <w:r>
        <w:rPr>
          <w:rFonts w:hint="cs"/>
          <w:color w:val="FF0000"/>
          <w:sz w:val="22"/>
          <w:szCs w:val="22"/>
          <w:rtl/>
        </w:rPr>
        <w:t xml:space="preserve"> ניסוח דומה מובא ב</w:t>
      </w:r>
      <w:r w:rsidRPr="00CE7A53">
        <w:rPr>
          <w:color w:val="FF0000"/>
          <w:sz w:val="22"/>
          <w:szCs w:val="22"/>
          <w:rtl/>
        </w:rPr>
        <w:t xml:space="preserve">זוהר </w:t>
      </w:r>
      <w:r>
        <w:rPr>
          <w:rFonts w:hint="cs"/>
          <w:color w:val="FF0000"/>
          <w:sz w:val="22"/>
          <w:szCs w:val="22"/>
          <w:rtl/>
        </w:rPr>
        <w:t>(</w:t>
      </w:r>
      <w:r w:rsidRPr="00CE7A53">
        <w:rPr>
          <w:color w:val="FF0000"/>
          <w:sz w:val="22"/>
          <w:szCs w:val="22"/>
          <w:rtl/>
        </w:rPr>
        <w:t>ויקהל</w:t>
      </w:r>
      <w:r w:rsidRPr="00CE7A53">
        <w:rPr>
          <w:rFonts w:hint="cs"/>
          <w:color w:val="FF0000"/>
          <w:sz w:val="22"/>
          <w:szCs w:val="22"/>
          <w:rtl/>
        </w:rPr>
        <w:t>,</w:t>
      </w:r>
      <w:r w:rsidRPr="00CE7A53">
        <w:rPr>
          <w:color w:val="FF0000"/>
          <w:sz w:val="22"/>
          <w:szCs w:val="22"/>
          <w:rtl/>
        </w:rPr>
        <w:t xml:space="preserve"> דף רז</w:t>
      </w:r>
      <w:r w:rsidRPr="00CE7A53">
        <w:rPr>
          <w:rFonts w:hint="cs"/>
          <w:color w:val="FF0000"/>
          <w:sz w:val="22"/>
          <w:szCs w:val="22"/>
          <w:rtl/>
        </w:rPr>
        <w:t xml:space="preserve">, </w:t>
      </w:r>
      <w:r w:rsidRPr="00CE7A53">
        <w:rPr>
          <w:color w:val="FF0000"/>
          <w:sz w:val="22"/>
          <w:szCs w:val="22"/>
          <w:rtl/>
        </w:rPr>
        <w:t>ב</w:t>
      </w:r>
      <w:r w:rsidRPr="00CE7A53">
        <w:rPr>
          <w:rFonts w:hint="cs"/>
          <w:color w:val="FF0000"/>
          <w:sz w:val="22"/>
          <w:szCs w:val="22"/>
          <w:rtl/>
        </w:rPr>
        <w:t>)</w:t>
      </w:r>
      <w:r>
        <w:rPr>
          <w:rFonts w:hint="cs"/>
          <w:color w:val="FF0000"/>
          <w:sz w:val="22"/>
          <w:szCs w:val="22"/>
          <w:rtl/>
        </w:rPr>
        <w:t>:</w:t>
      </w:r>
      <w:r w:rsidRPr="00144263">
        <w:rPr>
          <w:rFonts w:hint="cs"/>
          <w:color w:val="FF0000"/>
          <w:sz w:val="22"/>
          <w:szCs w:val="22"/>
          <w:rtl/>
        </w:rPr>
        <w:t xml:space="preserve"> </w:t>
      </w:r>
      <w:r w:rsidRPr="00CE7A53">
        <w:rPr>
          <w:rFonts w:hint="cs"/>
          <w:color w:val="FF0000"/>
          <w:sz w:val="22"/>
          <w:szCs w:val="22"/>
          <w:rtl/>
        </w:rPr>
        <w:t>"</w:t>
      </w:r>
      <w:r w:rsidRPr="00CE7A53">
        <w:rPr>
          <w:color w:val="FF0000"/>
          <w:sz w:val="22"/>
          <w:szCs w:val="22"/>
          <w:rtl/>
        </w:rPr>
        <w:t xml:space="preserve">מאי תקנתיה ליתיב תעניתא </w:t>
      </w:r>
      <w:r w:rsidRPr="00144263">
        <w:rPr>
          <w:b/>
          <w:bCs/>
          <w:color w:val="FF0000"/>
          <w:sz w:val="22"/>
          <w:szCs w:val="22"/>
          <w:u w:val="single"/>
          <w:rtl/>
        </w:rPr>
        <w:t>על</w:t>
      </w:r>
      <w:r w:rsidRPr="00CE7A53">
        <w:rPr>
          <w:color w:val="FF0000"/>
          <w:sz w:val="22"/>
          <w:szCs w:val="22"/>
          <w:rtl/>
        </w:rPr>
        <w:t xml:space="preserve"> תעניתא, מאי טעמא, דא בטיל ענוגא דשבתא יבטל ענוגא דחול</w:t>
      </w:r>
      <w:r w:rsidRPr="00CE7A53">
        <w:rPr>
          <w:rFonts w:hint="cs"/>
          <w:color w:val="FF0000"/>
          <w:sz w:val="22"/>
          <w:szCs w:val="22"/>
          <w:rtl/>
        </w:rPr>
        <w:t>"</w:t>
      </w:r>
      <w:r>
        <w:rPr>
          <w:rFonts w:hint="cs"/>
          <w:color w:val="FF0000"/>
          <w:sz w:val="22"/>
          <w:szCs w:val="22"/>
          <w:rtl/>
        </w:rPr>
        <w:t>.</w:t>
      </w:r>
    </w:p>
  </w:footnote>
  <w:footnote w:id="2">
    <w:p w14:paraId="175D14F9" w14:textId="77777777" w:rsidR="00A5150D" w:rsidRDefault="00A5150D" w:rsidP="008A06C9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 w:rsidRPr="00DA3F4B">
        <w:rPr>
          <w:color w:val="FF0000"/>
          <w:sz w:val="22"/>
          <w:szCs w:val="22"/>
          <w:rtl/>
        </w:rPr>
        <w:t>הלכות תעניות פרק א הלכה יב</w:t>
      </w:r>
    </w:p>
  </w:footnote>
  <w:footnote w:id="3">
    <w:p w14:paraId="68FA52B8" w14:textId="77777777" w:rsidR="00A5150D" w:rsidRDefault="00A5150D" w:rsidP="008A06C9">
      <w:pPr>
        <w:pStyle w:val="a3"/>
        <w:rPr>
          <w:rFonts w:hint="cs"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 w:rsidRPr="00E60EE9">
        <w:rPr>
          <w:rFonts w:hint="cs"/>
          <w:color w:val="FF0000"/>
          <w:sz w:val="22"/>
          <w:szCs w:val="22"/>
          <w:rtl/>
        </w:rPr>
        <w:t xml:space="preserve">יש קוראים </w:t>
      </w:r>
      <w:r>
        <w:rPr>
          <w:rFonts w:hint="cs"/>
          <w:color w:val="FF0000"/>
          <w:sz w:val="22"/>
          <w:szCs w:val="22"/>
          <w:rtl/>
        </w:rPr>
        <w:t>"</w:t>
      </w:r>
      <w:r w:rsidRPr="00E60EE9">
        <w:rPr>
          <w:rFonts w:hint="cs"/>
          <w:b/>
          <w:bCs/>
          <w:color w:val="FF0000"/>
          <w:sz w:val="22"/>
          <w:szCs w:val="22"/>
          <w:rtl/>
        </w:rPr>
        <w:t>לֵיתֵיב</w:t>
      </w:r>
      <w:r>
        <w:rPr>
          <w:rFonts w:hint="cs"/>
          <w:color w:val="FF0000"/>
          <w:sz w:val="22"/>
          <w:szCs w:val="22"/>
          <w:rtl/>
        </w:rPr>
        <w:t>"</w:t>
      </w:r>
      <w:r w:rsidRPr="00E60EE9">
        <w:rPr>
          <w:rFonts w:hint="cs"/>
          <w:color w:val="FF0000"/>
          <w:sz w:val="22"/>
          <w:szCs w:val="22"/>
          <w:rtl/>
        </w:rPr>
        <w:t xml:space="preserve"> ויש קוראים</w:t>
      </w:r>
      <w:r>
        <w:rPr>
          <w:rFonts w:hint="cs"/>
          <w:color w:val="FF0000"/>
          <w:sz w:val="26"/>
          <w:szCs w:val="26"/>
          <w:rtl/>
        </w:rPr>
        <w:t xml:space="preserve"> "</w:t>
      </w:r>
      <w:r w:rsidRPr="00E60EE9">
        <w:rPr>
          <w:rFonts w:hint="cs"/>
          <w:b/>
          <w:bCs/>
          <w:color w:val="FF0000"/>
          <w:sz w:val="22"/>
          <w:szCs w:val="22"/>
          <w:rtl/>
        </w:rPr>
        <w:t>לִיתֵּיב</w:t>
      </w:r>
      <w:r>
        <w:rPr>
          <w:rFonts w:hint="cs"/>
          <w:color w:val="FF0000"/>
          <w:sz w:val="22"/>
          <w:szCs w:val="22"/>
          <w:rtl/>
        </w:rPr>
        <w:t>", ואכמ"ל.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6C9"/>
    <w:rsid w:val="000645F1"/>
    <w:rsid w:val="00277276"/>
    <w:rsid w:val="003B07B4"/>
    <w:rsid w:val="008A06C9"/>
    <w:rsid w:val="008F512E"/>
    <w:rsid w:val="00A5150D"/>
    <w:rsid w:val="00C12401"/>
    <w:rsid w:val="00E57D75"/>
    <w:rsid w:val="00FF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42D7877"/>
  <w15:chartTrackingRefBased/>
  <w15:docId w15:val="{F0FF211B-65AB-423C-A177-D9CFA1B3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6C9"/>
    <w:pPr>
      <w:tabs>
        <w:tab w:val="left" w:pos="4109"/>
        <w:tab w:val="left" w:pos="6072"/>
      </w:tabs>
      <w:autoSpaceDE w:val="0"/>
      <w:autoSpaceDN w:val="0"/>
      <w:bidi/>
      <w:spacing w:after="240" w:line="360" w:lineRule="auto"/>
      <w:jc w:val="both"/>
    </w:pPr>
    <w:rPr>
      <w:rFonts w:cs="David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note text"/>
    <w:basedOn w:val="a"/>
    <w:link w:val="a4"/>
    <w:semiHidden/>
    <w:rsid w:val="008A06C9"/>
    <w:pPr>
      <w:spacing w:after="0" w:line="240" w:lineRule="auto"/>
    </w:pPr>
    <w:rPr>
      <w:sz w:val="20"/>
      <w:szCs w:val="20"/>
    </w:rPr>
  </w:style>
  <w:style w:type="character" w:styleId="a5">
    <w:name w:val="footnote reference"/>
    <w:semiHidden/>
    <w:rsid w:val="008A06C9"/>
    <w:rPr>
      <w:rFonts w:cs="Miriam"/>
      <w:szCs w:val="22"/>
      <w:vertAlign w:val="superscript"/>
    </w:rPr>
  </w:style>
  <w:style w:type="character" w:customStyle="1" w:styleId="a4">
    <w:name w:val="טקסט הערת שוליים תו"/>
    <w:link w:val="a3"/>
    <w:semiHidden/>
    <w:locked/>
    <w:rsid w:val="008A06C9"/>
    <w:rPr>
      <w:rFonts w:cs="David"/>
      <w:lang w:val="en-US"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26BF58F1D3E534198274CAD27C9364B" ma:contentTypeVersion="15" ma:contentTypeDescription="צור מסמך חדש." ma:contentTypeScope="" ma:versionID="404f4c90b1dd83b821518da62684989d">
  <xsd:schema xmlns:xsd="http://www.w3.org/2001/XMLSchema" xmlns:xs="http://www.w3.org/2001/XMLSchema" xmlns:p="http://schemas.microsoft.com/office/2006/metadata/properties" xmlns:ns3="8893e021-340b-47fb-be7c-94ed5d83ed0a" targetNamespace="http://schemas.microsoft.com/office/2006/metadata/properties" ma:root="true" ma:fieldsID="13b81221d6f1d584edafc68ff58ba301" ns3:_="">
    <xsd:import namespace="8893e021-340b-47fb-be7c-94ed5d83ed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3e021-340b-47fb-be7c-94ed5d83e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893e021-340b-47fb-be7c-94ed5d83ed0a" xsi:nil="true"/>
  </documentManagement>
</p:properties>
</file>

<file path=customXml/itemProps1.xml><?xml version="1.0" encoding="utf-8"?>
<ds:datastoreItem xmlns:ds="http://schemas.openxmlformats.org/officeDocument/2006/customXml" ds:itemID="{F0A72A5B-1C6A-494D-B59D-9B733B019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93e021-340b-47fb-be7c-94ed5d83ed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4EE75E-461C-42AC-BD03-DDC4C4E6C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06CF5A-6C51-4BE0-8127-AC73744FB67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8893e021-340b-47fb-be7c-94ed5d83ed0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1930</Characters>
  <Application>Microsoft Office Word</Application>
  <DocSecurity>4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תלמוד בבלי מסכת ברכות דף לא עמוד ב</vt:lpstr>
      <vt:lpstr>תלמוד בבלי מסכת ברכות דף לא עמוד ב </vt:lpstr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תלמוד בבלי מסכת ברכות דף לא עמוד ב</dc:title>
  <dc:subject/>
  <dc:creator>הראל</dc:creator>
  <cp:keywords/>
  <cp:lastModifiedBy>אוריאל פרנק</cp:lastModifiedBy>
  <cp:revision>2</cp:revision>
  <dcterms:created xsi:type="dcterms:W3CDTF">2026-10-19T14:04:00Z</dcterms:created>
  <dcterms:modified xsi:type="dcterms:W3CDTF">2026-10-19T14:04:00Z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0x010100126BF58F1D3E534198274CAD27C9364B</vt:lpwstr>
  </property>
</Properties>
</file>