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9D" w:rsidRDefault="000E1C17" w:rsidP="000E1C17">
      <w:pPr>
        <w:rPr>
          <w:rFonts w:hint="cs"/>
          <w:b/>
          <w:bCs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bookmarkStart w:id="0" w:name="_GoBack"/>
      <w:bookmarkEnd w:id="0"/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דף</w:t>
      </w:r>
      <w:r w:rsidRPr="00532766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</w:t>
      </w:r>
      <w:proofErr w:type="spellStart"/>
      <w:r w:rsidRPr="000E1C17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</w:t>
      </w:r>
      <w:r w:rsidRPr="000E1C17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ב</w:t>
      </w:r>
      <w:proofErr w:type="spellEnd"/>
    </w:p>
    <w:tbl>
      <w:tblPr>
        <w:tblStyle w:val="a4"/>
        <w:bidiVisual/>
        <w:tblW w:w="9665" w:type="dxa"/>
        <w:jc w:val="center"/>
        <w:tblInd w:w="-800" w:type="dxa"/>
        <w:tblLook w:val="04A0" w:firstRow="1" w:lastRow="0" w:firstColumn="1" w:lastColumn="0" w:noHBand="0" w:noVBand="1"/>
      </w:tblPr>
      <w:tblGrid>
        <w:gridCol w:w="2142"/>
        <w:gridCol w:w="226"/>
        <w:gridCol w:w="1738"/>
        <w:gridCol w:w="890"/>
        <w:gridCol w:w="63"/>
        <w:gridCol w:w="2625"/>
        <w:gridCol w:w="1981"/>
      </w:tblGrid>
      <w:tr w:rsidR="00521CA9" w:rsidRPr="000E1C17" w:rsidTr="000E1C17">
        <w:trPr>
          <w:jc w:val="center"/>
        </w:trPr>
        <w:tc>
          <w:tcPr>
            <w:tcW w:w="9665" w:type="dxa"/>
            <w:gridSpan w:val="7"/>
          </w:tcPr>
          <w:p w:rsidR="00521CA9" w:rsidRPr="000E1C17" w:rsidRDefault="00521CA9" w:rsidP="000E1C17">
            <w:pPr>
              <w:jc w:val="center"/>
              <w:rPr>
                <w:rFonts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 xml:space="preserve">דיני פת הבאה </w:t>
            </w:r>
            <w:proofErr w:type="spellStart"/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בכיסנין</w:t>
            </w:r>
            <w:proofErr w:type="spellEnd"/>
          </w:p>
        </w:tc>
      </w:tr>
      <w:tr w:rsidR="00521CA9" w:rsidRPr="000E1C17" w:rsidTr="000E1C17">
        <w:trPr>
          <w:jc w:val="center"/>
        </w:trPr>
        <w:tc>
          <w:tcPr>
            <w:tcW w:w="9665" w:type="dxa"/>
            <w:gridSpan w:val="7"/>
          </w:tcPr>
          <w:p w:rsidR="00521CA9" w:rsidRPr="000E1C17" w:rsidRDefault="00521CA9" w:rsidP="00521CA9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פת הבאה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בכיסנין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 פת הנילושה עם הרבה תבלין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ואוכלין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ממנה קצת ולכן חי</w:t>
            </w:r>
            <w:r w:rsidR="000E1C17" w:rsidRPr="000E1C17">
              <w:rPr>
                <w:rFonts w:cs="David" w:hint="cs"/>
                <w:sz w:val="24"/>
                <w:szCs w:val="24"/>
                <w:rtl/>
              </w:rPr>
              <w:t>י</w:t>
            </w:r>
            <w:r w:rsidRPr="000E1C17">
              <w:rPr>
                <w:rFonts w:cs="David" w:hint="cs"/>
                <w:sz w:val="24"/>
                <w:szCs w:val="24"/>
                <w:rtl/>
              </w:rPr>
              <w:t>בו אותה בברכה לפני ולא אחרי</w:t>
            </w:r>
          </w:p>
          <w:p w:rsidR="00521CA9" w:rsidRPr="000E1C17" w:rsidRDefault="00521CA9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21CA9" w:rsidRPr="000E1C17" w:rsidTr="000E1C17">
        <w:trPr>
          <w:jc w:val="center"/>
        </w:trPr>
        <w:tc>
          <w:tcPr>
            <w:tcW w:w="9665" w:type="dxa"/>
            <w:gridSpan w:val="7"/>
          </w:tcPr>
          <w:p w:rsidR="00521CA9" w:rsidRPr="000E1C17" w:rsidRDefault="00521CA9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הונא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אכל 13 ככרות פת הבאה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בכיסנין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אמר לו רב נחמן שעל כמות כזו קובעים סעודה והא צריך לברך</w:t>
            </w:r>
          </w:p>
        </w:tc>
      </w:tr>
      <w:tr w:rsidR="00521CA9" w:rsidRPr="000E1C17" w:rsidTr="000E1C17">
        <w:trPr>
          <w:jc w:val="center"/>
        </w:trPr>
        <w:tc>
          <w:tcPr>
            <w:tcW w:w="9665" w:type="dxa"/>
            <w:gridSpan w:val="7"/>
            <w:tcBorders>
              <w:bottom w:val="single" w:sz="4" w:space="0" w:color="auto"/>
            </w:tcBorders>
          </w:tcPr>
          <w:p w:rsidR="00521CA9" w:rsidRPr="000E1C17" w:rsidRDefault="00521CA9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 יהודה ראה בסעודת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השידוכין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של בנו שברכו המוציא על פת הבאה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בכסנין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ולגלג , עליהם והסביר שרק כאשר קובעים סעודה צריך לברך המוציא.</w:t>
            </w:r>
          </w:p>
        </w:tc>
      </w:tr>
      <w:tr w:rsidR="00B76C9D" w:rsidRPr="000E1C17" w:rsidTr="000E1C17">
        <w:trPr>
          <w:jc w:val="center"/>
        </w:trPr>
        <w:tc>
          <w:tcPr>
            <w:tcW w:w="2142" w:type="dxa"/>
            <w:tcBorders>
              <w:left w:val="nil"/>
              <w:right w:val="nil"/>
            </w:tcBorders>
          </w:tcPr>
          <w:p w:rsidR="00B76C9D" w:rsidRPr="000E1C17" w:rsidRDefault="00B76C9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4" w:type="dxa"/>
            <w:gridSpan w:val="2"/>
            <w:tcBorders>
              <w:left w:val="nil"/>
              <w:right w:val="nil"/>
            </w:tcBorders>
          </w:tcPr>
          <w:p w:rsidR="00B76C9D" w:rsidRPr="000E1C17" w:rsidRDefault="00B76C9D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B76C9D" w:rsidRPr="000E1C17" w:rsidRDefault="00B76C9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8" w:type="dxa"/>
            <w:gridSpan w:val="2"/>
            <w:tcBorders>
              <w:left w:val="nil"/>
              <w:right w:val="nil"/>
            </w:tcBorders>
          </w:tcPr>
          <w:p w:rsidR="00B76C9D" w:rsidRPr="000E1C17" w:rsidRDefault="00B76C9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B76C9D" w:rsidRPr="000E1C17" w:rsidRDefault="00B76C9D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21CA9" w:rsidRPr="000E1C17" w:rsidTr="000E1C17">
        <w:trPr>
          <w:jc w:val="center"/>
        </w:trPr>
        <w:tc>
          <w:tcPr>
            <w:tcW w:w="9665" w:type="dxa"/>
            <w:gridSpan w:val="7"/>
          </w:tcPr>
          <w:p w:rsidR="00521CA9" w:rsidRPr="000E1C17" w:rsidRDefault="00521CA9" w:rsidP="000E1C1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מתי מוגדר זמן  סיום הסעודה שאחר כך צריך לברך שוב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פפא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7" w:type="dxa"/>
            <w:gridSpan w:val="4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רבא </w:t>
            </w:r>
          </w:p>
        </w:tc>
        <w:tc>
          <w:tcPr>
            <w:tcW w:w="2625" w:type="dxa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 </w:t>
            </w:r>
          </w:p>
        </w:tc>
        <w:tc>
          <w:tcPr>
            <w:tcW w:w="1981" w:type="dxa"/>
          </w:tcPr>
          <w:p w:rsidR="000E1C17" w:rsidRPr="000E1C17" w:rsidRDefault="000E1C17" w:rsidP="00321F20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חייא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בר אשי בשם רב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שסילק האוכל או השולחן</w:t>
            </w:r>
          </w:p>
        </w:tc>
        <w:tc>
          <w:tcPr>
            <w:tcW w:w="2917" w:type="dxa"/>
            <w:gridSpan w:val="4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אכל אצל ריש גלותא גם אחר הסילוק כי דעתו הייתה על מה שיביא לו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אם רגיל למשוח ידיו בשמן זה שלב הסיום 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0E1C17" w:rsidRPr="000E1C17" w:rsidRDefault="000E1C17" w:rsidP="00321F20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זמן הסיום מי</w:t>
            </w:r>
            <w:r w:rsidRPr="000E1C17">
              <w:rPr>
                <w:rFonts w:cs="David" w:hint="cs"/>
                <w:sz w:val="24"/>
                <w:szCs w:val="24"/>
                <w:rtl/>
              </w:rPr>
              <w:t>ם אחרונים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4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8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E1C17" w:rsidRPr="000E1C17" w:rsidTr="00E76AC5">
        <w:trPr>
          <w:jc w:val="center"/>
        </w:trPr>
        <w:tc>
          <w:tcPr>
            <w:tcW w:w="9665" w:type="dxa"/>
            <w:gridSpan w:val="7"/>
          </w:tcPr>
          <w:p w:rsidR="000E1C17" w:rsidRPr="000E1C17" w:rsidRDefault="000E1C17" w:rsidP="000E1C1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מתי יין פוטר יין אחר?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ברך על היין שלפני המזון פטר את היין שלאחר המזון</w:t>
            </w:r>
          </w:p>
        </w:tc>
        <w:tc>
          <w:tcPr>
            <w:tcW w:w="7523" w:type="dxa"/>
            <w:gridSpan w:val="6"/>
          </w:tcPr>
          <w:p w:rsidR="000E1C17" w:rsidRPr="000E1C17" w:rsidRDefault="000E1C17" w:rsidP="005C27AD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רבי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יוחנן </w:t>
            </w:r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רבי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יהושע בן לוי </w:t>
            </w:r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דין זה נוהג רק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בשבתות וימים טובים הואיל ואדם קובע סעודתו על היין אבל בשאר ימות השנה מברך על כל כוס וכוס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, </w:t>
            </w:r>
          </w:p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ואביי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אמר שגם ביום טוב  כאשר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לא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מתכיון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לשתות  ונמלך לשתות  שוב מברך שוב   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יין בתוך המזון מהו שיפטור את היין שלאחר המזון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האם דינו כיין שבא לפני המזון או מכיוון שמטרת יין זה לשריה ולא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לשתיה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דינו שונה?</w:t>
            </w:r>
          </w:p>
        </w:tc>
        <w:tc>
          <w:tcPr>
            <w:tcW w:w="4669" w:type="dxa"/>
            <w:gridSpan w:val="3"/>
            <w:tcBorders>
              <w:bottom w:val="single" w:sz="4" w:space="0" w:color="auto"/>
            </w:tcBorders>
          </w:tcPr>
          <w:p w:rsidR="000E1C17" w:rsidRPr="000E1C17" w:rsidRDefault="000E1C17" w:rsidP="005C27AD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רב</w:t>
            </w:r>
            <w:proofErr w:type="spellEnd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נחמן אמר </w:t>
            </w:r>
            <w:r w:rsidRPr="000E1C17">
              <w:rPr>
                <w:rFonts w:ascii="Arial" w:hAnsi="Arial" w:cs="David"/>
                <w:b/>
                <w:bCs/>
                <w:color w:val="000000"/>
                <w:sz w:val="24"/>
                <w:szCs w:val="24"/>
                <w:rtl/>
              </w:rPr>
              <w:t>פוטר</w:t>
            </w:r>
          </w:p>
          <w:p w:rsidR="000E1C17" w:rsidRPr="000E1C17" w:rsidRDefault="000E1C17" w:rsidP="005C27AD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ורב כהנא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ורב ששת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ורב יהודה וכל תלמידי </w:t>
            </w: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דרב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cs="David" w:hint="cs"/>
                <w:b/>
                <w:bCs/>
                <w:sz w:val="24"/>
                <w:szCs w:val="24"/>
                <w:rtl/>
              </w:rPr>
              <w:t>אינו פוטר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4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8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E1C17" w:rsidRPr="000E1C17" w:rsidTr="00D40FED">
        <w:trPr>
          <w:jc w:val="center"/>
        </w:trPr>
        <w:tc>
          <w:tcPr>
            <w:tcW w:w="9665" w:type="dxa"/>
            <w:gridSpan w:val="7"/>
          </w:tcPr>
          <w:p w:rsidR="000E1C17" w:rsidRPr="000E1C17" w:rsidRDefault="000E1C17" w:rsidP="000E1C1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במה נחלקו בית שמאי על ת"ק מה לא פוטר מעשה קדירה פת או פרפרת ?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בש</w:t>
            </w:r>
            <w:proofErr w:type="spellEnd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''א אף לא מעשה קדרה</w:t>
            </w:r>
          </w:p>
        </w:tc>
        <w:tc>
          <w:tcPr>
            <w:tcW w:w="2854" w:type="dxa"/>
            <w:gridSpan w:val="3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ברך על הפת פטר את הפרפרת 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 (וכ"ש מעשה קדרה )</w:t>
            </w:r>
          </w:p>
        </w:tc>
        <w:tc>
          <w:tcPr>
            <w:tcW w:w="4669" w:type="dxa"/>
            <w:gridSpan w:val="3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על הפרפרת לא פטר את הפת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 (אבל מעשה קדירה פוטר)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אפשרויות להסביר במה נחלקו בית שמאי.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פת לא פוטרת לא את הפרפרת ואפילו לא מעשה קדרה</w:t>
            </w:r>
          </w:p>
        </w:tc>
        <w:tc>
          <w:tcPr>
            <w:tcW w:w="4669" w:type="dxa"/>
            <w:gridSpan w:val="3"/>
            <w:tcBorders>
              <w:bottom w:val="single" w:sz="4" w:space="0" w:color="auto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פרפרת לא פוטרת גם מעשה קדירה </w:t>
            </w:r>
          </w:p>
        </w:tc>
      </w:tr>
      <w:tr w:rsidR="000E1C17" w:rsidRPr="000E1C17" w:rsidTr="000E1C17">
        <w:trPr>
          <w:jc w:val="center"/>
        </w:trPr>
        <w:tc>
          <w:tcPr>
            <w:tcW w:w="2142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4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8" w:type="dxa"/>
            <w:gridSpan w:val="2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E1C17" w:rsidRPr="000E1C17" w:rsidTr="00B374B4">
        <w:trPr>
          <w:jc w:val="center"/>
        </w:trPr>
        <w:tc>
          <w:tcPr>
            <w:tcW w:w="9665" w:type="dxa"/>
            <w:gridSpan w:val="7"/>
          </w:tcPr>
          <w:p w:rsidR="000E1C17" w:rsidRPr="000E1C17" w:rsidRDefault="000E1C17" w:rsidP="000E1C1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E1C17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מה מוגדר כישיבה משותפת בה אחד יכול לברך לכולם ?</w:t>
            </w:r>
          </w:p>
        </w:tc>
      </w:tr>
      <w:tr w:rsidR="000E1C17" w:rsidRPr="000E1C17" w:rsidTr="000E1C17">
        <w:trPr>
          <w:jc w:val="center"/>
        </w:trPr>
        <w:tc>
          <w:tcPr>
            <w:tcW w:w="2368" w:type="dxa"/>
            <w:gridSpan w:val="2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 xml:space="preserve">במשנה </w:t>
            </w: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היו </w:t>
            </w: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יושבין</w:t>
            </w:r>
            <w:proofErr w:type="spellEnd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כל אחד מברך לעצמו הסבו אחד מברך לכולן</w:t>
            </w:r>
            <w:r w:rsidRPr="000E1C17">
              <w:rPr>
                <w:rFonts w:cs="David" w:hint="cs"/>
                <w:sz w:val="24"/>
                <w:szCs w:val="24"/>
                <w:rtl/>
              </w:rPr>
              <w:t>. (משמע שברכת אחד לכולם תלויה בהסבה)</w:t>
            </w:r>
          </w:p>
        </w:tc>
        <w:tc>
          <w:tcPr>
            <w:tcW w:w="2628" w:type="dxa"/>
            <w:gridSpan w:val="2"/>
          </w:tcPr>
          <w:p w:rsidR="000E1C17" w:rsidRPr="000E1C17" w:rsidRDefault="000E1C17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cs="David" w:hint="cs"/>
                <w:sz w:val="24"/>
                <w:szCs w:val="24"/>
                <w:rtl/>
              </w:rPr>
              <w:t>ויש ברייתא שישבו ולא הסבו  אחד מברך לכולם משמע שברכת אחד לא תלויה בהסבה.</w:t>
            </w:r>
          </w:p>
        </w:tc>
        <w:tc>
          <w:tcPr>
            <w:tcW w:w="4669" w:type="dxa"/>
            <w:gridSpan w:val="3"/>
          </w:tcPr>
          <w:p w:rsidR="000E1C17" w:rsidRPr="000E1C17" w:rsidRDefault="000E1C17" w:rsidP="00EA61B8">
            <w:pPr>
              <w:rPr>
                <w:rFonts w:cs="David"/>
                <w:sz w:val="24"/>
                <w:szCs w:val="24"/>
                <w:rtl/>
              </w:rPr>
            </w:pPr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אמר רב נחמן בר יצחק כגון </w:t>
            </w:r>
            <w:proofErr w:type="spellStart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דאמרי</w:t>
            </w:r>
            <w:proofErr w:type="spellEnd"/>
            <w:r w:rsidRPr="000E1C17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שקבעו לאכול ביחד במקום </w:t>
            </w:r>
            <w:proofErr w:type="spellStart"/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מסויים</w:t>
            </w:r>
            <w:proofErr w:type="spellEnd"/>
            <w:r w:rsidRPr="000E1C17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, שאז נחשב כהסבה משותפת .</w:t>
            </w:r>
            <w:r w:rsidRPr="000E1C17">
              <w:rPr>
                <w:rFonts w:cs="David" w:hint="cs"/>
                <w:sz w:val="24"/>
                <w:szCs w:val="24"/>
                <w:rtl/>
              </w:rPr>
              <w:t xml:space="preserve"> ובחזרה </w:t>
            </w:r>
            <w:proofErr w:type="spellStart"/>
            <w:r w:rsidRPr="000E1C17">
              <w:rPr>
                <w:rFonts w:cs="David" w:hint="cs"/>
                <w:sz w:val="24"/>
                <w:szCs w:val="24"/>
                <w:rtl/>
              </w:rPr>
              <w:t>מהלויית</w:t>
            </w:r>
            <w:proofErr w:type="spellEnd"/>
            <w:r w:rsidRPr="000E1C17">
              <w:rPr>
                <w:rFonts w:cs="David" w:hint="cs"/>
                <w:sz w:val="24"/>
                <w:szCs w:val="24"/>
                <w:rtl/>
              </w:rPr>
              <w:t xml:space="preserve"> רב הסתפקו בדין זה עד שבא ההוא סבא והסביר להם כרב נחמן</w:t>
            </w:r>
          </w:p>
        </w:tc>
      </w:tr>
    </w:tbl>
    <w:p w:rsidR="00B76C9D" w:rsidRPr="00B76C9D" w:rsidRDefault="00B76C9D">
      <w:pPr>
        <w:rPr>
          <w:b/>
          <w:bCs/>
        </w:rPr>
      </w:pPr>
    </w:p>
    <w:sectPr w:rsidR="00B76C9D" w:rsidRPr="00B76C9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9D"/>
    <w:rsid w:val="000E1C17"/>
    <w:rsid w:val="002150B5"/>
    <w:rsid w:val="00521CA9"/>
    <w:rsid w:val="005C27AD"/>
    <w:rsid w:val="007245F3"/>
    <w:rsid w:val="00B76C9D"/>
    <w:rsid w:val="00C615BF"/>
    <w:rsid w:val="00E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76C9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6C9D"/>
    <w:rPr>
      <w:b/>
      <w:bCs/>
    </w:rPr>
  </w:style>
  <w:style w:type="table" w:styleId="a4">
    <w:name w:val="Table Grid"/>
    <w:basedOn w:val="a1"/>
    <w:uiPriority w:val="59"/>
    <w:rsid w:val="00B7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76C9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6C9D"/>
    <w:rPr>
      <w:b/>
      <w:bCs/>
    </w:rPr>
  </w:style>
  <w:style w:type="table" w:styleId="a4">
    <w:name w:val="Table Grid"/>
    <w:basedOn w:val="a1"/>
    <w:uiPriority w:val="59"/>
    <w:rsid w:val="00B7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0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2012-09-10T21:06:00Z</dcterms:created>
  <dcterms:modified xsi:type="dcterms:W3CDTF">2012-09-10T22:10:00Z</dcterms:modified>
</cp:coreProperties>
</file>