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AF" w:rsidRDefault="00E17CAF" w:rsidP="00E17CAF">
      <w:pPr>
        <w:jc w:val="center"/>
        <w:rPr>
          <w:rFonts w:cs="Miriam" w:hint="cs"/>
          <w:szCs w:val="20"/>
        </w:rPr>
      </w:pPr>
      <w:r>
        <w:rPr>
          <w:rFonts w:cs="Rod" w:hint="cs"/>
          <w:rtl/>
        </w:rPr>
        <w:t>סוטה</w:t>
      </w:r>
      <w:bookmarkStart w:id="0" w:name="_GoBack"/>
      <w:bookmarkEnd w:id="0"/>
      <w:r>
        <w:rPr>
          <w:rFonts w:cs="Rod" w:hint="cs"/>
          <w:rtl/>
        </w:rPr>
        <w:t xml:space="preserve"> פרק ששי מי שקנא</w:t>
      </w:r>
    </w:p>
    <w:p w:rsidR="00E17CAF" w:rsidRDefault="00E17CAF" w:rsidP="00E17CAF">
      <w:pPr>
        <w:rPr>
          <w:rFonts w:cs="Miriam" w:hint="cs"/>
          <w:szCs w:val="20"/>
        </w:rPr>
      </w:pPr>
      <w:r>
        <w:rPr>
          <w:rFonts w:cs="Rod" w:hint="cs"/>
          <w:rtl/>
        </w:rPr>
        <w:t>סוטה לא,א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>משנה: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מי שקינא לאשתו ונסתרה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אם לאחר שקינא לה נסתרה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- אפילו שמע מעוף הפורח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שנסתרה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 - יוציא ויתן כתובה - דברי רבי אליעזר</w:t>
      </w:r>
      <w:r>
        <w:rPr>
          <w:rFonts w:cs="Rod"/>
          <w:rtl/>
        </w:rPr>
        <w:t xml:space="preserve">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ורבי אליעזר לטעמיה, דאמר בפרק קמא </w:t>
      </w:r>
      <w:r>
        <w:rPr>
          <w:rFonts w:cs="Miriam" w:hint="cs"/>
          <w:szCs w:val="16"/>
          <w:rtl/>
        </w:rPr>
        <w:t>(ב,ב)</w:t>
      </w:r>
      <w:r>
        <w:rPr>
          <w:rFonts w:cs="Miriam" w:hint="cs"/>
          <w:szCs w:val="20"/>
          <w:rtl/>
        </w:rPr>
        <w:t>: סתירה - לא בעיא עדות, ואפילו עבד ואפילו שפחה נאמנין, דהיינו נמי כעוף הפורח: דאיתקש לטומאה, דכולהו מהימני בה; הילכך נאסרה עליו; ואם אינו רוצה להשקותה - יוציא ויתן כתובה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;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רבי יהושע אומר: עד שישאו ויתנו בה מוזרות בלבנה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כלומר: משום סתירה, שאין בה שני עדים - אינה נאסרת עליו; ורבי יהושע לטעמיה, דאמר: משקה על פי שנים; מיהו כשישאו ויתנו מוזרות בלבנה בפריצותה - מכוער הדבר, ותצא, דהא אפילו מיא תו לא בדקי לה, כדתניא בפרק קמא </w:t>
      </w:r>
      <w:r>
        <w:rPr>
          <w:rFonts w:cs="Miriam" w:hint="cs"/>
          <w:szCs w:val="16"/>
          <w:rtl/>
        </w:rPr>
        <w:t>(לעיל ו,ב)</w:t>
      </w:r>
      <w:r>
        <w:rPr>
          <w:rFonts w:cs="Miriam" w:hint="cs"/>
          <w:szCs w:val="20"/>
          <w:rtl/>
        </w:rPr>
        <w:t xml:space="preserve"> '</w:t>
      </w:r>
      <w:r>
        <w:rPr>
          <w:rFonts w:cs="Narkisim" w:hint="cs"/>
          <w:i/>
          <w:iCs/>
          <w:szCs w:val="20"/>
          <w:rtl/>
        </w:rPr>
        <w:t>וטהורה היא</w:t>
      </w:r>
      <w:r>
        <w:rPr>
          <w:rFonts w:cs="Miriam" w:hint="cs"/>
          <w:i/>
          <w:iCs/>
          <w:szCs w:val="20"/>
          <w:rtl/>
        </w:rPr>
        <w:t>, ולא שישאו ויתנו בה מוזרות בלבנה</w:t>
      </w:r>
      <w:r>
        <w:rPr>
          <w:rFonts w:cs="Miriam" w:hint="cs"/>
          <w:szCs w:val="20"/>
          <w:rtl/>
        </w:rPr>
        <w:t>'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.</w:t>
      </w:r>
    </w:p>
    <w:p w:rsidR="00E17CAF" w:rsidRDefault="00E17CAF" w:rsidP="00E17CAF">
      <w:pPr>
        <w:rPr>
          <w:rFonts w:cs="Rod" w:hint="cs"/>
          <w:rtl/>
        </w:rPr>
      </w:pP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אמר עד אחד "אני ראיתיה שנטמאת"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באותה סתירה שהיא על פי שנים עדים לרבי יהושע ולרבי אליעזר על פי עוף הפורח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- לא היתה שותה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דעד אחד נאמן בה אף להפסידה כתובתה, שרגלים לדבר, ומקראי ילפינן לה לקמן במתניתין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, ולא עוד, אלא אפילו עבד אפילו שפחה - הרי אלו נאמנין אף לפוסלה מכתובתה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שלא תשתה ולא תטול כתובתה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;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חמותה ובת חמותה וצרתה ויבמתה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אשת אחי בעלה - אף היא כצרתה, ושונאתה, שדואגת הימנה שסופה להיות צרתה אם ימות בעלה בלא בנים - תתייבם לבעלי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ובת בעלה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מאשה אחרת - אלו חמש נשים שונאות אותה; וביבמות </w:t>
      </w:r>
      <w:r>
        <w:rPr>
          <w:rFonts w:cs="Miriam" w:hint="cs"/>
          <w:szCs w:val="16"/>
          <w:rtl/>
        </w:rPr>
        <w:t>(קיז,ב)</w:t>
      </w:r>
      <w:r>
        <w:rPr>
          <w:rFonts w:cs="Miriam" w:hint="cs"/>
          <w:szCs w:val="20"/>
          <w:rtl/>
        </w:rPr>
        <w:t xml:space="preserve"> מפרש טעמא אמאי סנו לה, ואינן נאמנות לה לשום עדות שהיא לרעתה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- הרי אלו נאמנות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 לעדות זו, שהתורה האמינה כל עדות שיש בה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;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ומיהו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ולא לפוסלה מכתובתה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הואיל ושונאות אותה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אלא שלא תשתה, שהיה בדין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שלא יהא נאמן בה עד אחד, אם לא מגזירת הכתוב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: ומה אם עדות ראשונה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סתירה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שאין אוסרתה איסור עולם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אלא עד שתשתה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- אינה מתקיימת בפחות משנים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כדבעינן למימר מגזרה שוה, ורבי יהושע היא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 -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עדות אחרונה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טומאה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שאוסרתה איסור עולם, אינו דין שלא תתקיים בפחות משנים!? תלמוד לומר </w:t>
      </w:r>
      <w:r>
        <w:rPr>
          <w:rFonts w:cs="Miriam" w:hint="cs"/>
          <w:szCs w:val="16"/>
          <w:rtl/>
        </w:rPr>
        <w:t>[במדבר ה,יג:</w:t>
      </w:r>
      <w:r>
        <w:rPr>
          <w:rFonts w:cs="Narkisim" w:hint="cs"/>
          <w:szCs w:val="20"/>
          <w:rtl/>
        </w:rPr>
        <w:t xml:space="preserve"> </w:t>
      </w:r>
      <w:r>
        <w:rPr>
          <w:rFonts w:cs="Narkisim" w:hint="cs"/>
          <w:sz w:val="20"/>
          <w:szCs w:val="20"/>
          <w:rtl/>
        </w:rPr>
        <w:t>ושכב איש אתה שכבת זרע ונעלם מעיני אישה ונסתרה והיא נטמאה</w:t>
      </w:r>
      <w:r>
        <w:rPr>
          <w:rFonts w:cs="Narkisim" w:hint="cs"/>
          <w:szCs w:val="20"/>
          <w:rtl/>
        </w:rPr>
        <w:t>]</w:t>
      </w:r>
      <w:r>
        <w:rPr>
          <w:rFonts w:cs="Narkisim" w:hint="cs"/>
          <w:rtl/>
        </w:rPr>
        <w:t xml:space="preserve"> ועד אין בה </w:t>
      </w:r>
      <w:r>
        <w:rPr>
          <w:rFonts w:cs="Narkisim" w:hint="cs"/>
          <w:szCs w:val="20"/>
          <w:rtl/>
        </w:rPr>
        <w:t>[</w:t>
      </w:r>
      <w:r>
        <w:rPr>
          <w:rFonts w:cs="Narkisim" w:hint="cs"/>
          <w:sz w:val="20"/>
          <w:szCs w:val="20"/>
          <w:rtl/>
        </w:rPr>
        <w:t>והוא לא נתפשה</w:t>
      </w:r>
      <w:r>
        <w:rPr>
          <w:rFonts w:cs="Narkisim" w:hint="cs"/>
          <w:szCs w:val="20"/>
          <w:rtl/>
        </w:rPr>
        <w:t>]</w:t>
      </w:r>
      <w:r>
        <w:rPr>
          <w:rFonts w:cs="Rod" w:hint="cs"/>
          <w:rtl/>
        </w:rPr>
        <w:t xml:space="preserve">: כל עדות שיש בה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נאמן בה; ובגמרא ילפינן לה דהכי קאמר: תרי לית בה אלא אחד, וקאמר </w:t>
      </w:r>
      <w:r>
        <w:rPr>
          <w:rFonts w:cs="Narkisim" w:hint="cs"/>
          <w:szCs w:val="20"/>
          <w:rtl/>
        </w:rPr>
        <w:t>והיא לא נתפשה</w:t>
      </w:r>
      <w:r>
        <w:rPr>
          <w:rFonts w:cs="Miriam" w:hint="cs"/>
          <w:szCs w:val="20"/>
          <w:rtl/>
        </w:rPr>
        <w:t xml:space="preserve"> למיסרה, אלמא מהימן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>- קל וחומר לעדות הראשונה.</w:t>
      </w:r>
    </w:p>
    <w:p w:rsidR="00E17CAF" w:rsidRDefault="00E17CAF" w:rsidP="00E17CAF">
      <w:pPr>
        <w:rPr>
          <w:rFonts w:cs="Miriam" w:hint="cs"/>
          <w:szCs w:val="20"/>
        </w:rPr>
      </w:pPr>
      <w:r>
        <w:rPr>
          <w:rFonts w:cs="Rod" w:hint="cs"/>
          <w:rtl/>
        </w:rPr>
        <w:t>מעתה: ומה אם</w:t>
      </w:r>
    </w:p>
    <w:p w:rsidR="00E17CAF" w:rsidRDefault="00E17CAF" w:rsidP="00E17CAF">
      <w:pPr>
        <w:rPr>
          <w:rFonts w:cs="Rod" w:hint="cs"/>
        </w:rPr>
      </w:pPr>
      <w:r>
        <w:rPr>
          <w:rFonts w:cs="Miriam" w:hint="cs"/>
          <w:szCs w:val="20"/>
          <w:rtl/>
        </w:rPr>
        <w:t xml:space="preserve"> 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/>
          <w:rtl/>
        </w:rPr>
        <w:t>(</w:t>
      </w:r>
      <w:r>
        <w:rPr>
          <w:rFonts w:cs="Rod" w:hint="cs"/>
          <w:rtl/>
        </w:rPr>
        <w:t>סוטה לא,ב</w:t>
      </w:r>
      <w:r>
        <w:rPr>
          <w:rFonts w:cs="Rod"/>
          <w:rtl/>
        </w:rPr>
        <w:t>)</w:t>
      </w:r>
      <w:r>
        <w:rPr>
          <w:rFonts w:cs="Rod" w:hint="cs"/>
          <w:rtl/>
        </w:rPr>
        <w:t xml:space="preserve"> </w:t>
      </w:r>
    </w:p>
    <w:p w:rsidR="00E17CAF" w:rsidRDefault="00E17CAF" w:rsidP="00E17CAF">
      <w:pPr>
        <w:rPr>
          <w:rFonts w:cs="Courier New" w:hint="cs"/>
          <w:szCs w:val="20"/>
          <w:rtl/>
        </w:rPr>
      </w:pPr>
      <w:r>
        <w:rPr>
          <w:rFonts w:cs="Courier New" w:hint="cs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20"/>
          <w:rtl/>
        </w:rPr>
        <w:t>המשך המשנה</w:t>
      </w:r>
      <w:r>
        <w:rPr>
          <w:rFonts w:cs="Courier New" w:hint="cs"/>
          <w:szCs w:val="20"/>
          <w:rtl/>
        </w:rPr>
        <w:t>]</w:t>
      </w:r>
      <w:r>
        <w:rPr>
          <w:rFonts w:cs="Courier New" w:hint="cs"/>
          <w:szCs w:val="20"/>
          <w:rtl/>
        </w:rPr>
        <w:tab/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עדות אחרונה, שאוסרתה איסור עולם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כדאמר </w:t>
      </w:r>
      <w:r>
        <w:rPr>
          <w:rFonts w:cs="Miriam" w:hint="cs"/>
          <w:szCs w:val="16"/>
          <w:rtl/>
        </w:rPr>
        <w:t>(לעיל כח,א)</w:t>
      </w:r>
      <w:r>
        <w:rPr>
          <w:rFonts w:cs="Miriam" w:hint="cs"/>
          <w:szCs w:val="20"/>
          <w:rtl/>
        </w:rPr>
        <w:t xml:space="preserve"> בסוטה ספק מ'נטמאה' '</w:t>
      </w:r>
      <w:r>
        <w:rPr>
          <w:rFonts w:cs="Narkisim" w:hint="cs"/>
          <w:szCs w:val="20"/>
          <w:rtl/>
        </w:rPr>
        <w:t>ונטמאה</w:t>
      </w:r>
      <w:r>
        <w:rPr>
          <w:rFonts w:cs="Miriam" w:hint="cs"/>
          <w:szCs w:val="20"/>
          <w:rtl/>
        </w:rPr>
        <w:t>', וכל שכן ודאית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>- הרי היא מתקיימת בעד אחד, עדות הראשונה, שאין אוסרתה איסור עולם - אינו דין שתתקיים בעד אחד!?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תלמוד לומר </w:t>
      </w:r>
      <w:r>
        <w:rPr>
          <w:rFonts w:cs="Miriam" w:hint="cs"/>
          <w:szCs w:val="16"/>
          <w:rtl/>
        </w:rPr>
        <w:t>[דברים כד,א:</w:t>
      </w:r>
      <w:r>
        <w:rPr>
          <w:rFonts w:cs="Narkisim"/>
          <w:szCs w:val="20"/>
          <w:rtl/>
        </w:rPr>
        <w:t xml:space="preserve"> </w:t>
      </w:r>
      <w:r>
        <w:rPr>
          <w:rFonts w:cs="Narkisim" w:hint="cs"/>
          <w:szCs w:val="20"/>
          <w:rtl/>
        </w:rPr>
        <w:t>כי יקח איש אשה ובעלה, והיה אם לא תמצא חן בעיניו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כי מצא בה ערות דבר </w:t>
      </w:r>
      <w:r>
        <w:rPr>
          <w:rFonts w:cs="Narkisim" w:hint="cs"/>
          <w:szCs w:val="20"/>
          <w:rtl/>
        </w:rPr>
        <w:t>[וכתב לה ספר כריתת ונתן בידה, ושלחה מביתו]</w:t>
      </w:r>
      <w:r>
        <w:rPr>
          <w:rFonts w:cs="Rod" w:hint="cs"/>
          <w:rtl/>
        </w:rPr>
        <w:t xml:space="preserve">, ולהלן הוא אומר </w:t>
      </w:r>
      <w:r>
        <w:rPr>
          <w:rFonts w:cs="Miriam" w:hint="cs"/>
          <w:szCs w:val="16"/>
          <w:rtl/>
        </w:rPr>
        <w:t>[דברים יט,טו:</w:t>
      </w:r>
      <w:r>
        <w:rPr>
          <w:rFonts w:cs="Narkisim" w:hint="cs"/>
          <w:szCs w:val="16"/>
          <w:rtl/>
        </w:rPr>
        <w:t xml:space="preserve"> </w:t>
      </w:r>
      <w:r>
        <w:rPr>
          <w:rFonts w:cs="Narkisim" w:hint="cs"/>
          <w:szCs w:val="20"/>
          <w:rtl/>
        </w:rPr>
        <w:t>לא יקום עד אחד באיש לכל עון ולכל חטאת בכל חטא אשר יחטא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על פי שני עדים </w:t>
      </w:r>
      <w:r>
        <w:rPr>
          <w:rFonts w:cs="Narkisim" w:hint="cs"/>
          <w:szCs w:val="20"/>
          <w:rtl/>
        </w:rPr>
        <w:t>[או על פי שלשה עדים]</w:t>
      </w:r>
      <w:r>
        <w:rPr>
          <w:rFonts w:cs="Narkisim" w:hint="cs"/>
          <w:rtl/>
        </w:rPr>
        <w:t xml:space="preserve"> יקום דבר</w:t>
      </w:r>
      <w:r>
        <w:rPr>
          <w:rFonts w:cs="Rod" w:hint="cs"/>
          <w:rtl/>
        </w:rPr>
        <w:t xml:space="preserve"> - מה להלן על פי שנים אף כאן פי שנים.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עד אומר "נטמאת" ועד אומר "לא נטמאת", אשה אומרת "נטמאת" ואשה אומרת "לא נטמאת" - היתה שותה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אוקי חד בהדי חד והרי היא כספיקא ושותה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;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אחד אומר "נטמאת" ושנים אומרים "לא נטמאת"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כלומר: "לא נטמאת </w:t>
      </w:r>
      <w:r>
        <w:rPr>
          <w:rFonts w:cs="Miriam" w:hint="cs"/>
          <w:szCs w:val="20"/>
          <w:u w:val="single"/>
          <w:rtl/>
        </w:rPr>
        <w:t>בפניך</w:t>
      </w:r>
      <w:r>
        <w:rPr>
          <w:rFonts w:cs="Miriam" w:hint="cs"/>
          <w:szCs w:val="20"/>
          <w:rtl/>
        </w:rPr>
        <w:t xml:space="preserve"> שכשבאת ומצאת שנסתרו יחד! גם אנו היינו עמך ובפנינו לא נטמאת" - הרי נסתלק העד הזה ובטלו דבריו מפני השנים, והרי היא בספיקא אם נטמאת קודם שבאו אלו ומצאום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 - היתה שותה;</w:t>
      </w:r>
    </w:p>
    <w:p w:rsidR="00E17CAF" w:rsidRDefault="00E17CAF" w:rsidP="00E17CAF">
      <w:pPr>
        <w:rPr>
          <w:rFonts w:cs="Miriam" w:hint="cs"/>
          <w:szCs w:val="20"/>
        </w:rPr>
      </w:pPr>
      <w:r>
        <w:rPr>
          <w:rFonts w:cs="Rod" w:hint="cs"/>
          <w:rtl/>
        </w:rPr>
        <w:t xml:space="preserve">שנים אומרים "נטמאת" ואחד אומר "לא נטמאת" - לא היתה שותה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ובגמרא מפרש למאי איצטריכו כל הנך בבי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.</w:t>
      </w:r>
      <w:r>
        <w:rPr>
          <w:rFonts w:cs="Miriam" w:hint="cs"/>
          <w:szCs w:val="20"/>
          <w:rtl/>
        </w:rPr>
        <w:t xml:space="preserve"> </w:t>
      </w:r>
    </w:p>
    <w:p w:rsidR="00E17CAF" w:rsidRDefault="00E17CAF" w:rsidP="00E17CAF">
      <w:pPr>
        <w:rPr>
          <w:rFonts w:cs="Rod" w:hint="cs"/>
        </w:rPr>
      </w:pP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>גמרא: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>האי '</w:t>
      </w:r>
      <w:r>
        <w:rPr>
          <w:rFonts w:cs="Rod" w:hint="cs"/>
          <w:i/>
          <w:iCs/>
          <w:rtl/>
        </w:rPr>
        <w:t xml:space="preserve">תלמוד לומר </w:t>
      </w:r>
      <w:r>
        <w:rPr>
          <w:rFonts w:cs="Narkisim" w:hint="cs"/>
          <w:i/>
          <w:iCs/>
          <w:rtl/>
        </w:rPr>
        <w:t xml:space="preserve">כי מצא </w:t>
      </w:r>
      <w:r>
        <w:rPr>
          <w:rFonts w:cs="Narkisim" w:hint="cs"/>
          <w:i/>
          <w:iCs/>
          <w:u w:val="single"/>
          <w:rtl/>
        </w:rPr>
        <w:t>בה</w:t>
      </w:r>
      <w:r>
        <w:rPr>
          <w:rFonts w:cs="Narkisim" w:hint="cs"/>
          <w:i/>
          <w:iCs/>
          <w:rtl/>
        </w:rPr>
        <w:t xml:space="preserve"> ערות דבר</w:t>
      </w:r>
      <w:r>
        <w:rPr>
          <w:rFonts w:cs="Rod"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 xml:space="preserve">למאי איצטריך גזירה שוה </w:t>
      </w:r>
      <w:r>
        <w:rPr>
          <w:rFonts w:cs="Courier New" w:hint="cs"/>
          <w:szCs w:val="16"/>
          <w:rtl/>
        </w:rPr>
        <w:t>[</w:t>
      </w:r>
      <w:r>
        <w:rPr>
          <w:rFonts w:ascii="Courier New" w:hAnsi="Courier New" w:cs="Courier New" w:hint="cs"/>
          <w:sz w:val="16"/>
          <w:szCs w:val="16"/>
          <w:rtl/>
        </w:rPr>
        <w:t>ממגורשת</w:t>
      </w:r>
      <w:r>
        <w:rPr>
          <w:rFonts w:cs="Courier New" w:hint="cs"/>
          <w:szCs w:val="16"/>
          <w:rtl/>
        </w:rPr>
        <w:t>]</w:t>
      </w:r>
      <w:r>
        <w:rPr>
          <w:rFonts w:cs="Miriam" w:hint="cs"/>
          <w:szCs w:val="20"/>
          <w:rtl/>
        </w:rPr>
        <w:t>? הא כתיב גבי טומאה '</w:t>
      </w:r>
      <w:r>
        <w:rPr>
          <w:rFonts w:cs="Narkisim" w:hint="cs"/>
          <w:szCs w:val="20"/>
          <w:rtl/>
        </w:rPr>
        <w:t>ועד אין בה</w:t>
      </w:r>
      <w:r>
        <w:rPr>
          <w:rFonts w:cs="Miriam" w:hint="cs"/>
          <w:szCs w:val="20"/>
          <w:rtl/>
        </w:rPr>
        <w:t>'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? 'תלמוד לומר '</w:t>
      </w:r>
      <w:r>
        <w:rPr>
          <w:rFonts w:cs="Narkisim" w:hint="cs"/>
          <w:rtl/>
        </w:rPr>
        <w:t>בה</w:t>
      </w:r>
      <w:r>
        <w:rPr>
          <w:rFonts w:cs="Rod"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ומיעוטא הוא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: בה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עד אחד נאמן, ולא בעדות אחרת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ולא בקינוי, בה ולא בסתירה'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והויא לה עדות סתירה כשאר כל עדיות שבתורה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>מיבעי ליה!?</w:t>
      </w:r>
    </w:p>
    <w:p w:rsidR="00E17CAF" w:rsidRDefault="00E17CAF" w:rsidP="00E17CAF">
      <w:pPr>
        <w:rPr>
          <w:rFonts w:cs="Miriam" w:hint="cs"/>
          <w:szCs w:val="20"/>
        </w:rPr>
      </w:pPr>
      <w:r>
        <w:rPr>
          <w:rFonts w:cs="Rod" w:hint="cs"/>
          <w:rtl/>
        </w:rPr>
        <w:t>הכי נמי קאמר: תלמוד לומר '</w:t>
      </w:r>
      <w:r>
        <w:rPr>
          <w:rFonts w:cs="Narkisim" w:hint="cs"/>
          <w:rtl/>
        </w:rPr>
        <w:t>בה</w:t>
      </w:r>
      <w:r>
        <w:rPr>
          <w:rFonts w:cs="Rod" w:hint="cs"/>
          <w:rtl/>
        </w:rPr>
        <w:t xml:space="preserve">' </w:t>
      </w:r>
      <w:r>
        <w:rPr>
          <w:rFonts w:cs="Rod"/>
          <w:rtl/>
        </w:rPr>
        <w:t>–</w:t>
      </w:r>
      <w:r>
        <w:rPr>
          <w:rFonts w:cs="Rod" w:hint="cs"/>
          <w:rtl/>
        </w:rPr>
        <w:t xml:space="preserve"> בה ולא בקינוי, בה ולא בסתירה; וטומאה בעלמא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עד אחד שהעיד על אשה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בלא קינוי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שלא קינא לה בעלה ואמר נטמאת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ובלא סתירה, דלא מהימן עד אחד מנלן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ולא אמרינן 'אטומאת אשה הימניה רחמנא, לא שנא לאחר קינוי ולא שנא בלא קינוי'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? - נאמר כאן '</w:t>
      </w:r>
      <w:r>
        <w:rPr>
          <w:rFonts w:cs="Narkisim" w:hint="cs"/>
          <w:rtl/>
        </w:rPr>
        <w:t>דבר</w:t>
      </w:r>
      <w:r>
        <w:rPr>
          <w:rFonts w:cs="Rod" w:hint="cs"/>
          <w:rtl/>
        </w:rPr>
        <w:t>' ונאמר להלן '</w:t>
      </w:r>
      <w:r>
        <w:rPr>
          <w:rFonts w:cs="Narkisim" w:hint="cs"/>
          <w:rtl/>
        </w:rPr>
        <w:t>דבר</w:t>
      </w:r>
      <w:r>
        <w:rPr>
          <w:rFonts w:cs="Rod" w:hint="cs"/>
          <w:rtl/>
        </w:rPr>
        <w:t xml:space="preserve">': מה להלן בשני עדים אף כאן בשני עדים. </w:t>
      </w:r>
    </w:p>
    <w:p w:rsidR="00E17CAF" w:rsidRDefault="00E17CAF" w:rsidP="00E17CAF">
      <w:pPr>
        <w:rPr>
          <w:rFonts w:cs="Rod" w:hint="cs"/>
          <w:rtl/>
        </w:rPr>
      </w:pP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עד אומר נטמאת: </w:t>
      </w:r>
    </w:p>
    <w:p w:rsidR="00E17CAF" w:rsidRDefault="00E17CAF" w:rsidP="00E17CAF">
      <w:pPr>
        <w:rPr>
          <w:rFonts w:cs="Miriam" w:hint="cs"/>
          <w:szCs w:val="20"/>
        </w:rPr>
      </w:pPr>
      <w:r>
        <w:rPr>
          <w:rFonts w:cs="Miriam" w:hint="cs"/>
          <w:szCs w:val="20"/>
          <w:rtl/>
        </w:rPr>
        <w:t xml:space="preserve">(וכי הימניה רחמנא - בטומאה שאחר קינוי, ויש עידי סתירה שנים ועד מעיד שנטמאת, שרגלים לדבר; ובפרק קמא </w:t>
      </w:r>
      <w:r>
        <w:rPr>
          <w:rFonts w:cs="Miriam" w:hint="cs"/>
          <w:szCs w:val="16"/>
          <w:rtl/>
        </w:rPr>
        <w:t>(לעיל ג,א)</w:t>
      </w:r>
      <w:r>
        <w:rPr>
          <w:rFonts w:cs="Miriam" w:hint="cs"/>
          <w:szCs w:val="20"/>
          <w:rtl/>
        </w:rPr>
        <w:t xml:space="preserve"> פרכינן: והא כי כתיב קינוי - בתר הכי כתיב? ומשנינן: '</w:t>
      </w:r>
      <w:r>
        <w:rPr>
          <w:rFonts w:cs="Narkisim" w:hint="cs"/>
          <w:szCs w:val="20"/>
          <w:rtl/>
        </w:rPr>
        <w:t>ועבר</w:t>
      </w:r>
      <w:r>
        <w:rPr>
          <w:rFonts w:cs="Miriam" w:hint="cs"/>
          <w:szCs w:val="20"/>
          <w:rtl/>
        </w:rPr>
        <w:t>' כתיב: שכבר עבר, הא לא מכחיש ליה כו'. הוא הדין דהוה ליה למבעי ארישא, דקתני בהדיא 'אחד אומר "אני ראיתיה שנטמאת" - לא היתה שותה' - אלמא מהימן! אלא משום דבעי לאקשויי עלה: 'כי מכחיש ליה מאי הוי, הא הימניה רחמנא להאי דאמר נטמאת כבי תרי, והוי ליה האי דמכחיש ליה חד ואין דבריו של אחד במקום שנים'!?)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>טעמא דקא מכחיש ליה; הא לא קא מכחיש ליה - עד אחד מהימן; מנהני מילי?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>דתנו רבנן: '</w:t>
      </w:r>
      <w:r>
        <w:rPr>
          <w:rFonts w:cs="Miriam" w:hint="cs"/>
          <w:szCs w:val="16"/>
          <w:rtl/>
        </w:rPr>
        <w:t>(במדבר ה,יג:</w:t>
      </w:r>
      <w:r>
        <w:rPr>
          <w:rFonts w:cs="Narkisim" w:hint="cs"/>
          <w:szCs w:val="20"/>
          <w:rtl/>
        </w:rPr>
        <w:t xml:space="preserve"> </w:t>
      </w:r>
      <w:r>
        <w:rPr>
          <w:rFonts w:cs="Narkisim" w:hint="cs"/>
          <w:sz w:val="20"/>
          <w:szCs w:val="20"/>
          <w:rtl/>
        </w:rPr>
        <w:t>ושכב איש אתה שכבת זרע ונעלם מעיני אישה ונסתרה והיא נטמאה</w:t>
      </w:r>
      <w:r>
        <w:rPr>
          <w:rFonts w:cs="Narkisim" w:hint="cs"/>
          <w:szCs w:val="20"/>
          <w:rtl/>
        </w:rPr>
        <w:t>]</w:t>
      </w:r>
      <w:r>
        <w:rPr>
          <w:rFonts w:cs="Narkisim" w:hint="cs"/>
          <w:i/>
          <w:iCs/>
          <w:rtl/>
        </w:rPr>
        <w:t xml:space="preserve"> </w:t>
      </w:r>
      <w:r>
        <w:rPr>
          <w:rFonts w:cs="Narkisim" w:hint="cs"/>
          <w:i/>
          <w:iCs/>
          <w:u w:val="single"/>
          <w:rtl/>
        </w:rPr>
        <w:t>ועד</w:t>
      </w:r>
      <w:r>
        <w:rPr>
          <w:rFonts w:cs="Narkisim" w:hint="cs"/>
          <w:i/>
          <w:iCs/>
          <w:rtl/>
        </w:rPr>
        <w:t xml:space="preserve"> אין בה </w:t>
      </w:r>
      <w:r>
        <w:rPr>
          <w:rFonts w:cs="Narkisim" w:hint="cs"/>
          <w:szCs w:val="20"/>
          <w:rtl/>
        </w:rPr>
        <w:t>[</w:t>
      </w:r>
      <w:r>
        <w:rPr>
          <w:rFonts w:cs="Narkisim" w:hint="cs"/>
          <w:sz w:val="20"/>
          <w:szCs w:val="20"/>
          <w:rtl/>
        </w:rPr>
        <w:t>והוא לא נתפשה</w:t>
      </w:r>
      <w:r>
        <w:rPr>
          <w:rFonts w:cs="Narkisim" w:hint="cs"/>
          <w:szCs w:val="20"/>
          <w:rtl/>
        </w:rPr>
        <w:t>]</w:t>
      </w:r>
      <w:r>
        <w:rPr>
          <w:rFonts w:cs="Rod" w:hint="cs"/>
          <w:i/>
          <w:iCs/>
          <w:rtl/>
        </w:rPr>
        <w:t xml:space="preserve"> - בשנים הכתוב מדבר; אתה אומר בשנים או אינו אלא באחד? תלמוד לומר </w:t>
      </w:r>
      <w:r>
        <w:rPr>
          <w:rFonts w:cs="Miriam" w:hint="cs"/>
          <w:szCs w:val="16"/>
          <w:rtl/>
        </w:rPr>
        <w:t>(דברים יט,טו)</w:t>
      </w:r>
      <w:r>
        <w:rPr>
          <w:rFonts w:cs="Narkisim" w:hint="cs"/>
          <w:i/>
          <w:iCs/>
          <w:rtl/>
        </w:rPr>
        <w:t xml:space="preserve"> לא יקום עד אחד באיש </w:t>
      </w:r>
      <w:r>
        <w:rPr>
          <w:rFonts w:cs="Narkisim" w:hint="cs"/>
          <w:szCs w:val="20"/>
          <w:rtl/>
        </w:rPr>
        <w:t>[לכל עון ולכל חטאת בכל חטא אשר יחטא על פי שני עדים או על פי שלשה עדים</w:t>
      </w:r>
      <w:r>
        <w:rPr>
          <w:rFonts w:cs="Narkisim" w:hint="cs"/>
          <w:sz w:val="20"/>
          <w:szCs w:val="20"/>
          <w:rtl/>
        </w:rPr>
        <w:t xml:space="preserve"> יקום דבר</w:t>
      </w:r>
      <w:r>
        <w:rPr>
          <w:rFonts w:cs="Narkisim" w:hint="cs"/>
          <w:szCs w:val="20"/>
          <w:rtl/>
        </w:rPr>
        <w:t>]</w:t>
      </w:r>
      <w:r>
        <w:rPr>
          <w:rFonts w:cs="Rod" w:hint="cs"/>
          <w:i/>
          <w:iCs/>
          <w:rtl/>
        </w:rPr>
        <w:t>: ממשמע שנאמר '</w:t>
      </w:r>
      <w:r>
        <w:rPr>
          <w:rFonts w:cs="Narkisim" w:hint="cs"/>
          <w:i/>
          <w:iCs/>
          <w:rtl/>
        </w:rPr>
        <w:t>לא יקום עד</w:t>
      </w:r>
      <w:r>
        <w:rPr>
          <w:rFonts w:cs="Rod" w:hint="cs"/>
          <w:i/>
          <w:iCs/>
          <w:rtl/>
        </w:rPr>
        <w:t>' איני יודע שהוא אחד? מה תלמוד לומר '</w:t>
      </w:r>
      <w:r>
        <w:rPr>
          <w:rFonts w:cs="Narkisim" w:hint="cs"/>
          <w:i/>
          <w:iCs/>
          <w:rtl/>
        </w:rPr>
        <w:t>אחד</w:t>
      </w:r>
      <w:r>
        <w:rPr>
          <w:rFonts w:cs="Rod" w:hint="cs"/>
          <w:i/>
          <w:iCs/>
          <w:rtl/>
        </w:rPr>
        <w:t>'? - זה בנה אב כל מקום שנאמר '</w:t>
      </w:r>
      <w:r>
        <w:rPr>
          <w:rFonts w:cs="Narkisim" w:hint="cs"/>
          <w:i/>
          <w:iCs/>
          <w:rtl/>
        </w:rPr>
        <w:t>עד</w:t>
      </w:r>
      <w:r>
        <w:rPr>
          <w:rFonts w:cs="Rod" w:hint="cs"/>
          <w:i/>
          <w:iCs/>
          <w:rtl/>
        </w:rPr>
        <w:t>' הרי כאן שנים, עד שיפרוט לך הכתוב 'אחד'</w:t>
      </w:r>
      <w:r>
        <w:rPr>
          <w:rFonts w:cs="Rod" w:hint="cs"/>
          <w:rtl/>
        </w:rPr>
        <w:t>', ואמר רחמנא: תרי לית בה אלא חד; '</w:t>
      </w:r>
      <w:r>
        <w:rPr>
          <w:rFonts w:cs="Narkisim" w:hint="cs"/>
          <w:rtl/>
        </w:rPr>
        <w:t>והיא לא נתפשה</w:t>
      </w:r>
      <w:r>
        <w:rPr>
          <w:rFonts w:cs="Rod" w:hint="cs"/>
          <w:rtl/>
        </w:rPr>
        <w:t xml:space="preserve">' </w:t>
      </w:r>
      <w:r>
        <w:rPr>
          <w:rFonts w:cs="Rod"/>
          <w:rtl/>
        </w:rPr>
        <w:t>–</w:t>
      </w:r>
      <w:r>
        <w:rPr>
          <w:rFonts w:cs="Rod" w:hint="cs"/>
          <w:rtl/>
        </w:rPr>
        <w:t xml:space="preserve"> אסורה. 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וכיון דמדאורייתא עד אחד מהימן - אידך היכי מצי מכחיש ליה, והא אמר עולא 'כל מקום שהאמינה תורה עד אחד הרי כאן שנים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הרי הוא כשנים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, ואין דבריו של אחד במקום שנים'?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>אלא אמר עולא: תני: 'לא היתה שותה';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>וכן אמר רבי יצחק 'לא היתה שותה';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ורבי חייא אמר 'היתה שותה'. </w:t>
      </w:r>
    </w:p>
    <w:p w:rsidR="00E17CAF" w:rsidRDefault="00E17CAF" w:rsidP="00E17CAF">
      <w:pPr>
        <w:rPr>
          <w:rFonts w:cs="Miriam" w:hint="cs"/>
          <w:szCs w:val="20"/>
        </w:rPr>
      </w:pP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לרבי חייא קשיא דעולא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דכיון דהאמינה תורה - הרי העמידתו במקום שנים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!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לא קשיא: כאן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מתניתין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בבת אחת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כשהעידו שניהם בתוך כדי דיבור, דבטלו דבריו מיד, דלא נתקיימה עדותן בבית דין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כאן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והיכא האמינהו תורה כשנים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בזה אחר זה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- כגון אם העיד עדותו ויצא דתו לא מצי חד לאכחושיה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.</w:t>
      </w:r>
    </w:p>
    <w:p w:rsidR="00E17CAF" w:rsidRDefault="00E17CAF" w:rsidP="00E17CAF">
      <w:pPr>
        <w:rPr>
          <w:rFonts w:cs="Rod" w:hint="cs"/>
          <w:rtl/>
        </w:rPr>
      </w:pP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>תנן: '</w:t>
      </w:r>
      <w:r>
        <w:rPr>
          <w:rFonts w:cs="Rod" w:hint="cs"/>
          <w:i/>
          <w:iCs/>
          <w:rtl/>
        </w:rPr>
        <w:t>עד אומר "נטמאת" ושנים אומרים "לא נטמאת" - היתה שותה</w:t>
      </w:r>
      <w:r>
        <w:rPr>
          <w:rFonts w:cs="Rod" w:hint="cs"/>
          <w:rtl/>
        </w:rPr>
        <w:t xml:space="preserve">'; הא חד וחד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על כרחיך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לא היתה שותה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תנא ברישא, דאי 'היתה שותה' קתני - הא תו למה לי? השתא בחד הוי הכחשה - תרי מבעיא? פשיטא! דאין אחד במקום שנים! ומתניתין - לדיוקא דידיה תנא ליה; דאי לאשמועינן היא גופה פשיטא דלא איצטריך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! תיובתא דרבי חייא!</w:t>
      </w:r>
    </w:p>
    <w:p w:rsidR="00E17CAF" w:rsidRDefault="00E17CAF" w:rsidP="00E17CAF">
      <w:pPr>
        <w:rPr>
          <w:rFonts w:cs="Miriam" w:hint="cs"/>
          <w:szCs w:val="20"/>
        </w:rPr>
      </w:pPr>
      <w:r>
        <w:rPr>
          <w:rFonts w:cs="Rod" w:hint="cs"/>
          <w:rtl/>
        </w:rPr>
        <w:t xml:space="preserve">אמר לך רבי חייא: וליטעמיך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דסבירא לך דמתניתין לגופיה לא איצטריך דהא פשיטא דאין אחד במקום שנים, ולדיוקא אתא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>- אימא סיפא: '</w:t>
      </w:r>
      <w:r>
        <w:rPr>
          <w:rFonts w:cs="Rod" w:hint="cs"/>
          <w:i/>
          <w:iCs/>
          <w:rtl/>
        </w:rPr>
        <w:t>שנים אומרים "נטמאת, ואחד אומר ,לא נטמאת" - לא היתה שותה</w:t>
      </w:r>
      <w:r>
        <w:rPr>
          <w:rFonts w:cs="Rod" w:hint="cs"/>
          <w:rtl/>
        </w:rPr>
        <w:t xml:space="preserve">'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מאי תידוק מינה?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 - הא חד וחד היתה שותה! אלא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מתניתין לא לדיוקא אתא, אלא לאשמועינן היא גופה איצטריך: דשנים דקא תנא -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כולה בפסולי עדות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קאמר, כגון נשים או עבדים, ואשמועינן דשתי נשים מבטלות דברי עד אחד, בין ברישא בין בסיפא)</w:t>
      </w:r>
    </w:p>
    <w:p w:rsidR="00E17CAF" w:rsidRDefault="00E17CAF" w:rsidP="00E17CAF">
      <w:pPr>
        <w:ind w:left="720"/>
        <w:rPr>
          <w:rFonts w:cs="Miriam" w:hint="cs"/>
          <w:szCs w:val="20"/>
          <w:rtl/>
        </w:rPr>
      </w:pPr>
      <w:r>
        <w:rPr>
          <w:rFonts w:cs="Miriam" w:hint="cs"/>
          <w:szCs w:val="20"/>
          <w:rtl/>
        </w:rPr>
        <w:t xml:space="preserve">(ולקמן פריך 'תרתי למה לי'? </w:t>
      </w:r>
    </w:p>
    <w:p w:rsidR="00E17CAF" w:rsidRDefault="00E17CAF" w:rsidP="00E17CAF">
      <w:pPr>
        <w:ind w:left="720"/>
        <w:rPr>
          <w:rFonts w:cs="Miriam" w:hint="cs"/>
          <w:szCs w:val="20"/>
          <w:rtl/>
        </w:rPr>
      </w:pPr>
      <w:r>
        <w:rPr>
          <w:rFonts w:cs="Miriam" w:hint="cs"/>
          <w:szCs w:val="20"/>
          <w:rtl/>
        </w:rPr>
        <w:t>והאי דלא שני רבי חייא 'מציעתא בזה אחר זה' - משום דקא דייק מתניתין בבת אחת, דקתני 'ושנים אומרים לא ראינוה' - אלמא בהדי הדדי קאתו, דלעולם במקום שנים לא האמינה תורה עד אחד</w:t>
      </w:r>
      <w:r>
        <w:rPr>
          <w:rFonts w:cs="Miriam"/>
          <w:szCs w:val="20"/>
          <w:rtl/>
        </w:rPr>
        <w:t>)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>ורבי נחמיה היא,</w:t>
      </w:r>
      <w:r>
        <w:rPr>
          <w:rFonts w:cs="Rod" w:hint="cs"/>
          <w:szCs w:val="20"/>
          <w:rtl/>
        </w:rPr>
        <w:t xml:space="preserve"> </w:t>
      </w:r>
      <w:r>
        <w:rPr>
          <w:rFonts w:cs="Rod" w:hint="cs"/>
          <w:rtl/>
        </w:rPr>
        <w:t>דתניא: '</w:t>
      </w:r>
      <w:r>
        <w:rPr>
          <w:rFonts w:cs="Rod" w:hint="cs"/>
          <w:i/>
          <w:iCs/>
          <w:rtl/>
        </w:rPr>
        <w:t xml:space="preserve">רבי נחמיה אומר: כל מקום שהאמינה תורה עד אחד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הוציאתו לעדות זה מכלל כל עדיות שבתורה, לפיכך פסולין וכשירין שוין בה</w:t>
      </w:r>
      <w:r>
        <w:rPr>
          <w:rFonts w:cs="Miriam"/>
          <w:szCs w:val="20"/>
          <w:rtl/>
        </w:rPr>
        <w:t>)</w:t>
      </w:r>
      <w:r>
        <w:rPr>
          <w:rFonts w:cs="Rod"/>
          <w:i/>
          <w:iCs/>
          <w:rtl/>
        </w:rPr>
        <w:t xml:space="preserve"> </w:t>
      </w:r>
      <w:r>
        <w:rPr>
          <w:rFonts w:cs="Rod" w:hint="cs"/>
          <w:i/>
          <w:iCs/>
          <w:rtl/>
        </w:rPr>
        <w:t xml:space="preserve">- </w:t>
      </w:r>
      <w:r>
        <w:rPr>
          <w:rFonts w:cs="Rod"/>
          <w:i/>
          <w:iCs/>
          <w:rtl/>
        </w:rPr>
        <w:t xml:space="preserve"> </w:t>
      </w:r>
      <w:r>
        <w:rPr>
          <w:rFonts w:cs="Miriam" w:hint="cs"/>
          <w:szCs w:val="20"/>
          <w:rtl/>
        </w:rPr>
        <w:t>(ו)</w:t>
      </w:r>
      <w:r>
        <w:rPr>
          <w:rFonts w:cs="Rod" w:hint="cs"/>
          <w:i/>
          <w:iCs/>
          <w:rtl/>
        </w:rPr>
        <w:t xml:space="preserve">הלך אחר רוב דעות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המעידין בדבר</w:t>
      </w:r>
      <w:r>
        <w:rPr>
          <w:rFonts w:cs="Miriam"/>
          <w:szCs w:val="20"/>
          <w:rtl/>
        </w:rPr>
        <w:t>)</w:t>
      </w:r>
      <w:r>
        <w:rPr>
          <w:rFonts w:cs="Rod" w:hint="cs"/>
          <w:i/>
          <w:iCs/>
          <w:rtl/>
        </w:rPr>
        <w:t>, ועשו שתי נשים באיש אחד כשני אנשים באיש אחד</w:t>
      </w:r>
      <w:r>
        <w:rPr>
          <w:rFonts w:cs="Rod" w:hint="cs"/>
          <w:rtl/>
        </w:rPr>
        <w:t>'.</w:t>
      </w:r>
    </w:p>
    <w:p w:rsidR="00E17CAF" w:rsidRDefault="00E17CAF" w:rsidP="00E17CAF">
      <w:pPr>
        <w:rPr>
          <w:rFonts w:cs="Rod" w:hint="cs"/>
        </w:rPr>
      </w:pPr>
      <w:r>
        <w:rPr>
          <w:rFonts w:cs="Rod" w:hint="cs"/>
          <w:rtl/>
        </w:rPr>
        <w:t xml:space="preserve">ואיכא דאמרי: כל היכא דאתא עד אחד כשר מעיקרא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ואמר "נטמאת" ונתקבלה עדותו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- אפילו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אחר כך באו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מאה נשים - נמי כעד אחד דמיין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והוה ליה קמא שנים, ואין דבריו של אחד במקום שנים ואינה שותה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,</w:t>
      </w:r>
    </w:p>
    <w:p w:rsidR="00E17CAF" w:rsidRDefault="00E17CAF" w:rsidP="00E17CAF">
      <w:pPr>
        <w:rPr>
          <w:rFonts w:cs="Rod" w:hint="cs"/>
        </w:rPr>
      </w:pPr>
    </w:p>
    <w:p w:rsidR="00E17CAF" w:rsidRDefault="00E17CAF" w:rsidP="00E17CAF">
      <w:pPr>
        <w:rPr>
          <w:rFonts w:cs="Rod" w:hint="cs"/>
          <w:rtl/>
        </w:rPr>
      </w:pPr>
      <w:r>
        <w:rPr>
          <w:rFonts w:cs="Rod"/>
          <w:rtl/>
        </w:rPr>
        <w:t>(</w:t>
      </w:r>
      <w:r>
        <w:rPr>
          <w:rFonts w:cs="Rod" w:hint="cs"/>
          <w:rtl/>
        </w:rPr>
        <w:t>סוטה לב,א</w:t>
      </w:r>
      <w:r>
        <w:rPr>
          <w:rFonts w:cs="Rod"/>
          <w:rtl/>
        </w:rPr>
        <w:t>)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והכא במאי עסקינן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דקתני '</w:t>
      </w:r>
      <w:r>
        <w:rPr>
          <w:rFonts w:cs="Miriam" w:hint="cs"/>
          <w:i/>
          <w:iCs/>
          <w:szCs w:val="20"/>
          <w:rtl/>
        </w:rPr>
        <w:t>עד אחד אומר "נטמאת" ושנים אומרים "לא נטמאת" היתה שותה</w:t>
      </w:r>
      <w:r>
        <w:rPr>
          <w:rFonts w:cs="Miriam" w:hint="cs"/>
          <w:szCs w:val="20"/>
          <w:rtl/>
        </w:rPr>
        <w:t>', ואוקימנא בפסולי עדות, ובין בבת אחת בין בזה אחר זה כרבי נחמיה - ועל כרחיך דבזה אחר זה איצטריך עיקר לאשמועינן, דאי בבת אחת - מאי 'הלך אחר רוב דיעות' איכא? בחד וחד נמי היתה שותה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? -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[אלא] בהכי עסקינן: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 כגון דאתאי אשה מעיקרא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דההוא דאתא מעיקרא ואמר "נטמאת" - אשה הויא; הילכך אפילו בזה אחר זה - אתו תרתי ומבטלי לה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,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ותרצה לדרבי נחמיה הכי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דהא דאמרן לעיל '</w:t>
      </w:r>
      <w:r>
        <w:rPr>
          <w:rFonts w:cs="Miriam" w:hint="cs"/>
          <w:i/>
          <w:iCs/>
          <w:szCs w:val="20"/>
          <w:rtl/>
        </w:rPr>
        <w:t>ועשו שתי נשים באיש אחד</w:t>
      </w:r>
      <w:r>
        <w:rPr>
          <w:rFonts w:cs="Miriam" w:hint="cs"/>
          <w:szCs w:val="20"/>
          <w:rtl/>
        </w:rPr>
        <w:t xml:space="preserve"> כו' - לאו סיפא דמילתיה דרבי נחמיה הוא, אלא </w:t>
      </w:r>
      <w:r>
        <w:rPr>
          <w:rFonts w:cs="Miriam" w:hint="cs"/>
          <w:szCs w:val="20"/>
          <w:u w:val="single"/>
          <w:rtl/>
        </w:rPr>
        <w:t>פירושא דמילתיה</w:t>
      </w:r>
      <w:r>
        <w:rPr>
          <w:rFonts w:cs="Miriam" w:hint="cs"/>
          <w:szCs w:val="20"/>
          <w:rtl/>
        </w:rPr>
        <w:t xml:space="preserve"> הוא, דאנו פרשין לה הכי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: '</w:t>
      </w:r>
      <w:r>
        <w:rPr>
          <w:rFonts w:cs="Rod" w:hint="cs"/>
          <w:i/>
          <w:iCs/>
          <w:rtl/>
        </w:rPr>
        <w:t>רבי נחמיה אומר: כל מקום שהאמינה תורה עד אחד - הלך אחר רוב דיעות</w:t>
      </w:r>
      <w:r>
        <w:rPr>
          <w:rFonts w:cs="Rod" w:hint="cs"/>
          <w:rtl/>
        </w:rPr>
        <w:t xml:space="preserve">'; ועשו שתי נשים </w:t>
      </w:r>
      <w:r>
        <w:rPr>
          <w:rFonts w:cs="Rod" w:hint="cs"/>
          <w:u w:val="single"/>
          <w:rtl/>
        </w:rPr>
        <w:t>באשה אחת</w:t>
      </w:r>
      <w:r>
        <w:rPr>
          <w:rFonts w:cs="Rod" w:hint="cs"/>
          <w:rtl/>
        </w:rPr>
        <w:t xml:space="preserve"> כשני אנשים באיש אחד; אבל שתי נשים באיש אחד - כי פלגא ופלגא דמי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כלומר: כי חד וחד; ואי בבת אחת אתו אוקי תרי לבהדי חד ואוקמיה אספיקא, ואי בזה אחר זה, וההוא דהאמינה תורה קדם, ואתא ברישא - הוה ליה כשנים, והנך כחד, ואין דבריהם במקומו; והיכא דשתים אומרות "נטמאת" ועד אחד כשר אומר "לא נטמאת" - היתה שותה, דכי חד וחד נינהו; ומתניתין דקתני "לא היתה שותה" - כגון דההוא חד הוה פסול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.</w:t>
      </w:r>
    </w:p>
    <w:p w:rsidR="00E17CAF" w:rsidRDefault="00E17CAF" w:rsidP="00E17CAF">
      <w:pPr>
        <w:rPr>
          <w:rFonts w:cs="Rod" w:hint="cs"/>
          <w:rtl/>
        </w:rPr>
      </w:pPr>
      <w:r>
        <w:rPr>
          <w:rFonts w:cs="Rod" w:hint="cs"/>
          <w:rtl/>
        </w:rPr>
        <w:t xml:space="preserve">ותרתי בפסולי עדות למה לי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למתני מתניתין הלך אחר רוב דיעות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?</w:t>
      </w:r>
    </w:p>
    <w:p w:rsidR="00E17CAF" w:rsidRDefault="00E17CAF" w:rsidP="00E17CAF">
      <w:pPr>
        <w:rPr>
          <w:rFonts w:cs="Miriam" w:hint="cs"/>
          <w:szCs w:val="20"/>
        </w:rPr>
      </w:pPr>
      <w:r>
        <w:rPr>
          <w:rFonts w:cs="Rod" w:hint="cs"/>
          <w:rtl/>
        </w:rPr>
        <w:t xml:space="preserve">מהו דתימא כי אזלינן בתר רוב דיעות </w:t>
      </w:r>
      <w:r>
        <w:rPr>
          <w:rFonts w:cs="Rod"/>
          <w:rtl/>
        </w:rPr>
        <w:t>–</w:t>
      </w:r>
      <w:r>
        <w:rPr>
          <w:rFonts w:cs="Rod" w:hint="cs"/>
          <w:rtl/>
        </w:rPr>
        <w:t xml:space="preserve"> לחומרא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שתשתה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 xml:space="preserve">, אבל לקולא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להקל מעליה שלא תשתה</w:t>
      </w:r>
      <w:r>
        <w:rPr>
          <w:rFonts w:cs="Miriam"/>
          <w:szCs w:val="20"/>
          <w:rtl/>
        </w:rPr>
        <w:t>)</w:t>
      </w:r>
      <w:r>
        <w:rPr>
          <w:rFonts w:cs="Rod"/>
          <w:rtl/>
        </w:rPr>
        <w:t xml:space="preserve"> </w:t>
      </w:r>
      <w:r>
        <w:rPr>
          <w:rFonts w:cs="Rod" w:hint="cs"/>
          <w:rtl/>
        </w:rPr>
        <w:t xml:space="preserve">לא אזלינן </w:t>
      </w:r>
      <w:r>
        <w:rPr>
          <w:rFonts w:cs="Miriam"/>
          <w:szCs w:val="20"/>
          <w:rtl/>
        </w:rPr>
        <w:t>(</w:t>
      </w:r>
      <w:r>
        <w:rPr>
          <w:rFonts w:cs="Miriam" w:hint="cs"/>
          <w:szCs w:val="20"/>
          <w:rtl/>
        </w:rPr>
        <w:t>בתר רוב דיעות בפסולי עדות, והיכא דשתים אומרות "נטמאת" ואחד אומר "לא נטמאת" - כיון דאיכא הכחשה כל דהו - נימא אוקי האי לבהדי הנך, ואוקי מילתא אספיקא, ותשתה</w:t>
      </w:r>
      <w:r>
        <w:rPr>
          <w:rFonts w:cs="Miriam"/>
          <w:szCs w:val="20"/>
          <w:rtl/>
        </w:rPr>
        <w:t>)</w:t>
      </w:r>
      <w:r>
        <w:rPr>
          <w:rFonts w:cs="Rod" w:hint="cs"/>
          <w:rtl/>
        </w:rPr>
        <w:t>? - קא משמע לן.</w:t>
      </w:r>
    </w:p>
    <w:p w:rsidR="00E17CAF" w:rsidRDefault="00E17CAF" w:rsidP="00E17CAF">
      <w:pPr>
        <w:rPr>
          <w:rFonts w:cs="Miriam" w:hint="cs"/>
          <w:szCs w:val="20"/>
        </w:rPr>
      </w:pPr>
    </w:p>
    <w:p w:rsidR="00E17CAF" w:rsidRDefault="00E17CAF" w:rsidP="00E17CAF">
      <w:pPr>
        <w:jc w:val="center"/>
        <w:rPr>
          <w:rFonts w:cs="Rod" w:hint="cs"/>
          <w:rtl/>
        </w:rPr>
      </w:pPr>
      <w:r>
        <w:rPr>
          <w:rFonts w:cs="Rod" w:hint="cs"/>
          <w:rtl/>
        </w:rPr>
        <w:t>הדרן עלך מי שקינא</w:t>
      </w:r>
    </w:p>
    <w:p w:rsidR="001277CF" w:rsidRDefault="001277CF"/>
    <w:sectPr w:rsidR="00127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F"/>
    <w:rsid w:val="00004701"/>
    <w:rsid w:val="000168FD"/>
    <w:rsid w:val="00030173"/>
    <w:rsid w:val="00031084"/>
    <w:rsid w:val="00042D72"/>
    <w:rsid w:val="00062546"/>
    <w:rsid w:val="000645C9"/>
    <w:rsid w:val="00075818"/>
    <w:rsid w:val="0007789F"/>
    <w:rsid w:val="000806EC"/>
    <w:rsid w:val="000876AD"/>
    <w:rsid w:val="00090499"/>
    <w:rsid w:val="000958B5"/>
    <w:rsid w:val="000A4ED0"/>
    <w:rsid w:val="000A61DB"/>
    <w:rsid w:val="000B5841"/>
    <w:rsid w:val="000C3942"/>
    <w:rsid w:val="000C5C43"/>
    <w:rsid w:val="000D0DCA"/>
    <w:rsid w:val="000D1554"/>
    <w:rsid w:val="000D276D"/>
    <w:rsid w:val="000D283A"/>
    <w:rsid w:val="00105217"/>
    <w:rsid w:val="001133B6"/>
    <w:rsid w:val="001222D2"/>
    <w:rsid w:val="0012276C"/>
    <w:rsid w:val="00122D51"/>
    <w:rsid w:val="001277CF"/>
    <w:rsid w:val="0013777A"/>
    <w:rsid w:val="0015117F"/>
    <w:rsid w:val="00153EB2"/>
    <w:rsid w:val="00161A96"/>
    <w:rsid w:val="00165282"/>
    <w:rsid w:val="00170041"/>
    <w:rsid w:val="001761F9"/>
    <w:rsid w:val="001765FB"/>
    <w:rsid w:val="00184C56"/>
    <w:rsid w:val="001A1EB8"/>
    <w:rsid w:val="001B6C59"/>
    <w:rsid w:val="001D4A78"/>
    <w:rsid w:val="001F1533"/>
    <w:rsid w:val="001F3BA3"/>
    <w:rsid w:val="002017F7"/>
    <w:rsid w:val="00244975"/>
    <w:rsid w:val="00245AC9"/>
    <w:rsid w:val="00264D43"/>
    <w:rsid w:val="00276482"/>
    <w:rsid w:val="00277037"/>
    <w:rsid w:val="00277E18"/>
    <w:rsid w:val="00293ADF"/>
    <w:rsid w:val="00295585"/>
    <w:rsid w:val="002A564A"/>
    <w:rsid w:val="002B3B2A"/>
    <w:rsid w:val="002B6DB1"/>
    <w:rsid w:val="002C1D78"/>
    <w:rsid w:val="002C6D1B"/>
    <w:rsid w:val="002E0EAD"/>
    <w:rsid w:val="002E1EE8"/>
    <w:rsid w:val="002F5317"/>
    <w:rsid w:val="00305B12"/>
    <w:rsid w:val="003075BE"/>
    <w:rsid w:val="0034388C"/>
    <w:rsid w:val="003561E8"/>
    <w:rsid w:val="0035741A"/>
    <w:rsid w:val="0036097B"/>
    <w:rsid w:val="003658A7"/>
    <w:rsid w:val="00365E03"/>
    <w:rsid w:val="00366677"/>
    <w:rsid w:val="003669CF"/>
    <w:rsid w:val="00370280"/>
    <w:rsid w:val="00373D6D"/>
    <w:rsid w:val="00380B3A"/>
    <w:rsid w:val="0038131C"/>
    <w:rsid w:val="00381601"/>
    <w:rsid w:val="0038305D"/>
    <w:rsid w:val="003A02A8"/>
    <w:rsid w:val="003A7CC6"/>
    <w:rsid w:val="003C0336"/>
    <w:rsid w:val="003C2351"/>
    <w:rsid w:val="003C4D5A"/>
    <w:rsid w:val="003C6F97"/>
    <w:rsid w:val="003C7CAD"/>
    <w:rsid w:val="003E29DE"/>
    <w:rsid w:val="004039EC"/>
    <w:rsid w:val="00404208"/>
    <w:rsid w:val="00407F20"/>
    <w:rsid w:val="00410365"/>
    <w:rsid w:val="00433C85"/>
    <w:rsid w:val="004366AC"/>
    <w:rsid w:val="00437F41"/>
    <w:rsid w:val="00440D0E"/>
    <w:rsid w:val="00441148"/>
    <w:rsid w:val="004450CB"/>
    <w:rsid w:val="00454779"/>
    <w:rsid w:val="00464AA4"/>
    <w:rsid w:val="00467029"/>
    <w:rsid w:val="0047159F"/>
    <w:rsid w:val="004A2263"/>
    <w:rsid w:val="004A4941"/>
    <w:rsid w:val="004B0461"/>
    <w:rsid w:val="004C3B99"/>
    <w:rsid w:val="004C40E5"/>
    <w:rsid w:val="004C55B2"/>
    <w:rsid w:val="004D4716"/>
    <w:rsid w:val="004D61E8"/>
    <w:rsid w:val="004E168A"/>
    <w:rsid w:val="004F690A"/>
    <w:rsid w:val="004F6A18"/>
    <w:rsid w:val="005029A6"/>
    <w:rsid w:val="00512F4A"/>
    <w:rsid w:val="00522B71"/>
    <w:rsid w:val="00523F7E"/>
    <w:rsid w:val="0052443A"/>
    <w:rsid w:val="00527A6D"/>
    <w:rsid w:val="00532DB0"/>
    <w:rsid w:val="00545BBF"/>
    <w:rsid w:val="005517AF"/>
    <w:rsid w:val="00560C78"/>
    <w:rsid w:val="00573E13"/>
    <w:rsid w:val="005749B8"/>
    <w:rsid w:val="00575448"/>
    <w:rsid w:val="00592392"/>
    <w:rsid w:val="00593BBE"/>
    <w:rsid w:val="005C731F"/>
    <w:rsid w:val="005E5A68"/>
    <w:rsid w:val="005F035F"/>
    <w:rsid w:val="005F5C62"/>
    <w:rsid w:val="006109D4"/>
    <w:rsid w:val="006133F7"/>
    <w:rsid w:val="00613EF8"/>
    <w:rsid w:val="00614EC1"/>
    <w:rsid w:val="00615F13"/>
    <w:rsid w:val="00620E52"/>
    <w:rsid w:val="00625391"/>
    <w:rsid w:val="00625C8D"/>
    <w:rsid w:val="00626CD0"/>
    <w:rsid w:val="00632D10"/>
    <w:rsid w:val="0063681A"/>
    <w:rsid w:val="0063700D"/>
    <w:rsid w:val="00637150"/>
    <w:rsid w:val="0064091B"/>
    <w:rsid w:val="00651817"/>
    <w:rsid w:val="00656A95"/>
    <w:rsid w:val="00664681"/>
    <w:rsid w:val="0067614C"/>
    <w:rsid w:val="0068327E"/>
    <w:rsid w:val="006848C7"/>
    <w:rsid w:val="006929AC"/>
    <w:rsid w:val="006A26F3"/>
    <w:rsid w:val="006B43CC"/>
    <w:rsid w:val="006B4D71"/>
    <w:rsid w:val="006C3643"/>
    <w:rsid w:val="006D4C28"/>
    <w:rsid w:val="006D580E"/>
    <w:rsid w:val="006E2B23"/>
    <w:rsid w:val="006F1F5B"/>
    <w:rsid w:val="00703747"/>
    <w:rsid w:val="007059D9"/>
    <w:rsid w:val="0070666C"/>
    <w:rsid w:val="00715782"/>
    <w:rsid w:val="00721098"/>
    <w:rsid w:val="0072669C"/>
    <w:rsid w:val="007303CF"/>
    <w:rsid w:val="007346EB"/>
    <w:rsid w:val="00741E60"/>
    <w:rsid w:val="007553E5"/>
    <w:rsid w:val="007602F4"/>
    <w:rsid w:val="00761FEC"/>
    <w:rsid w:val="007716C0"/>
    <w:rsid w:val="00774699"/>
    <w:rsid w:val="007764CD"/>
    <w:rsid w:val="00777BCD"/>
    <w:rsid w:val="0079554A"/>
    <w:rsid w:val="007A2BF5"/>
    <w:rsid w:val="007B4302"/>
    <w:rsid w:val="007C09C6"/>
    <w:rsid w:val="007C7463"/>
    <w:rsid w:val="007E43F9"/>
    <w:rsid w:val="007E6EF5"/>
    <w:rsid w:val="007F374B"/>
    <w:rsid w:val="00805399"/>
    <w:rsid w:val="00807453"/>
    <w:rsid w:val="00812E75"/>
    <w:rsid w:val="00814164"/>
    <w:rsid w:val="00816A4D"/>
    <w:rsid w:val="00824490"/>
    <w:rsid w:val="00825288"/>
    <w:rsid w:val="008576D1"/>
    <w:rsid w:val="00886C2C"/>
    <w:rsid w:val="00890E8B"/>
    <w:rsid w:val="008A0C8F"/>
    <w:rsid w:val="008A4A43"/>
    <w:rsid w:val="008B58D1"/>
    <w:rsid w:val="008D0888"/>
    <w:rsid w:val="008E59D0"/>
    <w:rsid w:val="008F2DBC"/>
    <w:rsid w:val="00904FAD"/>
    <w:rsid w:val="009057DB"/>
    <w:rsid w:val="00922873"/>
    <w:rsid w:val="00937959"/>
    <w:rsid w:val="00937D9D"/>
    <w:rsid w:val="009450E9"/>
    <w:rsid w:val="0094744C"/>
    <w:rsid w:val="00952935"/>
    <w:rsid w:val="0095422D"/>
    <w:rsid w:val="0096033F"/>
    <w:rsid w:val="00971361"/>
    <w:rsid w:val="0098280B"/>
    <w:rsid w:val="009A0668"/>
    <w:rsid w:val="009C7382"/>
    <w:rsid w:val="009D4A08"/>
    <w:rsid w:val="009F4565"/>
    <w:rsid w:val="009F4EBB"/>
    <w:rsid w:val="00A02104"/>
    <w:rsid w:val="00A02697"/>
    <w:rsid w:val="00A04C5A"/>
    <w:rsid w:val="00A06D3A"/>
    <w:rsid w:val="00A16498"/>
    <w:rsid w:val="00A22F8D"/>
    <w:rsid w:val="00A33956"/>
    <w:rsid w:val="00A400A0"/>
    <w:rsid w:val="00A57539"/>
    <w:rsid w:val="00A63CFC"/>
    <w:rsid w:val="00A65A99"/>
    <w:rsid w:val="00A7155F"/>
    <w:rsid w:val="00A73EA1"/>
    <w:rsid w:val="00A86666"/>
    <w:rsid w:val="00A87433"/>
    <w:rsid w:val="00A96407"/>
    <w:rsid w:val="00AA408D"/>
    <w:rsid w:val="00AA4F94"/>
    <w:rsid w:val="00AA7923"/>
    <w:rsid w:val="00AB2AE7"/>
    <w:rsid w:val="00AD4268"/>
    <w:rsid w:val="00AD5632"/>
    <w:rsid w:val="00AE511F"/>
    <w:rsid w:val="00AF64E6"/>
    <w:rsid w:val="00AF7A9F"/>
    <w:rsid w:val="00B043D3"/>
    <w:rsid w:val="00B04790"/>
    <w:rsid w:val="00B32016"/>
    <w:rsid w:val="00B36320"/>
    <w:rsid w:val="00B53225"/>
    <w:rsid w:val="00B647F4"/>
    <w:rsid w:val="00B77D5C"/>
    <w:rsid w:val="00B86B6F"/>
    <w:rsid w:val="00B90278"/>
    <w:rsid w:val="00B95D7E"/>
    <w:rsid w:val="00B97D30"/>
    <w:rsid w:val="00BA28B8"/>
    <w:rsid w:val="00BA4301"/>
    <w:rsid w:val="00BC0B2E"/>
    <w:rsid w:val="00BC387F"/>
    <w:rsid w:val="00BD04D0"/>
    <w:rsid w:val="00BD1CF3"/>
    <w:rsid w:val="00BD4E04"/>
    <w:rsid w:val="00BE1AAF"/>
    <w:rsid w:val="00BE2F3B"/>
    <w:rsid w:val="00C074E3"/>
    <w:rsid w:val="00C1153A"/>
    <w:rsid w:val="00C11759"/>
    <w:rsid w:val="00C15903"/>
    <w:rsid w:val="00C24DA4"/>
    <w:rsid w:val="00C3438A"/>
    <w:rsid w:val="00C44560"/>
    <w:rsid w:val="00C46F5E"/>
    <w:rsid w:val="00C52220"/>
    <w:rsid w:val="00C629B9"/>
    <w:rsid w:val="00C67D57"/>
    <w:rsid w:val="00C73C08"/>
    <w:rsid w:val="00CA07CC"/>
    <w:rsid w:val="00CA13B9"/>
    <w:rsid w:val="00CB79F4"/>
    <w:rsid w:val="00CD6726"/>
    <w:rsid w:val="00CE0EBA"/>
    <w:rsid w:val="00CE3C58"/>
    <w:rsid w:val="00CF0678"/>
    <w:rsid w:val="00CF3588"/>
    <w:rsid w:val="00D02814"/>
    <w:rsid w:val="00D043E4"/>
    <w:rsid w:val="00D0671F"/>
    <w:rsid w:val="00D1701C"/>
    <w:rsid w:val="00D51322"/>
    <w:rsid w:val="00D52530"/>
    <w:rsid w:val="00D55A6B"/>
    <w:rsid w:val="00D6203C"/>
    <w:rsid w:val="00D62C09"/>
    <w:rsid w:val="00D65210"/>
    <w:rsid w:val="00D8496F"/>
    <w:rsid w:val="00D906E5"/>
    <w:rsid w:val="00D97F83"/>
    <w:rsid w:val="00DC1946"/>
    <w:rsid w:val="00DC4819"/>
    <w:rsid w:val="00DD2CBD"/>
    <w:rsid w:val="00DD507E"/>
    <w:rsid w:val="00DD73BF"/>
    <w:rsid w:val="00DE42A0"/>
    <w:rsid w:val="00DE73F9"/>
    <w:rsid w:val="00DF08AC"/>
    <w:rsid w:val="00DF15F2"/>
    <w:rsid w:val="00DF6E6E"/>
    <w:rsid w:val="00E00005"/>
    <w:rsid w:val="00E0306A"/>
    <w:rsid w:val="00E042D8"/>
    <w:rsid w:val="00E04751"/>
    <w:rsid w:val="00E06AA7"/>
    <w:rsid w:val="00E12677"/>
    <w:rsid w:val="00E17CAF"/>
    <w:rsid w:val="00E2499D"/>
    <w:rsid w:val="00E260A9"/>
    <w:rsid w:val="00E31818"/>
    <w:rsid w:val="00E321C1"/>
    <w:rsid w:val="00E36A16"/>
    <w:rsid w:val="00E61AF5"/>
    <w:rsid w:val="00E62F73"/>
    <w:rsid w:val="00E731B7"/>
    <w:rsid w:val="00E732F8"/>
    <w:rsid w:val="00E80262"/>
    <w:rsid w:val="00E824C0"/>
    <w:rsid w:val="00E91B8A"/>
    <w:rsid w:val="00E9330C"/>
    <w:rsid w:val="00EA1357"/>
    <w:rsid w:val="00EA3B40"/>
    <w:rsid w:val="00EA4DCA"/>
    <w:rsid w:val="00EB25A9"/>
    <w:rsid w:val="00EC27B1"/>
    <w:rsid w:val="00EC6EEF"/>
    <w:rsid w:val="00ED11BD"/>
    <w:rsid w:val="00ED17FB"/>
    <w:rsid w:val="00ED7CEF"/>
    <w:rsid w:val="00F007AC"/>
    <w:rsid w:val="00F00823"/>
    <w:rsid w:val="00F0391E"/>
    <w:rsid w:val="00F04E97"/>
    <w:rsid w:val="00F10F59"/>
    <w:rsid w:val="00F23225"/>
    <w:rsid w:val="00F34459"/>
    <w:rsid w:val="00F441F5"/>
    <w:rsid w:val="00F546D8"/>
    <w:rsid w:val="00F605E2"/>
    <w:rsid w:val="00F61F6D"/>
    <w:rsid w:val="00F96C33"/>
    <w:rsid w:val="00FA07A2"/>
    <w:rsid w:val="00FA4942"/>
    <w:rsid w:val="00FB135A"/>
    <w:rsid w:val="00FB193C"/>
    <w:rsid w:val="00FC16F6"/>
    <w:rsid w:val="00FD75B8"/>
    <w:rsid w:val="00FE1DCD"/>
    <w:rsid w:val="00FE675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AF"/>
    <w:pPr>
      <w:autoSpaceDE w:val="0"/>
      <w:autoSpaceDN w:val="0"/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מרים 10"/>
    <w:basedOn w:val="a"/>
    <w:link w:val="100"/>
    <w:qFormat/>
    <w:rsid w:val="00E9330C"/>
    <w:pPr>
      <w:autoSpaceDE/>
      <w:autoSpaceDN/>
    </w:pPr>
    <w:rPr>
      <w:rFonts w:asciiTheme="minorHAnsi" w:eastAsiaTheme="minorHAnsi" w:hAnsiTheme="minorHAnsi" w:cs="Miriam"/>
      <w:sz w:val="22"/>
      <w:szCs w:val="22"/>
    </w:rPr>
  </w:style>
  <w:style w:type="character" w:customStyle="1" w:styleId="100">
    <w:name w:val="מרים 10 תו"/>
    <w:basedOn w:val="a0"/>
    <w:link w:val="10"/>
    <w:rsid w:val="00E9330C"/>
    <w:rPr>
      <w:rFonts w:cs="Miriam"/>
      <w:lang w:eastAsia="he-IL"/>
    </w:rPr>
  </w:style>
  <w:style w:type="paragraph" w:customStyle="1" w:styleId="a3">
    <w:name w:val="הערות ישעיהו"/>
    <w:basedOn w:val="a"/>
    <w:link w:val="a4"/>
    <w:qFormat/>
    <w:rsid w:val="003A7CC6"/>
    <w:pPr>
      <w:widowControl w:val="0"/>
      <w:suppressAutoHyphens/>
      <w:autoSpaceDE/>
      <w:autoSpaceDN/>
    </w:pPr>
    <w:rPr>
      <w:rFonts w:ascii="Miriam" w:eastAsia="Rod" w:hAnsi="Miriam" w:cs="Miriam"/>
      <w:kern w:val="1"/>
      <w:sz w:val="22"/>
      <w:szCs w:val="22"/>
    </w:rPr>
  </w:style>
  <w:style w:type="character" w:customStyle="1" w:styleId="a4">
    <w:name w:val="הערות ישעיהו תו"/>
    <w:basedOn w:val="a0"/>
    <w:link w:val="a3"/>
    <w:rsid w:val="003A7CC6"/>
    <w:rPr>
      <w:rFonts w:ascii="Miriam" w:eastAsia="Rod" w:hAnsi="Miriam" w:cs="Miriam"/>
      <w:kern w:val="1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AF"/>
    <w:pPr>
      <w:autoSpaceDE w:val="0"/>
      <w:autoSpaceDN w:val="0"/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מרים 10"/>
    <w:basedOn w:val="a"/>
    <w:link w:val="100"/>
    <w:qFormat/>
    <w:rsid w:val="00E9330C"/>
    <w:pPr>
      <w:autoSpaceDE/>
      <w:autoSpaceDN/>
    </w:pPr>
    <w:rPr>
      <w:rFonts w:asciiTheme="minorHAnsi" w:eastAsiaTheme="minorHAnsi" w:hAnsiTheme="minorHAnsi" w:cs="Miriam"/>
      <w:sz w:val="22"/>
      <w:szCs w:val="22"/>
    </w:rPr>
  </w:style>
  <w:style w:type="character" w:customStyle="1" w:styleId="100">
    <w:name w:val="מרים 10 תו"/>
    <w:basedOn w:val="a0"/>
    <w:link w:val="10"/>
    <w:rsid w:val="00E9330C"/>
    <w:rPr>
      <w:rFonts w:cs="Miriam"/>
      <w:lang w:eastAsia="he-IL"/>
    </w:rPr>
  </w:style>
  <w:style w:type="paragraph" w:customStyle="1" w:styleId="a3">
    <w:name w:val="הערות ישעיהו"/>
    <w:basedOn w:val="a"/>
    <w:link w:val="a4"/>
    <w:qFormat/>
    <w:rsid w:val="003A7CC6"/>
    <w:pPr>
      <w:widowControl w:val="0"/>
      <w:suppressAutoHyphens/>
      <w:autoSpaceDE/>
      <w:autoSpaceDN/>
    </w:pPr>
    <w:rPr>
      <w:rFonts w:ascii="Miriam" w:eastAsia="Rod" w:hAnsi="Miriam" w:cs="Miriam"/>
      <w:kern w:val="1"/>
      <w:sz w:val="22"/>
      <w:szCs w:val="22"/>
    </w:rPr>
  </w:style>
  <w:style w:type="character" w:customStyle="1" w:styleId="a4">
    <w:name w:val="הערות ישעיהו תו"/>
    <w:basedOn w:val="a0"/>
    <w:link w:val="a3"/>
    <w:rsid w:val="003A7CC6"/>
    <w:rPr>
      <w:rFonts w:ascii="Miriam" w:eastAsia="Rod" w:hAnsi="Miriam" w:cs="Miriam"/>
      <w:kern w:val="1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הולנדר</dc:creator>
  <cp:keywords/>
  <dc:description/>
  <cp:lastModifiedBy>הולנדר</cp:lastModifiedBy>
  <cp:revision>1</cp:revision>
  <dcterms:created xsi:type="dcterms:W3CDTF">2013-08-02T08:16:00Z</dcterms:created>
  <dcterms:modified xsi:type="dcterms:W3CDTF">2013-08-02T08:16:00Z</dcterms:modified>
</cp:coreProperties>
</file>