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0C8" w:rsidRPr="00315A76" w:rsidRDefault="00B45A22" w:rsidP="006A29B5">
      <w:pPr>
        <w:rPr>
          <w:rFonts w:hint="cs"/>
          <w:sz w:val="21"/>
          <w:szCs w:val="21"/>
          <w:rtl/>
        </w:rPr>
      </w:pPr>
      <w:r w:rsidRPr="00315A76">
        <w:rPr>
          <w:rFonts w:hint="cs"/>
          <w:sz w:val="21"/>
          <w:szCs w:val="21"/>
          <w:rtl/>
        </w:rPr>
        <w:t>בס"ד</w:t>
      </w:r>
      <w:r w:rsidR="00D0291E" w:rsidRPr="00315A76">
        <w:rPr>
          <w:rFonts w:hint="cs"/>
          <w:sz w:val="21"/>
          <w:szCs w:val="21"/>
          <w:rtl/>
        </w:rPr>
        <w:t>, אייר תשע"ט</w:t>
      </w:r>
      <w:r w:rsidR="000B215F">
        <w:rPr>
          <w:sz w:val="21"/>
          <w:szCs w:val="21"/>
          <w:rtl/>
        </w:rPr>
        <w:tab/>
      </w:r>
      <w:r w:rsidR="000B215F">
        <w:rPr>
          <w:sz w:val="21"/>
          <w:szCs w:val="21"/>
          <w:rtl/>
        </w:rPr>
        <w:tab/>
      </w:r>
      <w:r w:rsidR="000B215F">
        <w:rPr>
          <w:sz w:val="21"/>
          <w:szCs w:val="21"/>
          <w:rtl/>
        </w:rPr>
        <w:tab/>
      </w:r>
      <w:r w:rsidR="000B215F">
        <w:rPr>
          <w:sz w:val="21"/>
          <w:szCs w:val="21"/>
          <w:rtl/>
        </w:rPr>
        <w:tab/>
      </w:r>
      <w:r w:rsidR="000B215F">
        <w:rPr>
          <w:sz w:val="21"/>
          <w:szCs w:val="21"/>
          <w:rtl/>
        </w:rPr>
        <w:tab/>
      </w:r>
      <w:r w:rsidR="000B215F">
        <w:rPr>
          <w:sz w:val="21"/>
          <w:szCs w:val="21"/>
          <w:rtl/>
        </w:rPr>
        <w:tab/>
      </w:r>
      <w:r w:rsidR="000B215F">
        <w:rPr>
          <w:sz w:val="21"/>
          <w:szCs w:val="21"/>
          <w:rtl/>
        </w:rPr>
        <w:tab/>
      </w:r>
      <w:r w:rsidR="000B215F" w:rsidRPr="000B215F">
        <w:rPr>
          <w:rFonts w:hint="cs"/>
          <w:b/>
          <w:bCs/>
          <w:sz w:val="21"/>
          <w:szCs w:val="21"/>
          <w:rtl/>
        </w:rPr>
        <w:t>דף מקורות לעיון ולהעמקה, הרב אודי שורץ</w:t>
      </w:r>
    </w:p>
    <w:p w:rsidR="00D0291E" w:rsidRPr="00315A76" w:rsidRDefault="00D0291E" w:rsidP="00D0291E">
      <w:pPr>
        <w:pStyle w:val="a3"/>
        <w:rPr>
          <w:sz w:val="27"/>
          <w:szCs w:val="27"/>
          <w:rtl/>
        </w:rPr>
      </w:pPr>
      <w:r w:rsidRPr="00315A76">
        <w:rPr>
          <w:rFonts w:hint="cs"/>
          <w:sz w:val="27"/>
          <w:szCs w:val="27"/>
          <w:rtl/>
        </w:rPr>
        <w:t>בכורות דף מ"ג, מבוא לסוגיות מומי אדם</w:t>
      </w:r>
      <w:r w:rsidR="00635DE1">
        <w:rPr>
          <w:rFonts w:hint="cs"/>
          <w:sz w:val="27"/>
          <w:szCs w:val="27"/>
          <w:rtl/>
        </w:rPr>
        <w:t xml:space="preserve"> </w:t>
      </w:r>
      <w:r w:rsidR="00635DE1">
        <w:rPr>
          <w:sz w:val="27"/>
          <w:szCs w:val="27"/>
          <w:rtl/>
        </w:rPr>
        <w:t>–</w:t>
      </w:r>
      <w:r w:rsidR="00635DE1">
        <w:rPr>
          <w:rFonts w:hint="cs"/>
          <w:sz w:val="27"/>
          <w:szCs w:val="27"/>
          <w:rtl/>
        </w:rPr>
        <w:t xml:space="preserve"> גוף שבור, ולב שבור</w:t>
      </w:r>
      <w:bookmarkStart w:id="0" w:name="_GoBack"/>
      <w:bookmarkEnd w:id="0"/>
    </w:p>
    <w:p w:rsidR="00254D1C" w:rsidRPr="00315A76" w:rsidRDefault="00254D1C" w:rsidP="00D0291E">
      <w:pPr>
        <w:rPr>
          <w:b/>
          <w:bCs/>
          <w:sz w:val="23"/>
          <w:szCs w:val="23"/>
          <w:u w:val="single"/>
          <w:rtl/>
        </w:rPr>
      </w:pPr>
      <w:r w:rsidRPr="00315A76">
        <w:rPr>
          <w:rFonts w:hint="cs"/>
          <w:b/>
          <w:bCs/>
          <w:sz w:val="23"/>
          <w:szCs w:val="23"/>
          <w:u w:val="single"/>
          <w:rtl/>
        </w:rPr>
        <w:t>א. שני פירושים בדברי הראשונים</w:t>
      </w:r>
    </w:p>
    <w:p w:rsidR="006A29B5" w:rsidRPr="00315A76" w:rsidRDefault="00D0291E" w:rsidP="00D00695">
      <w:pPr>
        <w:pStyle w:val="aa"/>
        <w:numPr>
          <w:ilvl w:val="0"/>
          <w:numId w:val="1"/>
        </w:numPr>
        <w:ind w:left="360"/>
        <w:rPr>
          <w:rFonts w:hint="cs"/>
          <w:sz w:val="23"/>
          <w:szCs w:val="23"/>
          <w:rtl/>
        </w:rPr>
      </w:pPr>
      <w:r w:rsidRPr="00315A76">
        <w:rPr>
          <w:b/>
          <w:bCs/>
          <w:sz w:val="23"/>
          <w:szCs w:val="23"/>
          <w:rtl/>
        </w:rPr>
        <w:t>ויקרא כ</w:t>
      </w:r>
      <w:r w:rsidRPr="00315A76">
        <w:rPr>
          <w:rFonts w:hint="cs"/>
          <w:b/>
          <w:bCs/>
          <w:sz w:val="23"/>
          <w:szCs w:val="23"/>
          <w:rtl/>
        </w:rPr>
        <w:t>"</w:t>
      </w:r>
      <w:r w:rsidRPr="00315A76">
        <w:rPr>
          <w:b/>
          <w:bCs/>
          <w:sz w:val="23"/>
          <w:szCs w:val="23"/>
          <w:rtl/>
        </w:rPr>
        <w:t>א</w:t>
      </w:r>
      <w:r w:rsidRPr="00315A76">
        <w:rPr>
          <w:rFonts w:hint="cs"/>
          <w:b/>
          <w:bCs/>
          <w:sz w:val="23"/>
          <w:szCs w:val="23"/>
          <w:rtl/>
        </w:rPr>
        <w:t>:</w:t>
      </w:r>
      <w:r w:rsidRPr="00315A76">
        <w:rPr>
          <w:rFonts w:hint="cs"/>
          <w:sz w:val="23"/>
          <w:szCs w:val="23"/>
          <w:rtl/>
        </w:rPr>
        <w:t xml:space="preserve"> "</w:t>
      </w:r>
      <w:r w:rsidRPr="00315A76">
        <w:rPr>
          <w:sz w:val="23"/>
          <w:szCs w:val="23"/>
          <w:rtl/>
        </w:rPr>
        <w:t>(טז) וַיְדַבֵּר ה' אֶל מֹשֶׁה לֵּאמֹר: (יז) דַּבֵּר אֶל אַהֲרֹן לֵאמֹר אִישׁ מִזַּרְעֲךָ לְדֹרֹתָם אֲשֶׁר יִהְיֶה בוֹ מוּם לֹא יִקְרַב לְהַקְרִיב לֶחֶם אֱלֹהָיו: (יח) כִּי כָל אִישׁ אֲשֶׁר בּוֹ מוּם לֹא יִקְרָב אִישׁ עִוֵּר אוֹ פִסֵּחַ אוֹ חָרֻם אוֹ שָׂרוּעַ: (יט) אוֹ אִישׁ אֲשֶׁר יִהְיֶה בוֹ שֶׁבֶר רָגֶל אוֹ שֶׁבֶר יָד: (כ) אוֹ גִבֵּן אוֹ דַק אוֹ תְּבַלֻּל בְּעֵינוֹ אוֹ גָרָב אוֹ יַלֶּפֶת אוֹ מְרוֹחַ אָשֶׁךְ: (כא) כָּל אִישׁ אֲשֶׁר בּוֹ מוּם מִזֶּרַע אַהֲרֹן הַכֹּהֵן לֹא יִגַּשׁ לְהַקְרִיב אֶת אִשֵּׁי ה' מוּם בּוֹ אֵת לֶחֶם אֱלֹהָיו לֹא יִגַּשׁ לְהַקְרִיב: (כב) לֶחֶם אֱלֹהָיו מִקָּדְשֵׁי הַקֳּדָשִׁים וּמִן הַקֳּדָשִׁים יֹאכֵל: (כג) אַךְ אֶל הַפָּרֹכֶת לֹא יָבֹא וְאֶל הַמִּזְבֵּחַ לֹא יִגַּשׁ כִּי מוּם בּוֹ וְלֹא יְחַלֵּל אֶת  מִקְדָּשַׁי כִּי אֲנִי ה' מְקַדְּשָׁם: (כד) וַיְדַבֵּר מֹשֶׁה אֶל אַהֲרֹן וְאֶל בָּנָיו וְאֶל כָּל בְּנֵי יִשְׂרָאֵל:</w:t>
      </w:r>
      <w:r w:rsidRPr="00315A76">
        <w:rPr>
          <w:rFonts w:hint="cs"/>
          <w:sz w:val="23"/>
          <w:szCs w:val="23"/>
          <w:rtl/>
        </w:rPr>
        <w:t>".</w:t>
      </w:r>
    </w:p>
    <w:p w:rsidR="00D0291E" w:rsidRPr="00315A76" w:rsidRDefault="00D0291E" w:rsidP="00D00695">
      <w:pPr>
        <w:pStyle w:val="aa"/>
        <w:numPr>
          <w:ilvl w:val="0"/>
          <w:numId w:val="1"/>
        </w:numPr>
        <w:ind w:left="360"/>
        <w:rPr>
          <w:rFonts w:hint="cs"/>
          <w:sz w:val="23"/>
          <w:szCs w:val="23"/>
          <w:rtl/>
        </w:rPr>
      </w:pPr>
      <w:r w:rsidRPr="00315A76">
        <w:rPr>
          <w:b/>
          <w:bCs/>
          <w:sz w:val="23"/>
          <w:szCs w:val="23"/>
          <w:rtl/>
        </w:rPr>
        <w:t>רש"י</w:t>
      </w:r>
      <w:r w:rsidRPr="00315A76">
        <w:rPr>
          <w:rFonts w:hint="cs"/>
          <w:b/>
          <w:bCs/>
          <w:sz w:val="23"/>
          <w:szCs w:val="23"/>
          <w:rtl/>
        </w:rPr>
        <w:t xml:space="preserve"> שם:</w:t>
      </w:r>
      <w:r w:rsidRPr="00315A76">
        <w:rPr>
          <w:rFonts w:hint="cs"/>
          <w:sz w:val="23"/>
          <w:szCs w:val="23"/>
          <w:rtl/>
        </w:rPr>
        <w:t xml:space="preserve"> "</w:t>
      </w:r>
      <w:r w:rsidRPr="00315A76">
        <w:rPr>
          <w:sz w:val="23"/>
          <w:szCs w:val="23"/>
          <w:rtl/>
        </w:rPr>
        <w:t>כי כל איש אשר בו מום לא יקרב - אינו דין שיקרב, כמו (מלאכי א ח) הקריבהו נא לפחתך</w:t>
      </w:r>
      <w:r w:rsidRPr="00315A76">
        <w:rPr>
          <w:rFonts w:hint="cs"/>
          <w:sz w:val="23"/>
          <w:szCs w:val="23"/>
          <w:rtl/>
        </w:rPr>
        <w:t>".</w:t>
      </w:r>
    </w:p>
    <w:p w:rsidR="00254D1C" w:rsidRPr="00315A76" w:rsidRDefault="00254D1C" w:rsidP="00D00695">
      <w:pPr>
        <w:pStyle w:val="aa"/>
        <w:numPr>
          <w:ilvl w:val="0"/>
          <w:numId w:val="1"/>
        </w:numPr>
        <w:ind w:left="360"/>
        <w:rPr>
          <w:rFonts w:hint="cs"/>
          <w:sz w:val="23"/>
          <w:szCs w:val="23"/>
          <w:rtl/>
        </w:rPr>
      </w:pPr>
      <w:r w:rsidRPr="00315A76">
        <w:rPr>
          <w:rFonts w:hint="cs"/>
          <w:b/>
          <w:bCs/>
          <w:sz w:val="23"/>
          <w:szCs w:val="23"/>
          <w:rtl/>
        </w:rPr>
        <w:t xml:space="preserve">ספר החינוך, מצוה ער"ה: </w:t>
      </w:r>
      <w:r w:rsidRPr="00315A76">
        <w:rPr>
          <w:rFonts w:hint="cs"/>
          <w:sz w:val="23"/>
          <w:szCs w:val="23"/>
          <w:rtl/>
        </w:rPr>
        <w:t>"</w:t>
      </w:r>
      <w:r w:rsidRPr="00315A76">
        <w:rPr>
          <w:sz w:val="23"/>
          <w:szCs w:val="23"/>
          <w:rtl/>
        </w:rPr>
        <w:t xml:space="preserve">משרשי המצוה, לפי שרוב פעולות בני אדם רצויות אל לב רואיהם לפי חשיבות עושיהן, כי בהיות האדם חשוב במראהו וטוב במעשיו ימצא חן ושכל טוב בכל אשר יעשה בעיני כל רואיו, ואם יהיה בהפך מזה פחות בצורתו ומשונה באיבריו, ואם ישר בדרכיו, לא יאותו פעולותיו כל כך אל לב רואיו, על כן באמת ראוי להיות השליח שהכפרה תלויה עליו איש חן, יפה תואר ויפה מראה ונאה בכל דרכיו, למען יתפשו מחשבות בני איש אחריו. </w:t>
      </w:r>
    </w:p>
    <w:p w:rsidR="00D0291E" w:rsidRPr="00315A76" w:rsidRDefault="00254D1C" w:rsidP="00D00695">
      <w:pPr>
        <w:pStyle w:val="aa"/>
        <w:ind w:left="360"/>
        <w:rPr>
          <w:sz w:val="23"/>
          <w:szCs w:val="23"/>
          <w:rtl/>
        </w:rPr>
      </w:pPr>
      <w:r w:rsidRPr="00315A76">
        <w:rPr>
          <w:sz w:val="23"/>
          <w:szCs w:val="23"/>
          <w:rtl/>
        </w:rPr>
        <w:t>ומלבד זה אפשר שיש בשלימות צורתו רמז לענינים שמתוך מחשבות האדם בהן תטהר נפשו ותתעלה, ולכן אין ראוי בשום צד שיהיה בו שינוי צורה מכל צורותיו, פן תתפזר נפש המחשב מצד השינוי ותנוד מן החפץ</w:t>
      </w:r>
      <w:r w:rsidRPr="00315A76">
        <w:rPr>
          <w:rFonts w:hint="cs"/>
          <w:sz w:val="23"/>
          <w:szCs w:val="23"/>
          <w:rtl/>
        </w:rPr>
        <w:t>".</w:t>
      </w:r>
    </w:p>
    <w:p w:rsidR="00254D1C" w:rsidRPr="00315A76" w:rsidRDefault="00254D1C" w:rsidP="00D00695">
      <w:pPr>
        <w:pStyle w:val="aa"/>
        <w:numPr>
          <w:ilvl w:val="0"/>
          <w:numId w:val="1"/>
        </w:numPr>
        <w:ind w:left="360"/>
        <w:rPr>
          <w:sz w:val="23"/>
          <w:szCs w:val="23"/>
          <w:rtl/>
        </w:rPr>
      </w:pPr>
      <w:r w:rsidRPr="00315A76">
        <w:rPr>
          <w:b/>
          <w:bCs/>
          <w:sz w:val="23"/>
          <w:szCs w:val="23"/>
          <w:rtl/>
        </w:rPr>
        <w:t>מורה הנבוכים</w:t>
      </w:r>
      <w:r w:rsidRPr="00315A76">
        <w:rPr>
          <w:rFonts w:hint="cs"/>
          <w:b/>
          <w:bCs/>
          <w:sz w:val="23"/>
          <w:szCs w:val="23"/>
          <w:rtl/>
        </w:rPr>
        <w:t>, ג' מ"ה:</w:t>
      </w:r>
      <w:r w:rsidRPr="00315A76">
        <w:rPr>
          <w:rFonts w:hint="cs"/>
          <w:sz w:val="23"/>
          <w:szCs w:val="23"/>
          <w:rtl/>
        </w:rPr>
        <w:t xml:space="preserve"> "</w:t>
      </w:r>
      <w:r w:rsidRPr="00315A76">
        <w:rPr>
          <w:sz w:val="23"/>
          <w:szCs w:val="23"/>
          <w:rtl/>
        </w:rPr>
        <w:t>ואמנם היות השמירה והסבוב סביב למקדש תמיד, הוא לכבד אותו ולפארו ושלא יהרסו הסכלים גם כן והטמאים אליו ולא בעת האנינות וכל מי שלא רחץ גופו כמו שיתבאר</w:t>
      </w:r>
      <w:r w:rsidRPr="00315A76">
        <w:rPr>
          <w:rFonts w:hint="cs"/>
          <w:sz w:val="23"/>
          <w:szCs w:val="23"/>
          <w:rtl/>
        </w:rPr>
        <w:t>.</w:t>
      </w:r>
      <w:r w:rsidRPr="00315A76">
        <w:rPr>
          <w:sz w:val="23"/>
          <w:szCs w:val="23"/>
          <w:rtl/>
        </w:rPr>
        <w:t xml:space="preserve"> ומכלל הדברים המביאים להגדיל המקדש ולפארו עד שיגיע לנו יראה ממנו</w:t>
      </w:r>
      <w:r w:rsidRPr="00315A76">
        <w:rPr>
          <w:rFonts w:hint="cs"/>
          <w:sz w:val="23"/>
          <w:szCs w:val="23"/>
          <w:rtl/>
        </w:rPr>
        <w:t xml:space="preserve"> ... </w:t>
      </w:r>
      <w:r w:rsidRPr="00315A76">
        <w:rPr>
          <w:sz w:val="23"/>
          <w:szCs w:val="23"/>
          <w:rtl/>
        </w:rPr>
        <w:t xml:space="preserve">וצוה להלביש הכהנים בגדים נאים ומלבושים יפים וטובים בגדי קדש לכבוד ולתפארת, ושלא ישמש בעבודה בעל מום, ולא בעל מום לבד אלא הכעורים ג"כ פוסלים בכהנים כמו שהתבאר בתלמוד זאת המצוה, ומפני שההמון לא יגדל אדם אצלם בצורתו האמתית אלא בשלמות איבריו ויופי בגדיו, והמכוון </w:t>
      </w:r>
      <w:r w:rsidRPr="00315A76">
        <w:rPr>
          <w:sz w:val="23"/>
          <w:szCs w:val="23"/>
          <w:rtl/>
        </w:rPr>
        <w:t>שתהיה לבית גדולה ותפארת אצל הכל</w:t>
      </w:r>
      <w:r w:rsidRPr="00315A76">
        <w:rPr>
          <w:rFonts w:hint="cs"/>
          <w:sz w:val="23"/>
          <w:szCs w:val="23"/>
          <w:rtl/>
        </w:rPr>
        <w:t>".</w:t>
      </w:r>
    </w:p>
    <w:p w:rsidR="00D0291E" w:rsidRPr="00315A76" w:rsidRDefault="00D0291E" w:rsidP="00D00695">
      <w:pPr>
        <w:pStyle w:val="aa"/>
        <w:numPr>
          <w:ilvl w:val="0"/>
          <w:numId w:val="1"/>
        </w:numPr>
        <w:ind w:left="360"/>
        <w:rPr>
          <w:sz w:val="23"/>
          <w:szCs w:val="23"/>
          <w:rtl/>
        </w:rPr>
      </w:pPr>
      <w:r w:rsidRPr="00315A76">
        <w:rPr>
          <w:b/>
          <w:bCs/>
          <w:sz w:val="23"/>
          <w:szCs w:val="23"/>
          <w:rtl/>
        </w:rPr>
        <w:t>רמב"ן ויקרא</w:t>
      </w:r>
      <w:r w:rsidR="00254D1C" w:rsidRPr="00315A76">
        <w:rPr>
          <w:rFonts w:hint="cs"/>
          <w:b/>
          <w:bCs/>
          <w:sz w:val="23"/>
          <w:szCs w:val="23"/>
          <w:rtl/>
        </w:rPr>
        <w:t>, שם:</w:t>
      </w:r>
      <w:r w:rsidR="00254D1C" w:rsidRPr="00315A76">
        <w:rPr>
          <w:rFonts w:hint="cs"/>
          <w:sz w:val="23"/>
          <w:szCs w:val="23"/>
          <w:rtl/>
        </w:rPr>
        <w:t xml:space="preserve"> "</w:t>
      </w:r>
      <w:r w:rsidRPr="00315A76">
        <w:rPr>
          <w:sz w:val="23"/>
          <w:szCs w:val="23"/>
          <w:rtl/>
        </w:rPr>
        <w:t>אבל בכאן אם אמר "דבר אל אהרן ואל בניו" ראוי שיאמר "איש מכם לדורותיכם", ולא ירצה להזהיר את אהרן עצמו בתורת המומין, כי אהרן קדוש ה' כולו יפה ומום לא יהיה בו, אבל יזהירנו על זרעו שיורם ויזהיר אותם לדורותם. ובפרשת הטומאה בסמוך (להלן כב ב) דבר אל אהרן ואל בניו וינזרו מקדשי בני ישראל, כי יתכן שגם באהרן ארע טומאת המגע במת או בשרץ, וכאשר בא להזכיר הצרעת והזוב חזר ואמר (שם פסוק ד) איש איש מזרע אהרן, כי לא יארע זה בגופו כי מלאך ה' צבאות הוא</w:t>
      </w:r>
      <w:r w:rsidR="00254D1C" w:rsidRPr="00315A76">
        <w:rPr>
          <w:rFonts w:hint="cs"/>
          <w:sz w:val="23"/>
          <w:szCs w:val="23"/>
          <w:rtl/>
        </w:rPr>
        <w:t>"</w:t>
      </w:r>
      <w:r w:rsidRPr="00315A76">
        <w:rPr>
          <w:sz w:val="23"/>
          <w:szCs w:val="23"/>
          <w:rtl/>
        </w:rPr>
        <w:t>.</w:t>
      </w:r>
    </w:p>
    <w:p w:rsidR="00254D1C" w:rsidRPr="00315A76" w:rsidRDefault="00254D1C" w:rsidP="00D00695">
      <w:pPr>
        <w:pStyle w:val="aa"/>
        <w:numPr>
          <w:ilvl w:val="0"/>
          <w:numId w:val="1"/>
        </w:numPr>
        <w:ind w:left="360"/>
        <w:rPr>
          <w:sz w:val="23"/>
          <w:szCs w:val="23"/>
          <w:rtl/>
        </w:rPr>
      </w:pPr>
      <w:r w:rsidRPr="00315A76">
        <w:rPr>
          <w:rFonts w:hint="cs"/>
          <w:b/>
          <w:bCs/>
          <w:sz w:val="23"/>
          <w:szCs w:val="23"/>
          <w:rtl/>
        </w:rPr>
        <w:t xml:space="preserve">כלי יקר, שם: </w:t>
      </w:r>
      <w:r w:rsidRPr="00315A76">
        <w:rPr>
          <w:rFonts w:hint="cs"/>
          <w:sz w:val="23"/>
          <w:szCs w:val="23"/>
          <w:rtl/>
        </w:rPr>
        <w:t>"</w:t>
      </w:r>
      <w:r w:rsidRPr="00315A76">
        <w:rPr>
          <w:sz w:val="23"/>
          <w:szCs w:val="23"/>
          <w:rtl/>
        </w:rPr>
        <w:t>על כן אומר אני שהקדמונים שהיו בקיאין בחכמות היו יודעין בכל מום שנתהוה באדם טרם היותו מצד איזה עוון שראו בו דרך משל אם ידעו שהוא מקבל שוחד ידעו בו שסופו בא לידי עיורון, ואם ראו בו רגל גאוה ידעו בו שסופו לבוא לידי שבר רגל, והכרת פניו ענתה בו שהכירו במראה פניו איזו תכונה רעה שיש בקרבו הפוגמת איזה אבר ידוע וסופו לבוא לידי מום נגלה וראוי לגאלו מן הכהונה על שם סופו, לכך נאמר איש איש מזרעך אשר יהיה בו מום, שהכרת פניו ענתה שלסוף יהיה בו מום כי מתוך מעשיו ניכר שלסוף יבוא לידי מום זה שיהיה בו הרי הוא נפסל על שם סופו</w:t>
      </w:r>
      <w:r w:rsidRPr="00315A76">
        <w:rPr>
          <w:rFonts w:hint="cs"/>
          <w:sz w:val="23"/>
          <w:szCs w:val="23"/>
          <w:rtl/>
        </w:rPr>
        <w:t>".</w:t>
      </w:r>
    </w:p>
    <w:p w:rsidR="00254D1C" w:rsidRPr="00315A76" w:rsidRDefault="00254D1C" w:rsidP="00D00695">
      <w:pPr>
        <w:rPr>
          <w:sz w:val="23"/>
          <w:szCs w:val="23"/>
          <w:rtl/>
        </w:rPr>
      </w:pPr>
    </w:p>
    <w:p w:rsidR="00254D1C" w:rsidRPr="00315A76" w:rsidRDefault="00254D1C" w:rsidP="00D00695">
      <w:pPr>
        <w:rPr>
          <w:b/>
          <w:bCs/>
          <w:sz w:val="23"/>
          <w:szCs w:val="23"/>
          <w:u w:val="single"/>
          <w:rtl/>
        </w:rPr>
      </w:pPr>
      <w:r w:rsidRPr="00315A76">
        <w:rPr>
          <w:rFonts w:hint="cs"/>
          <w:b/>
          <w:bCs/>
          <w:sz w:val="23"/>
          <w:szCs w:val="23"/>
          <w:u w:val="single"/>
          <w:rtl/>
        </w:rPr>
        <w:t>ב.</w:t>
      </w:r>
      <w:r w:rsidR="00E30C89" w:rsidRPr="00315A76">
        <w:rPr>
          <w:rFonts w:hint="cs"/>
          <w:b/>
          <w:bCs/>
          <w:sz w:val="23"/>
          <w:szCs w:val="23"/>
          <w:u w:val="single"/>
          <w:rtl/>
        </w:rPr>
        <w:t xml:space="preserve"> שליח ציבור בעל מום, ותוכחת מו"ר הרב ליכטנשטיין לרב בני לאו</w:t>
      </w:r>
    </w:p>
    <w:p w:rsidR="00254D1C" w:rsidRPr="00315A76" w:rsidRDefault="00254D1C" w:rsidP="00D00695">
      <w:pPr>
        <w:pStyle w:val="aa"/>
        <w:numPr>
          <w:ilvl w:val="0"/>
          <w:numId w:val="1"/>
        </w:numPr>
        <w:ind w:left="360"/>
        <w:rPr>
          <w:sz w:val="23"/>
          <w:szCs w:val="23"/>
          <w:rtl/>
        </w:rPr>
      </w:pPr>
      <w:r w:rsidRPr="00315A76">
        <w:rPr>
          <w:rFonts w:hint="cs"/>
          <w:b/>
          <w:bCs/>
          <w:sz w:val="23"/>
          <w:szCs w:val="23"/>
          <w:rtl/>
        </w:rPr>
        <w:t xml:space="preserve">ים של שלמה חולין, א' מ"ח: </w:t>
      </w:r>
      <w:r w:rsidRPr="00315A76">
        <w:rPr>
          <w:rFonts w:hint="cs"/>
          <w:sz w:val="23"/>
          <w:szCs w:val="23"/>
          <w:rtl/>
        </w:rPr>
        <w:t>"</w:t>
      </w:r>
      <w:r w:rsidRPr="00315A76">
        <w:rPr>
          <w:sz w:val="23"/>
          <w:szCs w:val="23"/>
          <w:rtl/>
        </w:rPr>
        <w:t>עוד כתב בתשוב' מהר"ם (דפוס קרימונה סימן רמ"ט) וז"ל, וששאלת אם אדם שפגעה בו מדת הדין שנפלו לו זרועותיו ראוי להיות ש"ץ, פשיטא דראוי וראוי הוא, ואדרבה מצוה מן המובחר, דמלך מלכי המלכים חפץ להשתמש בכלים שבורים, ולא כדרך שרים בשר ודם, שנאמר (תהלים נ"א י"ט) לב נשבר וג', דאין נפסל במומין אלא כהנים עכ"ל, ואני אבוא אחריו למלא את דבריו, דהא אפי' לוים שעבודתן בשיר בשילה ובית עולמים, אפ"ה אין נפסלין אלא בקול, כמ"ש לעיל, כ"ש ש"ץ שלנו</w:t>
      </w:r>
      <w:r w:rsidRPr="00315A76">
        <w:rPr>
          <w:rFonts w:hint="cs"/>
          <w:sz w:val="23"/>
          <w:szCs w:val="23"/>
          <w:rtl/>
        </w:rPr>
        <w:t>".</w:t>
      </w:r>
    </w:p>
    <w:p w:rsidR="00254D1C" w:rsidRPr="00315A76" w:rsidRDefault="00254D1C" w:rsidP="00D00695">
      <w:pPr>
        <w:pStyle w:val="aa"/>
        <w:numPr>
          <w:ilvl w:val="0"/>
          <w:numId w:val="1"/>
        </w:numPr>
        <w:ind w:left="360"/>
        <w:rPr>
          <w:sz w:val="23"/>
          <w:szCs w:val="23"/>
          <w:rtl/>
        </w:rPr>
      </w:pPr>
      <w:r w:rsidRPr="00315A76">
        <w:rPr>
          <w:b/>
          <w:bCs/>
          <w:sz w:val="23"/>
          <w:szCs w:val="23"/>
          <w:rtl/>
        </w:rPr>
        <w:t>מגן אברהם</w:t>
      </w:r>
      <w:r w:rsidRPr="00315A76">
        <w:rPr>
          <w:rFonts w:hint="cs"/>
          <w:b/>
          <w:bCs/>
          <w:sz w:val="23"/>
          <w:szCs w:val="23"/>
          <w:rtl/>
        </w:rPr>
        <w:t>, נ"ג ח':</w:t>
      </w:r>
      <w:r w:rsidRPr="00315A76">
        <w:rPr>
          <w:rFonts w:hint="cs"/>
          <w:sz w:val="23"/>
          <w:szCs w:val="23"/>
          <w:rtl/>
        </w:rPr>
        <w:t xml:space="preserve"> "</w:t>
      </w:r>
      <w:r w:rsidRPr="00315A76">
        <w:rPr>
          <w:sz w:val="23"/>
          <w:szCs w:val="23"/>
          <w:rtl/>
        </w:rPr>
        <w:t>מי שנפלו זרועותיו מותר להיות ש"ץ שדרך הקדוש ברוך הוא להשתמש בכלים שבורים כדאמר במדרש ויראו שלא יהיה ש"ץ טיפש (רש"ל פ"ק דחולין) אבל בזוהר אמור ע' קע"ג אי' דהא דקב"ה משתמש בכלים שבורים היינו דכא ושפל רוח אבל מי שיש בו מום הוא פגום ע"ש שהאריך בזה ולכן כהן בעל מום פסול לעבודה וא"כ גם בש"ץ יש לי</w:t>
      </w:r>
      <w:r w:rsidRPr="00315A76">
        <w:rPr>
          <w:sz w:val="23"/>
          <w:szCs w:val="23"/>
          <w:rtl/>
        </w:rPr>
        <w:t>זהר, ועוד הקריבהו נא לפחתך וגו'</w:t>
      </w:r>
      <w:r w:rsidRPr="00315A76">
        <w:rPr>
          <w:rFonts w:hint="cs"/>
          <w:sz w:val="23"/>
          <w:szCs w:val="23"/>
          <w:rtl/>
        </w:rPr>
        <w:t xml:space="preserve"> ".</w:t>
      </w:r>
    </w:p>
    <w:p w:rsidR="00254D1C" w:rsidRPr="00315A76" w:rsidRDefault="00254D1C" w:rsidP="00D00695">
      <w:pPr>
        <w:pStyle w:val="aa"/>
        <w:numPr>
          <w:ilvl w:val="0"/>
          <w:numId w:val="1"/>
        </w:numPr>
        <w:ind w:left="360"/>
        <w:rPr>
          <w:sz w:val="23"/>
          <w:szCs w:val="23"/>
          <w:rtl/>
        </w:rPr>
      </w:pPr>
      <w:r w:rsidRPr="00315A76">
        <w:rPr>
          <w:b/>
          <w:bCs/>
          <w:sz w:val="23"/>
          <w:szCs w:val="23"/>
          <w:rtl/>
        </w:rPr>
        <w:t>שו"ת חוות יאיר</w:t>
      </w:r>
      <w:r w:rsidRPr="00315A76">
        <w:rPr>
          <w:rFonts w:hint="cs"/>
          <w:b/>
          <w:bCs/>
          <w:sz w:val="23"/>
          <w:szCs w:val="23"/>
          <w:rtl/>
        </w:rPr>
        <w:t xml:space="preserve">, </w:t>
      </w:r>
      <w:r w:rsidRPr="00315A76">
        <w:rPr>
          <w:b/>
          <w:bCs/>
          <w:sz w:val="23"/>
          <w:szCs w:val="23"/>
          <w:rtl/>
        </w:rPr>
        <w:t>קע</w:t>
      </w:r>
      <w:r w:rsidRPr="00315A76">
        <w:rPr>
          <w:rFonts w:hint="cs"/>
          <w:b/>
          <w:bCs/>
          <w:sz w:val="23"/>
          <w:szCs w:val="23"/>
          <w:rtl/>
        </w:rPr>
        <w:t>"</w:t>
      </w:r>
      <w:r w:rsidRPr="00315A76">
        <w:rPr>
          <w:b/>
          <w:bCs/>
          <w:sz w:val="23"/>
          <w:szCs w:val="23"/>
          <w:rtl/>
        </w:rPr>
        <w:t>ו</w:t>
      </w:r>
      <w:r w:rsidRPr="00315A76">
        <w:rPr>
          <w:rFonts w:hint="cs"/>
          <w:b/>
          <w:bCs/>
          <w:sz w:val="23"/>
          <w:szCs w:val="23"/>
          <w:rtl/>
        </w:rPr>
        <w:t>:</w:t>
      </w:r>
      <w:r w:rsidRPr="00315A76">
        <w:rPr>
          <w:rFonts w:hint="cs"/>
          <w:sz w:val="23"/>
          <w:szCs w:val="23"/>
          <w:rtl/>
        </w:rPr>
        <w:t xml:space="preserve"> "</w:t>
      </w:r>
      <w:r w:rsidRPr="00315A76">
        <w:rPr>
          <w:sz w:val="23"/>
          <w:szCs w:val="23"/>
          <w:rtl/>
        </w:rPr>
        <w:t>שאלה</w:t>
      </w:r>
      <w:r w:rsidRPr="00315A76">
        <w:rPr>
          <w:rFonts w:hint="cs"/>
          <w:sz w:val="23"/>
          <w:szCs w:val="23"/>
          <w:rtl/>
        </w:rPr>
        <w:t>:</w:t>
      </w:r>
      <w:r w:rsidRPr="00315A76">
        <w:rPr>
          <w:sz w:val="23"/>
          <w:szCs w:val="23"/>
          <w:rtl/>
        </w:rPr>
        <w:t xml:space="preserve"> תמהת על אשר שמעת שהרע בעיני שהעבירו שם ק"ק פלונ</w:t>
      </w:r>
      <w:r w:rsidR="00E30C89" w:rsidRPr="00315A76">
        <w:rPr>
          <w:sz w:val="23"/>
          <w:szCs w:val="23"/>
          <w:rtl/>
        </w:rPr>
        <w:t>י סומא בא' מעיניו בימים הנוראי</w:t>
      </w:r>
      <w:r w:rsidR="00E30C89" w:rsidRPr="00315A76">
        <w:rPr>
          <w:rFonts w:hint="cs"/>
          <w:sz w:val="23"/>
          <w:szCs w:val="23"/>
          <w:rtl/>
        </w:rPr>
        <w:t xml:space="preserve">ם. תשובה: </w:t>
      </w:r>
      <w:r w:rsidRPr="00315A76">
        <w:rPr>
          <w:sz w:val="23"/>
          <w:szCs w:val="23"/>
          <w:rtl/>
        </w:rPr>
        <w:t xml:space="preserve">מימי לא אמרתי דבר וחזרתי לאחורי וידעתי בני ידעתי מ"ש רז"ל שהקב"ה משתמש בכלים שבורים רק </w:t>
      </w:r>
      <w:r w:rsidRPr="00315A76">
        <w:rPr>
          <w:sz w:val="23"/>
          <w:szCs w:val="23"/>
          <w:rtl/>
        </w:rPr>
        <w:lastRenderedPageBreak/>
        <w:t>דמשם אין ראיה דההיא לא מקרי מום ע"פ האמת וכל לב נשבר שפיר מקרי צדיק תמים מש"כ מום בגוף י"ל כל מום רע</w:t>
      </w:r>
      <w:r w:rsidR="00E30C89" w:rsidRPr="00315A76">
        <w:rPr>
          <w:rFonts w:hint="cs"/>
          <w:sz w:val="23"/>
          <w:szCs w:val="23"/>
          <w:rtl/>
        </w:rPr>
        <w:t>.</w:t>
      </w:r>
      <w:r w:rsidRPr="00315A76">
        <w:rPr>
          <w:sz w:val="23"/>
          <w:szCs w:val="23"/>
          <w:rtl/>
        </w:rPr>
        <w:t xml:space="preserve"> ומימי לא עלה על לבי דפסול משום דתפלה במקום קרבן וכהן העובד צריך שיהיה בלי מום כמו שעלה על דעתך</w:t>
      </w:r>
      <w:r w:rsidR="00E30C89" w:rsidRPr="00315A76">
        <w:rPr>
          <w:rFonts w:hint="cs"/>
          <w:sz w:val="23"/>
          <w:szCs w:val="23"/>
          <w:rtl/>
        </w:rPr>
        <w:t xml:space="preserve"> ... </w:t>
      </w:r>
      <w:r w:rsidRPr="00315A76">
        <w:rPr>
          <w:sz w:val="23"/>
          <w:szCs w:val="23"/>
          <w:rtl/>
        </w:rPr>
        <w:t>מ"מ לא מחשבותיך מחש</w:t>
      </w:r>
      <w:r w:rsidR="00E30C89" w:rsidRPr="00315A76">
        <w:rPr>
          <w:sz w:val="23"/>
          <w:szCs w:val="23"/>
          <w:rtl/>
        </w:rPr>
        <w:t>בתי דברור דאין לדמותו לכהן בכה</w:t>
      </w:r>
      <w:r w:rsidR="00E30C89" w:rsidRPr="00315A76">
        <w:rPr>
          <w:rFonts w:hint="cs"/>
          <w:sz w:val="23"/>
          <w:szCs w:val="23"/>
          <w:rtl/>
        </w:rPr>
        <w:t xml:space="preserve">אי כוונא ... </w:t>
      </w:r>
      <w:r w:rsidRPr="00315A76">
        <w:rPr>
          <w:sz w:val="23"/>
          <w:szCs w:val="23"/>
          <w:rtl/>
        </w:rPr>
        <w:t>ועם כל זה קראתי תגר כמו שכתבת כי נ"ל דבתרווייהו איכא למיחש מיהא היכא דאיכא אחר הגון וראוי כיוצא בזה כי ידוע שרמ"ח איברים הם כסא ודמות לרמ"ח אורות עליונים ורמ"ח א</w:t>
      </w:r>
      <w:r w:rsidR="00E30C89" w:rsidRPr="00315A76">
        <w:rPr>
          <w:sz w:val="23"/>
          <w:szCs w:val="23"/>
          <w:rtl/>
        </w:rPr>
        <w:t>יברים רוחניים שבנשמה וא"כ כל כה</w:t>
      </w:r>
      <w:r w:rsidR="00E30C89" w:rsidRPr="00315A76">
        <w:rPr>
          <w:rFonts w:hint="cs"/>
          <w:sz w:val="23"/>
          <w:szCs w:val="23"/>
          <w:rtl/>
        </w:rPr>
        <w:t>אי גוונא</w:t>
      </w:r>
      <w:r w:rsidRPr="00315A76">
        <w:rPr>
          <w:sz w:val="23"/>
          <w:szCs w:val="23"/>
          <w:rtl/>
        </w:rPr>
        <w:t xml:space="preserve"> הרי הכסא פגום. והפילוסופים כתבו בהפקד חוש מה יפקד מושכל מה</w:t>
      </w:r>
      <w:r w:rsidR="00E30C89" w:rsidRPr="00315A76">
        <w:rPr>
          <w:rFonts w:hint="cs"/>
          <w:sz w:val="23"/>
          <w:szCs w:val="23"/>
          <w:rtl/>
        </w:rPr>
        <w:t>,</w:t>
      </w:r>
      <w:r w:rsidRPr="00315A76">
        <w:rPr>
          <w:sz w:val="23"/>
          <w:szCs w:val="23"/>
          <w:rtl/>
        </w:rPr>
        <w:t xml:space="preserve"> ועי' עקידה פ' שמות שער ל"ה דף צ"ז ע"ב [ובתיקונים פה עכו"ם פגום להשריית שכינה] וכיוצא בזה כתבתי במקום אחר שאין ליתן לכתחלה לברך </w:t>
      </w:r>
      <w:r w:rsidR="00E30C89" w:rsidRPr="00315A76">
        <w:rPr>
          <w:rFonts w:hint="cs"/>
          <w:sz w:val="23"/>
          <w:szCs w:val="23"/>
          <w:rtl/>
        </w:rPr>
        <w:t xml:space="preserve">ברכת המזון </w:t>
      </w:r>
      <w:r w:rsidRPr="00315A76">
        <w:rPr>
          <w:sz w:val="23"/>
          <w:szCs w:val="23"/>
          <w:rtl/>
        </w:rPr>
        <w:t>לקטוע אצבע ואפילו למוכה שחין דלא עדיף זה מידיו מזוהמות דצריך להעביר הזוהמא כבסי' קכ"א ה"נ אפשר באחר מלבד מה שיש בזה העדר כבוד למצוה ואפילו בנגלה הקריבהו נא לפחתך אף כי ע"פ הנסתר יש תילי תילי' סודות נסתרים באברי הגוף גם בפרקי הידים אפס קצתם תמצא בהקדמה בן מאה שנה ויש כאן חסרון שפע בכוס של ברכה העליון</w:t>
      </w:r>
      <w:r w:rsidR="00E30C89" w:rsidRPr="00315A76">
        <w:rPr>
          <w:rFonts w:hint="cs"/>
          <w:sz w:val="23"/>
          <w:szCs w:val="23"/>
          <w:rtl/>
        </w:rPr>
        <w:t xml:space="preserve">". </w:t>
      </w:r>
    </w:p>
    <w:p w:rsidR="00254D1C" w:rsidRPr="00315A76" w:rsidRDefault="00254D1C" w:rsidP="00D00695">
      <w:pPr>
        <w:pStyle w:val="aa"/>
        <w:numPr>
          <w:ilvl w:val="0"/>
          <w:numId w:val="1"/>
        </w:numPr>
        <w:ind w:left="360"/>
        <w:rPr>
          <w:sz w:val="23"/>
          <w:szCs w:val="23"/>
          <w:rtl/>
        </w:rPr>
      </w:pPr>
      <w:r w:rsidRPr="00315A76">
        <w:rPr>
          <w:rFonts w:hint="cs"/>
          <w:b/>
          <w:bCs/>
          <w:sz w:val="23"/>
          <w:szCs w:val="23"/>
          <w:rtl/>
        </w:rPr>
        <w:t>הרב בני לאו</w:t>
      </w:r>
      <w:r w:rsidR="00E30C89" w:rsidRPr="00315A76">
        <w:rPr>
          <w:rFonts w:hint="cs"/>
          <w:b/>
          <w:bCs/>
          <w:sz w:val="23"/>
          <w:szCs w:val="23"/>
          <w:rtl/>
        </w:rPr>
        <w:t>, "בעלי מקום במקדש"</w:t>
      </w:r>
      <w:r w:rsidRPr="00315A76">
        <w:rPr>
          <w:rFonts w:hint="cs"/>
          <w:b/>
          <w:bCs/>
          <w:sz w:val="23"/>
          <w:szCs w:val="23"/>
          <w:rtl/>
        </w:rPr>
        <w:t>:</w:t>
      </w:r>
      <w:r w:rsidRPr="00315A76">
        <w:rPr>
          <w:rFonts w:hint="cs"/>
          <w:sz w:val="23"/>
          <w:szCs w:val="23"/>
          <w:rtl/>
        </w:rPr>
        <w:t xml:space="preserve"> "</w:t>
      </w:r>
      <w:r w:rsidRPr="00315A76">
        <w:rPr>
          <w:sz w:val="23"/>
          <w:szCs w:val="23"/>
          <w:rtl/>
        </w:rPr>
        <w:t xml:space="preserve">תשובותיהם של </w:t>
      </w:r>
      <w:r w:rsidRPr="00315A76">
        <w:rPr>
          <w:rFonts w:hint="cs"/>
          <w:sz w:val="23"/>
          <w:szCs w:val="23"/>
          <w:rtl/>
        </w:rPr>
        <w:t xml:space="preserve">המגן אברהם והחוות יאיר </w:t>
      </w:r>
      <w:r w:rsidRPr="00315A76">
        <w:rPr>
          <w:sz w:val="23"/>
          <w:szCs w:val="23"/>
          <w:rtl/>
        </w:rPr>
        <w:t>יכולות לשמש כקריאת כיוון של מבשרי ההתחדשות של עולם התורה בעת החדשה, הרואים את אור האדם בוקע מעל ומעבר לגופו</w:t>
      </w:r>
      <w:r w:rsidRPr="00315A76">
        <w:rPr>
          <w:sz w:val="23"/>
          <w:szCs w:val="23"/>
        </w:rPr>
        <w:t>.</w:t>
      </w:r>
      <w:r w:rsidRPr="00315A76">
        <w:rPr>
          <w:rFonts w:hint="cs"/>
          <w:sz w:val="23"/>
          <w:szCs w:val="23"/>
          <w:rtl/>
        </w:rPr>
        <w:t xml:space="preserve"> </w:t>
      </w:r>
      <w:r w:rsidRPr="00315A76">
        <w:rPr>
          <w:sz w:val="23"/>
          <w:szCs w:val="23"/>
          <w:rtl/>
        </w:rPr>
        <w:t>ראינו שרש"י מפרש את ההגבלה של כניסת בעל מום למקדש מטעמים חברתיים</w:t>
      </w:r>
      <w:r w:rsidRPr="00315A76">
        <w:rPr>
          <w:rFonts w:hint="cs"/>
          <w:sz w:val="23"/>
          <w:szCs w:val="23"/>
          <w:rtl/>
        </w:rPr>
        <w:t>, ו</w:t>
      </w:r>
      <w:r w:rsidRPr="00315A76">
        <w:rPr>
          <w:sz w:val="23"/>
          <w:szCs w:val="23"/>
          <w:rtl/>
        </w:rPr>
        <w:t>משמעות הדבר, שאם כניסת אדם בעל מום למקום מכובד מתקבלת ברצון ובטבעיות, אין שום מניעה מכניסתו לעבודת המקדש. כלומר, האחריות על שינוי היחס לאנשים בעלי מוגבלויות מוטלת על הציבור ומנהיגיו</w:t>
      </w:r>
      <w:r w:rsidRPr="00315A76">
        <w:rPr>
          <w:rFonts w:hint="cs"/>
          <w:sz w:val="23"/>
          <w:szCs w:val="23"/>
          <w:rtl/>
        </w:rPr>
        <w:t xml:space="preserve"> ... </w:t>
      </w:r>
      <w:r w:rsidRPr="00315A76">
        <w:rPr>
          <w:sz w:val="23"/>
          <w:szCs w:val="23"/>
          <w:rtl/>
        </w:rPr>
        <w:t>ברור שאם הציבור לא היה מגיב בנורמאליות לאותם בעלי מומים לא הייתה משתנית העמדה ההלכתית. לציבור יש כוח רב בקביעת מקומו ומעמדו של בעל המוגבלות בתוככי החברה. היחס למוגבלים אינו גזירת שמים והוא נתון לתשומת הלב ולאחריות של הקהילה כולה. אם נדע לראות את הטוב והאור שבכול אחד מאיתנו, נצליח להכיל את כל הנבראים כולם, לקבע את מקומם של כל בעלי המוגבלויות בלב הקהילה, ולאפשר לכל אחד להשתתף איתנו בתיקון העולם באור התורה</w:t>
      </w:r>
      <w:r w:rsidRPr="00315A76">
        <w:rPr>
          <w:rFonts w:hint="cs"/>
          <w:sz w:val="23"/>
          <w:szCs w:val="23"/>
          <w:rtl/>
        </w:rPr>
        <w:t>".</w:t>
      </w:r>
    </w:p>
    <w:p w:rsidR="00254D1C" w:rsidRPr="00315A76" w:rsidRDefault="00254D1C" w:rsidP="00D00695">
      <w:pPr>
        <w:pStyle w:val="aa"/>
        <w:numPr>
          <w:ilvl w:val="0"/>
          <w:numId w:val="1"/>
        </w:numPr>
        <w:ind w:left="360"/>
        <w:rPr>
          <w:sz w:val="23"/>
          <w:szCs w:val="23"/>
          <w:rtl/>
        </w:rPr>
      </w:pPr>
      <w:r w:rsidRPr="00315A76">
        <w:rPr>
          <w:rFonts w:hint="cs"/>
          <w:b/>
          <w:bCs/>
          <w:sz w:val="23"/>
          <w:szCs w:val="23"/>
          <w:rtl/>
        </w:rPr>
        <w:t>מו"ר הרא"ל</w:t>
      </w:r>
      <w:r w:rsidR="00E30C89" w:rsidRPr="00315A76">
        <w:rPr>
          <w:rFonts w:hint="cs"/>
          <w:b/>
          <w:bCs/>
          <w:sz w:val="23"/>
          <w:szCs w:val="23"/>
          <w:rtl/>
        </w:rPr>
        <w:t xml:space="preserve"> בתגובה לנ"ל, "ההלכה איננה שיוויונית"</w:t>
      </w:r>
      <w:r w:rsidRPr="00315A76">
        <w:rPr>
          <w:rFonts w:hint="cs"/>
          <w:b/>
          <w:bCs/>
          <w:sz w:val="23"/>
          <w:szCs w:val="23"/>
          <w:rtl/>
        </w:rPr>
        <w:t>:</w:t>
      </w:r>
      <w:r w:rsidRPr="00315A76">
        <w:rPr>
          <w:rFonts w:hint="cs"/>
          <w:sz w:val="23"/>
          <w:szCs w:val="23"/>
          <w:rtl/>
        </w:rPr>
        <w:t xml:space="preserve"> "קראתי בצער רב את המאמר שהופיע בגליון צהר לשבת אמור, וכעת אני כותב שורות אלה בצער עוד יותר עמוק. אני מכיר את המחבר, הרב בנימין לאו, לא מהיום ולא מאתמול, ויתירה מזו </w:t>
      </w:r>
      <w:r w:rsidRPr="00315A76">
        <w:rPr>
          <w:sz w:val="23"/>
          <w:szCs w:val="23"/>
          <w:rtl/>
        </w:rPr>
        <w:t>–</w:t>
      </w:r>
      <w:r w:rsidRPr="00315A76">
        <w:rPr>
          <w:rFonts w:hint="cs"/>
          <w:sz w:val="23"/>
          <w:szCs w:val="23"/>
          <w:rtl/>
        </w:rPr>
        <w:t xml:space="preserve"> לא נעלמו ממני הישגיו התורניים וכן פעולותיו המגוונות לטובת החברה בישראל. ברם, בכמה נושאים השקפתיים הנוגעים במישור אמונות ודעות, אנו חלוקים בתפיסותינו ובהשקפותינו. והרי במקומות ששאלות יסוד על כף המאזניים, אין מקום לחלוקת כבוד ... </w:t>
      </w:r>
    </w:p>
    <w:p w:rsidR="00254D1C" w:rsidRPr="00315A76" w:rsidRDefault="00254D1C" w:rsidP="00D00695">
      <w:pPr>
        <w:pStyle w:val="aa"/>
        <w:ind w:left="360"/>
        <w:rPr>
          <w:sz w:val="23"/>
          <w:szCs w:val="23"/>
          <w:rtl/>
        </w:rPr>
      </w:pPr>
      <w:r w:rsidRPr="00315A76">
        <w:rPr>
          <w:rFonts w:hint="cs"/>
          <w:sz w:val="23"/>
          <w:szCs w:val="23"/>
          <w:rtl/>
        </w:rPr>
        <w:t xml:space="preserve">שורש הדרך לעקירת הפסולים המוצעת במאמר נעוץ בקבלת סמכות האידאולוגיה והרגישות המודרניות, מתוך הנחה כמובן שמה שיש לצייטגייסט (=רוח התקופה והזמן) להגיד קובעת את הנורמה העדכנית - הציבור יחליט, הציבור יקבע. אין לשלול אפשרות כזו, בהקשרים מסויימים, אך ברור שאין להפעילה בסיטונות במקום שסמכות זו אינה מעורה בהלכה ומקורותיה ... </w:t>
      </w:r>
    </w:p>
    <w:p w:rsidR="00254D1C" w:rsidRPr="00315A76" w:rsidRDefault="00254D1C" w:rsidP="00D00695">
      <w:pPr>
        <w:pStyle w:val="aa"/>
        <w:ind w:left="360"/>
        <w:rPr>
          <w:sz w:val="23"/>
          <w:szCs w:val="23"/>
          <w:rtl/>
        </w:rPr>
      </w:pPr>
      <w:r w:rsidRPr="00315A76">
        <w:rPr>
          <w:rFonts w:hint="cs"/>
          <w:sz w:val="23"/>
          <w:szCs w:val="23"/>
          <w:rtl/>
        </w:rPr>
        <w:t xml:space="preserve">עד כמה מתאמץ המאמר להעביר מוקדי הסמכות ומרכז קביעת הלכה ממסורת הדורות ומשא ומתן בתוך מסגרותיה לשווקים ולרחובות </w:t>
      </w:r>
      <w:r w:rsidRPr="00315A76">
        <w:rPr>
          <w:sz w:val="23"/>
          <w:szCs w:val="23"/>
          <w:rtl/>
        </w:rPr>
        <w:t>–</w:t>
      </w:r>
      <w:r w:rsidRPr="00315A76">
        <w:rPr>
          <w:rFonts w:hint="cs"/>
          <w:sz w:val="23"/>
          <w:szCs w:val="23"/>
          <w:rtl/>
        </w:rPr>
        <w:t xml:space="preserve"> מתחדד ומשתקף בגיוס פסק בעל חוות יאיר ... הרי אין מניעה הלכתית מבעל מום להשתלב בתפילה, ועל כן לא פסלו החוות יאיר, וזאת לא בגין דעת ציבור מדומה, אלא בגין גופי הלכות מוצקים. כל זה ברור ופשוט למכיר את עולם בעל החוות יאיר, וכל טיעון שנגרר אחרי הלך רוח פילוסופי, חברתי ותרבותי </w:t>
      </w:r>
      <w:r w:rsidRPr="00315A76">
        <w:rPr>
          <w:sz w:val="23"/>
          <w:szCs w:val="23"/>
          <w:rtl/>
        </w:rPr>
        <w:t>–</w:t>
      </w:r>
      <w:r w:rsidRPr="00315A76">
        <w:rPr>
          <w:rFonts w:hint="cs"/>
          <w:sz w:val="23"/>
          <w:szCs w:val="23"/>
          <w:rtl/>
        </w:rPr>
        <w:t xml:space="preserve"> מוטעה ומטעה. </w:t>
      </w:r>
    </w:p>
    <w:p w:rsidR="00254D1C" w:rsidRPr="00315A76" w:rsidRDefault="00254D1C" w:rsidP="00D00695">
      <w:pPr>
        <w:pStyle w:val="aa"/>
        <w:ind w:left="360"/>
        <w:rPr>
          <w:sz w:val="23"/>
          <w:szCs w:val="23"/>
        </w:rPr>
      </w:pPr>
      <w:r w:rsidRPr="00315A76">
        <w:rPr>
          <w:rFonts w:hint="cs"/>
          <w:sz w:val="23"/>
          <w:szCs w:val="23"/>
          <w:rtl/>
        </w:rPr>
        <w:t>אקווה שברור ופשוט כי אין בדבריי נימה של זלזול וגימוד בסבלם של מוגבלים השואפים להשתלב בנוף הלכתי וחברתי מסוים, ומגלים שהדבר נבצר מהם  לפי יסודות וכללי ההלכה. אני, אישית, ספגתי את המודעות הזאת מקרוב. אבי ז"ל היה במשך תשע שנותיו האחרונות עיוור לחלוטין וחצי חרש. ואף על פי כן מצא כלים להתמודדות באומץ ובגבורה להשלים עם מצבו. הפתח במקרים כאלה הינו חיזוק הקשר הנפשי והאישי לעומק וברצף. ויאמינו בה' ובמשה עבדו</w:t>
      </w:r>
      <w:r w:rsidR="00D00695" w:rsidRPr="00315A76">
        <w:rPr>
          <w:rFonts w:hint="cs"/>
          <w:sz w:val="23"/>
          <w:szCs w:val="23"/>
          <w:rtl/>
        </w:rPr>
        <w:t>"</w:t>
      </w:r>
      <w:r w:rsidRPr="00315A76">
        <w:rPr>
          <w:rFonts w:hint="cs"/>
          <w:sz w:val="23"/>
          <w:szCs w:val="23"/>
          <w:rtl/>
        </w:rPr>
        <w:t>.</w:t>
      </w:r>
    </w:p>
    <w:p w:rsidR="00254D1C" w:rsidRPr="00315A76" w:rsidRDefault="00254D1C" w:rsidP="00D00695">
      <w:pPr>
        <w:rPr>
          <w:sz w:val="23"/>
          <w:szCs w:val="23"/>
          <w:rtl/>
        </w:rPr>
      </w:pPr>
    </w:p>
    <w:p w:rsidR="00254D1C" w:rsidRPr="00315A76" w:rsidRDefault="00254D1C" w:rsidP="00D00695">
      <w:pPr>
        <w:rPr>
          <w:b/>
          <w:bCs/>
          <w:sz w:val="23"/>
          <w:szCs w:val="23"/>
          <w:u w:val="single"/>
          <w:rtl/>
        </w:rPr>
      </w:pPr>
      <w:r w:rsidRPr="00315A76">
        <w:rPr>
          <w:rFonts w:hint="cs"/>
          <w:b/>
          <w:bCs/>
          <w:sz w:val="23"/>
          <w:szCs w:val="23"/>
          <w:u w:val="single"/>
          <w:rtl/>
        </w:rPr>
        <w:t>ג. גוף שבור ולב שבור</w:t>
      </w:r>
    </w:p>
    <w:p w:rsidR="00254D1C" w:rsidRPr="00315A76" w:rsidRDefault="00254D1C" w:rsidP="00D00695">
      <w:pPr>
        <w:pStyle w:val="aa"/>
        <w:numPr>
          <w:ilvl w:val="0"/>
          <w:numId w:val="1"/>
        </w:numPr>
        <w:ind w:left="360"/>
        <w:rPr>
          <w:sz w:val="23"/>
          <w:szCs w:val="23"/>
          <w:rtl/>
        </w:rPr>
      </w:pPr>
      <w:r w:rsidRPr="00315A76">
        <w:rPr>
          <w:b/>
          <w:bCs/>
          <w:sz w:val="23"/>
          <w:szCs w:val="23"/>
          <w:rtl/>
        </w:rPr>
        <w:t>ויקרא רבה</w:t>
      </w:r>
      <w:r w:rsidRPr="00315A76">
        <w:rPr>
          <w:rFonts w:hint="cs"/>
          <w:b/>
          <w:bCs/>
          <w:sz w:val="23"/>
          <w:szCs w:val="23"/>
          <w:rtl/>
        </w:rPr>
        <w:t>, פרשת צו פרשה ז':</w:t>
      </w:r>
      <w:r w:rsidRPr="00315A76">
        <w:rPr>
          <w:rFonts w:hint="cs"/>
          <w:sz w:val="23"/>
          <w:szCs w:val="23"/>
          <w:rtl/>
        </w:rPr>
        <w:t xml:space="preserve"> "</w:t>
      </w:r>
      <w:r w:rsidRPr="00315A76">
        <w:rPr>
          <w:sz w:val="23"/>
          <w:szCs w:val="23"/>
          <w:rtl/>
        </w:rPr>
        <w:t>א"ר אבא בר יודן כל מה שפסל הקדוש ברוך הוא בבהמה הכשיר באדם</w:t>
      </w:r>
      <w:r w:rsidRPr="00315A76">
        <w:rPr>
          <w:rFonts w:hint="cs"/>
          <w:sz w:val="23"/>
          <w:szCs w:val="23"/>
          <w:rtl/>
        </w:rPr>
        <w:t>.</w:t>
      </w:r>
      <w:r w:rsidRPr="00315A76">
        <w:rPr>
          <w:sz w:val="23"/>
          <w:szCs w:val="23"/>
          <w:rtl/>
        </w:rPr>
        <w:t xml:space="preserve"> פסל בבהמה עורת או שבור או חרוץ או יבלת והכשיר באדם לב נשבר ונדכה, א"ר אלכסנדרי ההדיוט הזה אם משמש הוא בכלים שבורים גנאי הוא לו אבל הקדוש ברוך הוא כלי תשמישו שבורים שנאמר (שם /תהלים/ לד) קרוב ה' לנשברי לב, (שם /תהלים/ קמז) הרופא לשבורי לב (ישעיה נז) ואת דכא ושפל רוח, זבחי אלהים רוח נשברה, לב נשבר</w:t>
      </w:r>
      <w:r w:rsidRPr="00315A76">
        <w:rPr>
          <w:rFonts w:hint="cs"/>
          <w:sz w:val="23"/>
          <w:szCs w:val="23"/>
          <w:rtl/>
        </w:rPr>
        <w:t>".</w:t>
      </w:r>
    </w:p>
    <w:p w:rsidR="00254D1C" w:rsidRPr="00315A76" w:rsidRDefault="00E30C89" w:rsidP="00D00695">
      <w:pPr>
        <w:pStyle w:val="aa"/>
        <w:numPr>
          <w:ilvl w:val="0"/>
          <w:numId w:val="1"/>
        </w:numPr>
        <w:ind w:left="360"/>
        <w:rPr>
          <w:sz w:val="23"/>
          <w:szCs w:val="23"/>
          <w:rtl/>
        </w:rPr>
      </w:pPr>
      <w:r w:rsidRPr="00315A76">
        <w:rPr>
          <w:rFonts w:hint="cs"/>
          <w:b/>
          <w:bCs/>
          <w:sz w:val="23"/>
          <w:szCs w:val="23"/>
          <w:rtl/>
        </w:rPr>
        <w:t>הרב שלמה קרליבך, "יחד כולם קדושה", מוישל'ה גנב: "</w:t>
      </w:r>
      <w:r w:rsidR="00254D1C" w:rsidRPr="00315A76">
        <w:rPr>
          <w:sz w:val="23"/>
          <w:szCs w:val="23"/>
          <w:rtl/>
        </w:rPr>
        <w:t>כל אחד רוצה שיהיה לו עסק רק עם צדיקים. בכל ישיבה רוצים רק תלמידים טובים. אכל מי רוצה גנבים? מי רוצה שקרנים? מי רוצה לבבות שבורים?</w:t>
      </w:r>
      <w:r w:rsidRPr="00315A76">
        <w:rPr>
          <w:rFonts w:hint="cs"/>
          <w:sz w:val="23"/>
          <w:szCs w:val="23"/>
          <w:rtl/>
        </w:rPr>
        <w:t xml:space="preserve"> </w:t>
      </w:r>
      <w:r w:rsidR="00254D1C" w:rsidRPr="00315A76">
        <w:rPr>
          <w:sz w:val="23"/>
          <w:szCs w:val="23"/>
          <w:rtl/>
        </w:rPr>
        <w:t>אבל הקדוש ברוך הוא - הוא משהו אחר. "קרוב ה' לנשברי לב</w:t>
      </w:r>
      <w:r w:rsidRPr="00315A76">
        <w:rPr>
          <w:rFonts w:hint="cs"/>
          <w:sz w:val="23"/>
          <w:szCs w:val="23"/>
          <w:rtl/>
        </w:rPr>
        <w:t xml:space="preserve">". </w:t>
      </w:r>
      <w:r w:rsidR="00254D1C" w:rsidRPr="00315A76">
        <w:rPr>
          <w:sz w:val="23"/>
          <w:szCs w:val="23"/>
          <w:rtl/>
        </w:rPr>
        <w:t>וזה החילוק בין צדיק עליון לצדיק תחתון.</w:t>
      </w:r>
      <w:r w:rsidRPr="00315A76">
        <w:rPr>
          <w:rFonts w:hint="cs"/>
          <w:sz w:val="23"/>
          <w:szCs w:val="23"/>
          <w:rtl/>
        </w:rPr>
        <w:t xml:space="preserve"> </w:t>
      </w:r>
      <w:r w:rsidR="00254D1C" w:rsidRPr="00315A76">
        <w:rPr>
          <w:sz w:val="23"/>
          <w:szCs w:val="23"/>
          <w:rtl/>
        </w:rPr>
        <w:t>צדיק תחתון אוהב רק צדיקים. צדיק עליון, כמו הבעל שם-טוב הקדוש, וכמוהו בכבודו ובעצמו, כמו הקדוש כרוך הוא, כמו דוד המלך - כל שבורי לב. נשמות שבורות...</w:t>
      </w:r>
      <w:r w:rsidRPr="00315A76">
        <w:rPr>
          <w:rFonts w:hint="cs"/>
          <w:sz w:val="23"/>
          <w:szCs w:val="23"/>
          <w:rtl/>
        </w:rPr>
        <w:t>".</w:t>
      </w:r>
    </w:p>
    <w:sectPr w:rsidR="00254D1C" w:rsidRPr="00315A76" w:rsidSect="00315A76">
      <w:pgSz w:w="11906" w:h="16838"/>
      <w:pgMar w:top="720" w:right="720" w:bottom="426"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E40" w:rsidRDefault="002B6E40" w:rsidP="001250C8">
      <w:pPr>
        <w:spacing w:line="240" w:lineRule="auto"/>
      </w:pPr>
      <w:r>
        <w:separator/>
      </w:r>
    </w:p>
  </w:endnote>
  <w:endnote w:type="continuationSeparator" w:id="0">
    <w:p w:rsidR="002B6E40" w:rsidRDefault="002B6E40" w:rsidP="001250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E40" w:rsidRDefault="002B6E40" w:rsidP="001250C8">
      <w:pPr>
        <w:spacing w:line="240" w:lineRule="auto"/>
      </w:pPr>
      <w:r>
        <w:separator/>
      </w:r>
    </w:p>
  </w:footnote>
  <w:footnote w:type="continuationSeparator" w:id="0">
    <w:p w:rsidR="002B6E40" w:rsidRDefault="002B6E40" w:rsidP="001250C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1313BF"/>
    <w:multiLevelType w:val="hybridMultilevel"/>
    <w:tmpl w:val="01F218FE"/>
    <w:lvl w:ilvl="0" w:tplc="1E24B09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1E"/>
    <w:rsid w:val="000B215F"/>
    <w:rsid w:val="001250C8"/>
    <w:rsid w:val="00254D1C"/>
    <w:rsid w:val="002B6E40"/>
    <w:rsid w:val="002E1DB7"/>
    <w:rsid w:val="00315A76"/>
    <w:rsid w:val="00411A10"/>
    <w:rsid w:val="00635DE1"/>
    <w:rsid w:val="00656813"/>
    <w:rsid w:val="006A29B5"/>
    <w:rsid w:val="008A0A58"/>
    <w:rsid w:val="00A13A6B"/>
    <w:rsid w:val="00B45A22"/>
    <w:rsid w:val="00D00695"/>
    <w:rsid w:val="00D0291E"/>
    <w:rsid w:val="00E30C89"/>
    <w:rsid w:val="00E93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8E89DF-904F-45DD-A612-38DB4980F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813"/>
    <w:pPr>
      <w:bidi/>
      <w:spacing w:after="0" w:line="360" w:lineRule="auto"/>
      <w:jc w:val="both"/>
    </w:pPr>
    <w:rPr>
      <w:rFonts w:cs="David"/>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ציטוט 1"/>
    <w:basedOn w:val="a"/>
    <w:next w:val="a"/>
    <w:rsid w:val="00656813"/>
    <w:pPr>
      <w:ind w:left="566" w:right="720"/>
    </w:pPr>
    <w:rPr>
      <w:rFonts w:ascii="Narkisim" w:eastAsia="Times New Roman" w:hAnsi="Narkisim" w:cs="Narkisim"/>
      <w:sz w:val="20"/>
    </w:rPr>
  </w:style>
  <w:style w:type="paragraph" w:customStyle="1" w:styleId="a3">
    <w:name w:val="כותרת מאמר"/>
    <w:basedOn w:val="a"/>
    <w:next w:val="a"/>
    <w:qFormat/>
    <w:rsid w:val="00656813"/>
    <w:pPr>
      <w:jc w:val="center"/>
    </w:pPr>
    <w:rPr>
      <w:rFonts w:ascii="David" w:eastAsia="Times New Roman" w:hAnsi="David"/>
      <w:b/>
      <w:bCs/>
      <w:sz w:val="24"/>
      <w:szCs w:val="28"/>
      <w:u w:val="single"/>
    </w:rPr>
  </w:style>
  <w:style w:type="paragraph" w:customStyle="1" w:styleId="a4">
    <w:name w:val="ציטוט מקור"/>
    <w:basedOn w:val="a"/>
    <w:next w:val="a"/>
    <w:qFormat/>
    <w:rsid w:val="00B45A22"/>
    <w:pPr>
      <w:ind w:left="340" w:right="340"/>
    </w:pPr>
    <w:rPr>
      <w:szCs w:val="22"/>
    </w:rPr>
  </w:style>
  <w:style w:type="paragraph" w:styleId="a5">
    <w:name w:val="footnote text"/>
    <w:basedOn w:val="a"/>
    <w:link w:val="a6"/>
    <w:uiPriority w:val="99"/>
    <w:semiHidden/>
    <w:unhideWhenUsed/>
    <w:rsid w:val="001250C8"/>
    <w:pPr>
      <w:spacing w:line="240" w:lineRule="auto"/>
    </w:pPr>
    <w:rPr>
      <w:sz w:val="20"/>
      <w:szCs w:val="20"/>
    </w:rPr>
  </w:style>
  <w:style w:type="character" w:customStyle="1" w:styleId="a6">
    <w:name w:val="טקסט הערת שוליים תו"/>
    <w:basedOn w:val="a0"/>
    <w:link w:val="a5"/>
    <w:uiPriority w:val="99"/>
    <w:semiHidden/>
    <w:rsid w:val="001250C8"/>
    <w:rPr>
      <w:rFonts w:cs="David"/>
      <w:sz w:val="20"/>
      <w:szCs w:val="20"/>
    </w:rPr>
  </w:style>
  <w:style w:type="character" w:styleId="a7">
    <w:name w:val="footnote reference"/>
    <w:basedOn w:val="a0"/>
    <w:uiPriority w:val="99"/>
    <w:semiHidden/>
    <w:unhideWhenUsed/>
    <w:rsid w:val="001250C8"/>
    <w:rPr>
      <w:vertAlign w:val="superscript"/>
    </w:rPr>
  </w:style>
  <w:style w:type="paragraph" w:styleId="a8">
    <w:name w:val="Quote"/>
    <w:basedOn w:val="a"/>
    <w:link w:val="a9"/>
    <w:uiPriority w:val="29"/>
    <w:qFormat/>
    <w:rsid w:val="00254D1C"/>
    <w:pPr>
      <w:bidi w:val="0"/>
      <w:spacing w:before="100" w:beforeAutospacing="1" w:after="100" w:afterAutospacing="1" w:line="240" w:lineRule="auto"/>
      <w:jc w:val="left"/>
    </w:pPr>
    <w:rPr>
      <w:rFonts w:ascii="Times New Roman" w:eastAsia="Times New Roman" w:hAnsi="Times New Roman" w:cs="Times New Roman"/>
      <w:sz w:val="24"/>
    </w:rPr>
  </w:style>
  <w:style w:type="character" w:customStyle="1" w:styleId="a9">
    <w:name w:val="ציטוט תו"/>
    <w:basedOn w:val="a0"/>
    <w:link w:val="a8"/>
    <w:uiPriority w:val="29"/>
    <w:rsid w:val="00254D1C"/>
    <w:rPr>
      <w:rFonts w:ascii="Times New Roman" w:eastAsia="Times New Roman" w:hAnsi="Times New Roman" w:cs="Times New Roman"/>
      <w:sz w:val="24"/>
      <w:szCs w:val="24"/>
    </w:rPr>
  </w:style>
  <w:style w:type="paragraph" w:styleId="aa">
    <w:name w:val="List Paragraph"/>
    <w:basedOn w:val="a"/>
    <w:uiPriority w:val="34"/>
    <w:qFormat/>
    <w:rsid w:val="00D006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72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1514;&#1489;&#1504;&#1497;&#1493;&#1514;%20&#1502;&#1493;&#1514;&#1488;&#1502;&#1493;&#1514;%20&#1488;&#1497;&#1513;&#1497;&#1514;%20&#1513;&#1500;%20Office\&#1488;&#1493;&#1491;&#1497;.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אודי</Template>
  <TotalTime>40</TotalTime>
  <Pages>2</Pages>
  <Words>1415</Words>
  <Characters>7075</Characters>
  <Application>Microsoft Office Word</Application>
  <DocSecurity>0</DocSecurity>
  <Lines>58</Lines>
  <Paragraphs>16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2019-05-29T17:19:00Z</dcterms:created>
  <dcterms:modified xsi:type="dcterms:W3CDTF">2019-05-29T18:04:00Z</dcterms:modified>
</cp:coreProperties>
</file>