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95AE2" w14:textId="77777777" w:rsidR="0087000D" w:rsidRDefault="0087000D" w:rsidP="0087000D">
      <w:pPr>
        <w:pStyle w:val="2"/>
        <w:rPr>
          <w:rtl/>
        </w:rPr>
      </w:pPr>
      <w:r>
        <w:rPr>
          <w:rFonts w:hint="cs"/>
          <w:rtl/>
        </w:rPr>
        <w:t xml:space="preserve">שיטת </w:t>
      </w:r>
      <w:proofErr w:type="spellStart"/>
      <w:r>
        <w:rPr>
          <w:rFonts w:hint="cs"/>
          <w:rtl/>
        </w:rPr>
        <w:t>אביי</w:t>
      </w:r>
      <w:proofErr w:type="spellEnd"/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22"/>
        <w:gridCol w:w="4122"/>
      </w:tblGrid>
      <w:tr w:rsidR="0087000D" w14:paraId="632B46C8" w14:textId="77777777" w:rsidTr="00870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22" w:type="dxa"/>
          </w:tcPr>
          <w:p w14:paraId="40E0703C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רבי ישמעאל</w:t>
            </w:r>
          </w:p>
        </w:tc>
        <w:tc>
          <w:tcPr>
            <w:tcW w:w="4122" w:type="dxa"/>
          </w:tcPr>
          <w:p w14:paraId="7D3E896E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רבי עקיבא</w:t>
            </w:r>
          </w:p>
        </w:tc>
      </w:tr>
      <w:tr w:rsidR="0087000D" w14:paraId="1859A565" w14:textId="77777777" w:rsidTr="0087000D">
        <w:tc>
          <w:tcPr>
            <w:tcW w:w="4122" w:type="dxa"/>
          </w:tcPr>
          <w:p w14:paraId="0E475062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זמן הקרבת התמיד בערב פסח שחל בחול = </w:t>
            </w:r>
          </w:p>
          <w:p w14:paraId="60E37E64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זמן הקרבת התמיד בערב פסח שחל בשבת =</w:t>
            </w:r>
          </w:p>
          <w:p w14:paraId="1274A46A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בשעה שבע ומחצה.</w:t>
            </w:r>
          </w:p>
        </w:tc>
        <w:tc>
          <w:tcPr>
            <w:tcW w:w="4122" w:type="dxa"/>
          </w:tcPr>
          <w:p w14:paraId="1FD42112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זמן הקרבת התמיד בערב פסח שחל בשבת  =</w:t>
            </w:r>
          </w:p>
          <w:p w14:paraId="2805699C" w14:textId="77777777" w:rsidR="0087000D" w:rsidRDefault="0087000D" w:rsidP="00081FDB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זמן הקרבת התמיד </w:t>
            </w:r>
            <w:r w:rsidR="00081FDB">
              <w:rPr>
                <w:rFonts w:hint="cs"/>
                <w:rtl/>
              </w:rPr>
              <w:t>בערב פסח שחל בערב שבת</w:t>
            </w:r>
            <w:r>
              <w:rPr>
                <w:rFonts w:hint="cs"/>
                <w:rtl/>
              </w:rPr>
              <w:t xml:space="preserve"> =</w:t>
            </w:r>
          </w:p>
          <w:p w14:paraId="72B156BE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בשעה שש ומחצה.</w:t>
            </w:r>
          </w:p>
        </w:tc>
      </w:tr>
      <w:tr w:rsidR="0087000D" w14:paraId="6EA9D02E" w14:textId="77777777" w:rsidTr="0087000D">
        <w:tc>
          <w:tcPr>
            <w:tcW w:w="4122" w:type="dxa"/>
          </w:tcPr>
          <w:p w14:paraId="422ADC99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מוספים קודמים לבזיכים. </w:t>
            </w:r>
          </w:p>
          <w:p w14:paraId="015DA94F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את מוספים יש להקריב בשעה שישית. </w:t>
            </w:r>
          </w:p>
          <w:p w14:paraId="0134F95F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אחריהם את הבזיכים (שאורכים כשעה)</w:t>
            </w:r>
          </w:p>
          <w:p w14:paraId="684F516E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כל זה מסתיים בשעה שבע ומחצה. </w:t>
            </w:r>
          </w:p>
          <w:p w14:paraId="45F3DCD6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לכן הזמן המוקדם ביותר שאפשר להקריב את התמיד הוא שבע ומחצה.</w:t>
            </w:r>
          </w:p>
        </w:tc>
        <w:tc>
          <w:tcPr>
            <w:tcW w:w="4122" w:type="dxa"/>
          </w:tcPr>
          <w:p w14:paraId="376BD03D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בזיכים קודמים למוספים. </w:t>
            </w:r>
          </w:p>
          <w:p w14:paraId="3E208D7A" w14:textId="77777777" w:rsidR="0087000D" w:rsidRDefault="0087000D" w:rsidP="008732B9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אפשר להקריב את הבזיכים בשעה </w:t>
            </w:r>
            <w:r w:rsidR="008732B9">
              <w:rPr>
                <w:rFonts w:hint="cs"/>
                <w:rtl/>
              </w:rPr>
              <w:t>חמישית</w:t>
            </w:r>
            <w:r>
              <w:rPr>
                <w:rFonts w:hint="cs"/>
                <w:rtl/>
              </w:rPr>
              <w:t>,</w:t>
            </w:r>
          </w:p>
          <w:p w14:paraId="01E04895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אחריהם את המוספים בשעה שישית</w:t>
            </w:r>
          </w:p>
          <w:p w14:paraId="144D25A4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לכן הזמן המוקדם ביותר שאפשר להקריב את התמיד הוא שש ומחצה. </w:t>
            </w:r>
          </w:p>
        </w:tc>
      </w:tr>
      <w:tr w:rsidR="0087000D" w14:paraId="57438178" w14:textId="77777777" w:rsidTr="0087000D">
        <w:tc>
          <w:tcPr>
            <w:tcW w:w="4122" w:type="dxa"/>
          </w:tcPr>
          <w:p w14:paraId="03A4701F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המשנה כשיטת רבי ישמעאל: "</w:t>
            </w:r>
            <w:r>
              <w:rPr>
                <w:rtl/>
              </w:rPr>
              <w:t>בערבי פסחים נשחט בשבע ומחצה, וקרב בשמונה ומחצה, בין בחול בין בשבת</w:t>
            </w:r>
            <w:r>
              <w:rPr>
                <w:rFonts w:hint="cs"/>
                <w:rtl/>
              </w:rPr>
              <w:t>".</w:t>
            </w:r>
          </w:p>
        </w:tc>
        <w:tc>
          <w:tcPr>
            <w:tcW w:w="4122" w:type="dxa"/>
          </w:tcPr>
          <w:p w14:paraId="566E0F08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</w:p>
        </w:tc>
      </w:tr>
    </w:tbl>
    <w:p w14:paraId="53CAB115" w14:textId="77777777" w:rsidR="0087000D" w:rsidRPr="0087000D" w:rsidRDefault="0087000D" w:rsidP="0087000D">
      <w:pPr>
        <w:rPr>
          <w:rtl/>
        </w:rPr>
      </w:pPr>
    </w:p>
    <w:p w14:paraId="21F86053" w14:textId="77777777" w:rsidR="0087000D" w:rsidRDefault="0087000D" w:rsidP="0087000D">
      <w:pPr>
        <w:pStyle w:val="2"/>
        <w:rPr>
          <w:rtl/>
        </w:rPr>
      </w:pPr>
      <w:r>
        <w:rPr>
          <w:rFonts w:hint="cs"/>
          <w:rtl/>
        </w:rPr>
        <w:t>שיטת רבא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22"/>
        <w:gridCol w:w="4122"/>
      </w:tblGrid>
      <w:tr w:rsidR="0087000D" w14:paraId="0CAB7FAE" w14:textId="77777777" w:rsidTr="00CF2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22" w:type="dxa"/>
          </w:tcPr>
          <w:p w14:paraId="509426FE" w14:textId="77777777" w:rsidR="0087000D" w:rsidRDefault="0087000D" w:rsidP="00CF207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רבי ישמעאל</w:t>
            </w:r>
          </w:p>
        </w:tc>
        <w:tc>
          <w:tcPr>
            <w:tcW w:w="4122" w:type="dxa"/>
          </w:tcPr>
          <w:p w14:paraId="5EA8CC1E" w14:textId="77777777" w:rsidR="0087000D" w:rsidRDefault="0087000D" w:rsidP="00CF207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רבי עקיבא</w:t>
            </w:r>
          </w:p>
        </w:tc>
      </w:tr>
      <w:tr w:rsidR="0087000D" w14:paraId="2DBE1C93" w14:textId="77777777" w:rsidTr="00CF2074">
        <w:tc>
          <w:tcPr>
            <w:tcW w:w="4122" w:type="dxa"/>
          </w:tcPr>
          <w:p w14:paraId="2A4DF574" w14:textId="77777777" w:rsidR="0087000D" w:rsidRDefault="0087000D" w:rsidP="0087000D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זמן הקרבת התמיד ביום חול רגיל = </w:t>
            </w:r>
          </w:p>
          <w:p w14:paraId="0BCE224F" w14:textId="77777777" w:rsidR="0087000D" w:rsidRDefault="0087000D" w:rsidP="00CF207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זמן הקרבת התמיד בערב פסח שחל בשבת =</w:t>
            </w:r>
          </w:p>
          <w:p w14:paraId="7E06E8E4" w14:textId="77777777" w:rsidR="0087000D" w:rsidRDefault="0087000D" w:rsidP="00DE5E8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בשעה </w:t>
            </w:r>
            <w:r w:rsidR="00DE5E84">
              <w:rPr>
                <w:rFonts w:hint="cs"/>
                <w:rtl/>
              </w:rPr>
              <w:t>שמונה</w:t>
            </w:r>
            <w:r>
              <w:rPr>
                <w:rFonts w:hint="cs"/>
                <w:rtl/>
              </w:rPr>
              <w:t xml:space="preserve"> ומחצה.</w:t>
            </w:r>
          </w:p>
        </w:tc>
        <w:tc>
          <w:tcPr>
            <w:tcW w:w="4122" w:type="dxa"/>
          </w:tcPr>
          <w:p w14:paraId="6A217BDF" w14:textId="77777777" w:rsidR="0087000D" w:rsidRDefault="0087000D" w:rsidP="00CF207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זמן הקרבת התמיד בערב פסח שחל בשבת  =</w:t>
            </w:r>
          </w:p>
          <w:p w14:paraId="2199FC65" w14:textId="77777777" w:rsidR="0087000D" w:rsidRDefault="0087000D" w:rsidP="00DE5E8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זמן הקרבת התמיד </w:t>
            </w:r>
            <w:r w:rsidR="00DE5E84">
              <w:rPr>
                <w:rFonts w:hint="cs"/>
                <w:rtl/>
              </w:rPr>
              <w:t xml:space="preserve">בערב פסח שחל בחול </w:t>
            </w:r>
            <w:r>
              <w:rPr>
                <w:rFonts w:hint="cs"/>
                <w:rtl/>
              </w:rPr>
              <w:t>=</w:t>
            </w:r>
          </w:p>
          <w:p w14:paraId="2B747520" w14:textId="77777777" w:rsidR="0087000D" w:rsidRDefault="0087000D" w:rsidP="00DE5E8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בשעה </w:t>
            </w:r>
            <w:r w:rsidR="00DE5E84">
              <w:rPr>
                <w:rFonts w:hint="cs"/>
                <w:rtl/>
              </w:rPr>
              <w:t xml:space="preserve">שבע </w:t>
            </w:r>
            <w:r>
              <w:rPr>
                <w:rFonts w:hint="cs"/>
                <w:rtl/>
              </w:rPr>
              <w:t>ומחצה.</w:t>
            </w:r>
          </w:p>
        </w:tc>
      </w:tr>
      <w:tr w:rsidR="0087000D" w14:paraId="7F11B5AD" w14:textId="77777777" w:rsidTr="00CF2074">
        <w:tc>
          <w:tcPr>
            <w:tcW w:w="4122" w:type="dxa"/>
          </w:tcPr>
          <w:p w14:paraId="715B05F8" w14:textId="77777777" w:rsidR="00DE5E84" w:rsidRDefault="00DE5E84" w:rsidP="00CF207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חוששים לחימום הבשר וקלקולו, </w:t>
            </w:r>
          </w:p>
          <w:p w14:paraId="4C0101BD" w14:textId="77777777" w:rsidR="0087000D" w:rsidRDefault="00DE5E84" w:rsidP="00DE5E8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ולכן בערב פסח שחל בשבת דוחים את הקרבת הפסח סמוך לחשיכה, כדי לקצר את הזמן עד צלייתו, במוצאי שבת. </w:t>
            </w:r>
          </w:p>
        </w:tc>
        <w:tc>
          <w:tcPr>
            <w:tcW w:w="4122" w:type="dxa"/>
          </w:tcPr>
          <w:p w14:paraId="5DAC993C" w14:textId="77777777" w:rsidR="00DE5E84" w:rsidRDefault="00DE5E84" w:rsidP="00CF207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לא חוששים לחמום  הבשר וקלקולו. </w:t>
            </w:r>
          </w:p>
          <w:p w14:paraId="417F6A03" w14:textId="77777777" w:rsidR="00DE5E84" w:rsidRDefault="00DE5E84" w:rsidP="00CF207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ולכן אפשר להקדים את קרבן התמיד ככל שרוצים. </w:t>
            </w:r>
          </w:p>
          <w:p w14:paraId="5012DF6A" w14:textId="77777777" w:rsidR="0087000D" w:rsidRDefault="00DE5E84" w:rsidP="001062E6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ולא מקדימים לשעה שש ומחצה, משום שמוס</w:t>
            </w:r>
            <w:r w:rsidR="001062E6">
              <w:rPr>
                <w:rFonts w:hint="cs"/>
                <w:rtl/>
              </w:rPr>
              <w:t>פ</w:t>
            </w:r>
            <w:r>
              <w:rPr>
                <w:rFonts w:hint="cs"/>
                <w:rtl/>
              </w:rPr>
              <w:t xml:space="preserve">ים קודמים לבזיכים ולכן הזמן המוקדם ביותר האפשרי להקרבת התמיד הוא שבע ומחצה. </w:t>
            </w:r>
            <w:r w:rsidR="0087000D">
              <w:rPr>
                <w:rFonts w:hint="cs"/>
                <w:rtl/>
              </w:rPr>
              <w:t xml:space="preserve"> </w:t>
            </w:r>
          </w:p>
        </w:tc>
      </w:tr>
      <w:tr w:rsidR="0087000D" w14:paraId="67ECF60D" w14:textId="77777777" w:rsidTr="00CF2074">
        <w:tc>
          <w:tcPr>
            <w:tcW w:w="4122" w:type="dxa"/>
          </w:tcPr>
          <w:p w14:paraId="6573BBAF" w14:textId="77777777" w:rsidR="0087000D" w:rsidRDefault="0087000D" w:rsidP="00CF2074">
            <w:pPr>
              <w:spacing w:after="60" w:line="240" w:lineRule="auto"/>
              <w:rPr>
                <w:rtl/>
              </w:rPr>
            </w:pPr>
          </w:p>
        </w:tc>
        <w:tc>
          <w:tcPr>
            <w:tcW w:w="4122" w:type="dxa"/>
          </w:tcPr>
          <w:p w14:paraId="23F422EF" w14:textId="77777777" w:rsidR="0087000D" w:rsidRDefault="00DE5E84" w:rsidP="00DE5E8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המשנה כשיטת רבי עקיבא: "</w:t>
            </w:r>
            <w:r>
              <w:rPr>
                <w:rtl/>
              </w:rPr>
              <w:t>בערבי פסחים נשחט בשבע ומחצה, וקרב בשמונה ומחצה, בין בחול בין בשבת</w:t>
            </w:r>
            <w:r>
              <w:rPr>
                <w:rFonts w:hint="cs"/>
                <w:rtl/>
              </w:rPr>
              <w:t>".</w:t>
            </w:r>
          </w:p>
        </w:tc>
      </w:tr>
    </w:tbl>
    <w:p w14:paraId="08A838A7" w14:textId="77777777" w:rsidR="0087000D" w:rsidRDefault="0087000D" w:rsidP="0087000D"/>
    <w:p w14:paraId="38920FAC" w14:textId="77777777" w:rsidR="00DE5E84" w:rsidRDefault="00DE5E84" w:rsidP="00DE5E84">
      <w:pPr>
        <w:pStyle w:val="2"/>
        <w:rPr>
          <w:rtl/>
        </w:rPr>
      </w:pPr>
      <w:r>
        <w:rPr>
          <w:rFonts w:hint="cs"/>
          <w:rtl/>
        </w:rPr>
        <w:t xml:space="preserve">שיטת רבה בר </w:t>
      </w:r>
      <w:proofErr w:type="spellStart"/>
      <w:r>
        <w:rPr>
          <w:rFonts w:hint="cs"/>
          <w:rtl/>
        </w:rPr>
        <w:t>עולא</w:t>
      </w:r>
      <w:proofErr w:type="spellEnd"/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22"/>
        <w:gridCol w:w="4122"/>
      </w:tblGrid>
      <w:tr w:rsidR="00DE5E84" w14:paraId="52DD27A1" w14:textId="77777777" w:rsidTr="0044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22" w:type="dxa"/>
          </w:tcPr>
          <w:p w14:paraId="56700B61" w14:textId="77777777" w:rsidR="00DE5E84" w:rsidRDefault="00DE5E84" w:rsidP="00445148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רבי ישמעאל</w:t>
            </w:r>
          </w:p>
        </w:tc>
        <w:tc>
          <w:tcPr>
            <w:tcW w:w="4122" w:type="dxa"/>
          </w:tcPr>
          <w:p w14:paraId="23717689" w14:textId="77777777" w:rsidR="00DE5E84" w:rsidRDefault="00DE5E84" w:rsidP="00445148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רבי עקיבא</w:t>
            </w:r>
          </w:p>
        </w:tc>
      </w:tr>
      <w:tr w:rsidR="00DE5E84" w14:paraId="5165CBB3" w14:textId="77777777" w:rsidTr="00445148">
        <w:tc>
          <w:tcPr>
            <w:tcW w:w="4122" w:type="dxa"/>
          </w:tcPr>
          <w:p w14:paraId="09463EBB" w14:textId="77777777" w:rsidR="00DE5E84" w:rsidRDefault="00DE5E84" w:rsidP="00445148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זמן הקרבת התמיד ביום חול רגיל = </w:t>
            </w:r>
          </w:p>
          <w:p w14:paraId="66E14D58" w14:textId="77777777" w:rsidR="00DE5E84" w:rsidRDefault="00DE5E84" w:rsidP="00DE5E8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זמן הקרבת התמיד ביום שבת רגיל =</w:t>
            </w:r>
          </w:p>
          <w:p w14:paraId="6C6118C2" w14:textId="77777777" w:rsidR="00DE5E84" w:rsidRDefault="00DE5E84" w:rsidP="00445148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בשעה שמונה ומחצה.</w:t>
            </w:r>
          </w:p>
        </w:tc>
        <w:tc>
          <w:tcPr>
            <w:tcW w:w="4122" w:type="dxa"/>
          </w:tcPr>
          <w:p w14:paraId="63FFCAFA" w14:textId="77777777" w:rsidR="00DE5E84" w:rsidRDefault="00DE5E84" w:rsidP="00DE5E8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זמן הקרבת התמיד בערב פסח שחל בחול  =</w:t>
            </w:r>
          </w:p>
          <w:p w14:paraId="671AC670" w14:textId="77777777" w:rsidR="00DE5E84" w:rsidRDefault="00DE5E84" w:rsidP="00DE5E8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זמן הקרבת התמיד ביום שבת רגיל =</w:t>
            </w:r>
          </w:p>
          <w:p w14:paraId="093BACEE" w14:textId="77777777" w:rsidR="00DE5E84" w:rsidRDefault="00DE5E84" w:rsidP="00445148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בשעה שבע ומחצה.</w:t>
            </w:r>
          </w:p>
        </w:tc>
      </w:tr>
      <w:tr w:rsidR="00DE5E84" w14:paraId="00249336" w14:textId="77777777" w:rsidTr="00445148">
        <w:tc>
          <w:tcPr>
            <w:tcW w:w="4122" w:type="dxa"/>
          </w:tcPr>
          <w:p w14:paraId="4944766E" w14:textId="77777777" w:rsidR="00DE5E84" w:rsidRDefault="00DE5E84" w:rsidP="00445148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גוזרים שבת בגלל נדרים ונדבות שקרבים ביום חול. </w:t>
            </w:r>
          </w:p>
          <w:p w14:paraId="62804315" w14:textId="77777777" w:rsidR="00DE5E84" w:rsidRDefault="00DE5E84" w:rsidP="00DE5E8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ולכן לא מקדימים בשבת, אף שאין נדרים ונדבות, שמא יקדים ביום חול ויפסול נדרים ונדבות שקרבו בו. </w:t>
            </w:r>
          </w:p>
        </w:tc>
        <w:tc>
          <w:tcPr>
            <w:tcW w:w="4122" w:type="dxa"/>
          </w:tcPr>
          <w:p w14:paraId="6D9A76C2" w14:textId="77777777" w:rsidR="00DE5E84" w:rsidRDefault="00DE5E84" w:rsidP="00445148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לא גוזרים שבת בגלל נדרים ונדבות שקרבים ביום חול. </w:t>
            </w:r>
          </w:p>
          <w:p w14:paraId="59CAF386" w14:textId="77777777" w:rsidR="00DE5E84" w:rsidRDefault="00DE5E84" w:rsidP="00445148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ולכן בשבת, שלא קרבים נדרים ונדבות אפשר להקדים את התמיד לזמן המוקדם ביותר. </w:t>
            </w:r>
          </w:p>
          <w:p w14:paraId="59ED500B" w14:textId="77777777" w:rsidR="00DE5E84" w:rsidRDefault="00DE5E84" w:rsidP="00445148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ולא מ</w:t>
            </w:r>
            <w:r w:rsidR="001062E6">
              <w:rPr>
                <w:rFonts w:hint="cs"/>
                <w:rtl/>
              </w:rPr>
              <w:t>קדימים לשעה שש ומחצה, משום שמוספ</w:t>
            </w:r>
            <w:r>
              <w:rPr>
                <w:rFonts w:hint="cs"/>
                <w:rtl/>
              </w:rPr>
              <w:t xml:space="preserve">ים קודמים לבזיכים ולכן הזמן המוקדם ביותר האפשרי להקרבת התמיד הוא שבע ומחצה.  </w:t>
            </w:r>
          </w:p>
        </w:tc>
      </w:tr>
      <w:tr w:rsidR="00DE5E84" w14:paraId="51C516FA" w14:textId="77777777" w:rsidTr="003C7FCB">
        <w:tc>
          <w:tcPr>
            <w:tcW w:w="8244" w:type="dxa"/>
            <w:gridSpan w:val="2"/>
          </w:tcPr>
          <w:p w14:paraId="16303099" w14:textId="77777777" w:rsidR="00DE5E84" w:rsidRDefault="00DE5E84" w:rsidP="00DE5E84">
            <w:pPr>
              <w:spacing w:after="60" w:line="240" w:lineRule="auto"/>
              <w:rPr>
                <w:rtl/>
              </w:rPr>
            </w:pPr>
            <w:r>
              <w:rPr>
                <w:rFonts w:hint="cs"/>
                <w:rtl/>
              </w:rPr>
              <w:t>המשנה כשיטת שניהם: "</w:t>
            </w:r>
            <w:r>
              <w:rPr>
                <w:rtl/>
              </w:rPr>
              <w:t>בערבי פסחים נשחט בשבע ומחצה, וקרב בשמונה ומחצה, בין בחול בין בשבת</w:t>
            </w:r>
            <w:r>
              <w:rPr>
                <w:rFonts w:hint="cs"/>
                <w:rtl/>
              </w:rPr>
              <w:t>".</w:t>
            </w:r>
          </w:p>
        </w:tc>
      </w:tr>
    </w:tbl>
    <w:p w14:paraId="110F6246" w14:textId="77777777" w:rsidR="00DE5E84" w:rsidRPr="008367D0" w:rsidRDefault="00DE5E84" w:rsidP="00DE5E84"/>
    <w:sectPr w:rsidR="00DE5E84" w:rsidRPr="008367D0" w:rsidSect="00DE5E84">
      <w:pgSz w:w="11906" w:h="16838"/>
      <w:pgMar w:top="568" w:right="1797" w:bottom="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altName w:val="Segoe UI Semilight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B6"/>
    <w:rsid w:val="00075DFB"/>
    <w:rsid w:val="00081FDB"/>
    <w:rsid w:val="000E7088"/>
    <w:rsid w:val="001062E6"/>
    <w:rsid w:val="001656B4"/>
    <w:rsid w:val="00201EB6"/>
    <w:rsid w:val="003C01C9"/>
    <w:rsid w:val="003C40ED"/>
    <w:rsid w:val="004A51D8"/>
    <w:rsid w:val="005E2743"/>
    <w:rsid w:val="007A021B"/>
    <w:rsid w:val="00807377"/>
    <w:rsid w:val="008367D0"/>
    <w:rsid w:val="0087000D"/>
    <w:rsid w:val="008732B9"/>
    <w:rsid w:val="00886E46"/>
    <w:rsid w:val="0092022A"/>
    <w:rsid w:val="0094029B"/>
    <w:rsid w:val="00997FE2"/>
    <w:rsid w:val="00AD4BB6"/>
    <w:rsid w:val="00AE5EFC"/>
    <w:rsid w:val="00BB45DD"/>
    <w:rsid w:val="00BC4169"/>
    <w:rsid w:val="00C346DC"/>
    <w:rsid w:val="00C63657"/>
    <w:rsid w:val="00DB1823"/>
    <w:rsid w:val="00DE5E84"/>
    <w:rsid w:val="00E72D44"/>
    <w:rsid w:val="00F4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6873"/>
  <w15:chartTrackingRefBased/>
  <w15:docId w15:val="{BC1895A0-52DA-4B93-B6D4-AE2CDD26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E46"/>
    <w:pPr>
      <w:bidi/>
      <w:spacing w:after="120" w:line="360" w:lineRule="auto"/>
      <w:jc w:val="both"/>
    </w:pPr>
    <w:rPr>
      <w:rFonts w:ascii="Times New Roman" w:hAnsi="Times New Roman" w:cs="David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A021B"/>
    <w:pPr>
      <w:keepNext/>
      <w:spacing w:before="240" w:after="60"/>
      <w:jc w:val="center"/>
      <w:outlineLvl w:val="0"/>
    </w:pPr>
    <w:rPr>
      <w:rFonts w:ascii="Arial" w:hAnsi="Arial" w:cstheme="minorBidi"/>
      <w:b/>
      <w:bCs/>
      <w:kern w:val="32"/>
      <w:sz w:val="36"/>
      <w:szCs w:val="36"/>
    </w:rPr>
  </w:style>
  <w:style w:type="paragraph" w:styleId="2">
    <w:name w:val="heading 2"/>
    <w:basedOn w:val="a"/>
    <w:next w:val="a"/>
    <w:link w:val="20"/>
    <w:qFormat/>
    <w:rsid w:val="00075D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32"/>
    </w:rPr>
  </w:style>
  <w:style w:type="paragraph" w:styleId="3">
    <w:name w:val="heading 3"/>
    <w:basedOn w:val="a"/>
    <w:next w:val="a"/>
    <w:link w:val="30"/>
    <w:qFormat/>
    <w:rsid w:val="00075DFB"/>
    <w:pPr>
      <w:keepNext/>
      <w:spacing w:before="240" w:after="60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75DFB"/>
    <w:pPr>
      <w:keepNext/>
      <w:spacing w:before="240" w:after="60"/>
      <w:outlineLvl w:val="3"/>
    </w:pPr>
    <w:rPr>
      <w:rFonts w:cs="Guttman Kere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75D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7A021B"/>
    <w:rPr>
      <w:rFonts w:ascii="Arial" w:hAnsi="Arial"/>
      <w:b/>
      <w:bCs/>
      <w:kern w:val="32"/>
      <w:sz w:val="36"/>
      <w:szCs w:val="36"/>
      <w:lang w:eastAsia="zh-CN"/>
    </w:rPr>
  </w:style>
  <w:style w:type="character" w:customStyle="1" w:styleId="20">
    <w:name w:val="כותרת 2 תו"/>
    <w:link w:val="2"/>
    <w:rsid w:val="00075DFB"/>
    <w:rPr>
      <w:rFonts w:ascii="Arial" w:hAnsi="Arial" w:cs="Arial"/>
      <w:b/>
      <w:bCs/>
      <w:i/>
      <w:iCs/>
      <w:sz w:val="32"/>
      <w:szCs w:val="32"/>
      <w:lang w:eastAsia="zh-CN"/>
    </w:rPr>
  </w:style>
  <w:style w:type="character" w:customStyle="1" w:styleId="30">
    <w:name w:val="כותרת 3 תו"/>
    <w:link w:val="3"/>
    <w:rsid w:val="00075DFB"/>
    <w:rPr>
      <w:rFonts w:ascii="Arial" w:hAnsi="Arial" w:cs="Arial"/>
      <w:b/>
      <w:bCs/>
      <w:sz w:val="28"/>
      <w:szCs w:val="28"/>
      <w:lang w:eastAsia="zh-CN"/>
    </w:rPr>
  </w:style>
  <w:style w:type="character" w:customStyle="1" w:styleId="50">
    <w:name w:val="כותרת 5 תו"/>
    <w:link w:val="5"/>
    <w:rsid w:val="00075DFB"/>
    <w:rPr>
      <w:rFonts w:cs="David"/>
      <w:b/>
      <w:bCs/>
      <w:i/>
      <w:iCs/>
      <w:sz w:val="26"/>
      <w:szCs w:val="26"/>
      <w:lang w:eastAsia="zh-CN"/>
    </w:rPr>
  </w:style>
  <w:style w:type="character" w:customStyle="1" w:styleId="40">
    <w:name w:val="כותרת 4 תו"/>
    <w:link w:val="4"/>
    <w:rsid w:val="00075DFB"/>
    <w:rPr>
      <w:rFonts w:cs="Guttman Keren"/>
      <w:b/>
      <w:bCs/>
      <w:sz w:val="26"/>
      <w:szCs w:val="26"/>
      <w:lang w:eastAsia="zh-CN"/>
    </w:rPr>
  </w:style>
  <w:style w:type="paragraph" w:styleId="a3">
    <w:name w:val="Quote"/>
    <w:basedOn w:val="a"/>
    <w:link w:val="a4"/>
    <w:qFormat/>
    <w:rsid w:val="005E2743"/>
    <w:pPr>
      <w:ind w:left="720"/>
    </w:pPr>
    <w:rPr>
      <w:rFonts w:cs="Miriam"/>
    </w:rPr>
  </w:style>
  <w:style w:type="character" w:customStyle="1" w:styleId="a4">
    <w:name w:val="ציטוט תו"/>
    <w:link w:val="a3"/>
    <w:rsid w:val="005E2743"/>
    <w:rPr>
      <w:rFonts w:ascii="Times New Roman" w:hAnsi="Times New Roman" w:cs="Miriam"/>
      <w:sz w:val="24"/>
      <w:szCs w:val="24"/>
      <w:lang w:eastAsia="zh-CN"/>
    </w:rPr>
  </w:style>
  <w:style w:type="paragraph" w:customStyle="1" w:styleId="a5">
    <w:name w:val="מקורות"/>
    <w:basedOn w:val="a"/>
    <w:next w:val="a"/>
    <w:link w:val="a6"/>
    <w:qFormat/>
    <w:rsid w:val="00C63657"/>
    <w:pPr>
      <w:jc w:val="right"/>
    </w:pPr>
    <w:rPr>
      <w:rFonts w:ascii="Calibri" w:hAnsi="Calibri"/>
      <w:sz w:val="20"/>
      <w:szCs w:val="20"/>
      <w:lang w:eastAsia="en-US"/>
    </w:rPr>
  </w:style>
  <w:style w:type="character" w:customStyle="1" w:styleId="a6">
    <w:name w:val="מקורות תו"/>
    <w:basedOn w:val="a0"/>
    <w:link w:val="a5"/>
    <w:rsid w:val="00C63657"/>
    <w:rPr>
      <w:rFonts w:ascii="Calibri" w:hAnsi="Calibri" w:cs="David"/>
      <w:sz w:val="20"/>
      <w:szCs w:val="20"/>
    </w:rPr>
  </w:style>
  <w:style w:type="table" w:styleId="a7">
    <w:name w:val="Table Grid"/>
    <w:basedOn w:val="a1"/>
    <w:uiPriority w:val="39"/>
    <w:rsid w:val="001656B4"/>
    <w:pPr>
      <w:spacing w:before="60" w:after="60" w:line="240" w:lineRule="auto"/>
    </w:pPr>
    <w:rPr>
      <w:rFonts w:cs="David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cs="David"/>
        <w:bCs/>
        <w:szCs w:val="24"/>
      </w:rPr>
      <w:tblPr/>
      <w:tcPr>
        <w:shd w:val="clear" w:color="auto" w:fill="BFBFBF" w:themeFill="background1" w:themeFillShade="BF"/>
        <w:vAlign w:val="center"/>
      </w:tcPr>
    </w:tblStylePr>
  </w:style>
  <w:style w:type="character" w:customStyle="1" w:styleId="11">
    <w:name w:val="ציטוט תו1"/>
    <w:basedOn w:val="a0"/>
    <w:rsid w:val="00807377"/>
    <w:rPr>
      <w:rFonts w:ascii="Times New Roman" w:hAnsi="Times New Roman" w:cs="Miriam"/>
      <w:sz w:val="24"/>
      <w:szCs w:val="24"/>
      <w:lang w:eastAsia="zh-CN"/>
    </w:rPr>
  </w:style>
  <w:style w:type="character" w:styleId="a8">
    <w:name w:val="footnote reference"/>
    <w:semiHidden/>
    <w:rsid w:val="00C346DC"/>
    <w:rPr>
      <w:rFonts w:cs="Times New Roman"/>
      <w:caps w:val="0"/>
      <w:smallCaps w:val="0"/>
      <w:strike w:val="0"/>
      <w:dstrike w:val="0"/>
      <w:shadow w:val="0"/>
      <w:emboss w:val="0"/>
      <w:imprint w:val="0"/>
      <w:vanish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323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סופר</dc:creator>
  <cp:keywords/>
  <dc:description/>
  <cp:lastModifiedBy>הראל שפירא</cp:lastModifiedBy>
  <cp:revision>6</cp:revision>
  <cp:lastPrinted>2021-01-18T18:04:00Z</cp:lastPrinted>
  <dcterms:created xsi:type="dcterms:W3CDTF">2021-01-18T17:33:00Z</dcterms:created>
  <dcterms:modified xsi:type="dcterms:W3CDTF">2021-01-19T17:23:00Z</dcterms:modified>
</cp:coreProperties>
</file>