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1B264" w14:textId="77777777" w:rsidR="00655398" w:rsidRPr="007401CD" w:rsidRDefault="00655398" w:rsidP="00C270D7">
      <w:pPr>
        <w:pStyle w:val="2"/>
        <w:tabs>
          <w:tab w:val="left" w:pos="3934"/>
        </w:tabs>
        <w:rPr>
          <w:b/>
          <w:bCs/>
          <w:sz w:val="54"/>
          <w:szCs w:val="54"/>
          <w:shd w:val="clear" w:color="auto" w:fill="FFFFFF"/>
          <w:rtl/>
        </w:rPr>
      </w:pPr>
      <w:bookmarkStart w:id="0" w:name="_Hlk68984648"/>
      <w:r w:rsidRPr="007401CD">
        <w:rPr>
          <w:rFonts w:hint="cs"/>
          <w:b/>
          <w:bCs/>
          <w:sz w:val="54"/>
          <w:szCs w:val="54"/>
          <w:shd w:val="clear" w:color="auto" w:fill="FFFFFF"/>
          <w:rtl/>
        </w:rPr>
        <w:t>פרק ראשון - '</w:t>
      </w:r>
      <w:r w:rsidR="0043160C">
        <w:rPr>
          <w:rFonts w:hint="cs"/>
          <w:b/>
          <w:bCs/>
          <w:sz w:val="54"/>
          <w:szCs w:val="54"/>
          <w:shd w:val="clear" w:color="auto" w:fill="FFFFFF"/>
          <w:rtl/>
        </w:rPr>
        <w:t>שבעת ימים</w:t>
      </w:r>
      <w:r w:rsidRPr="007401CD">
        <w:rPr>
          <w:rFonts w:hint="cs"/>
          <w:b/>
          <w:bCs/>
          <w:sz w:val="54"/>
          <w:szCs w:val="54"/>
          <w:shd w:val="clear" w:color="auto" w:fill="FFFFFF"/>
          <w:rtl/>
        </w:rPr>
        <w:t>'</w:t>
      </w:r>
    </w:p>
    <w:p w14:paraId="7B9587CE" w14:textId="77777777" w:rsidR="00BB59FE" w:rsidRDefault="00BB59FE" w:rsidP="00C270D7">
      <w:pPr>
        <w:pStyle w:val="NormalWeb"/>
        <w:tabs>
          <w:tab w:val="left" w:pos="3934"/>
        </w:tabs>
        <w:bidi/>
        <w:spacing w:before="0" w:beforeAutospacing="0" w:after="0" w:afterAutospacing="0"/>
        <w:jc w:val="center"/>
        <w:rPr>
          <w:rStyle w:val="40"/>
          <w:rtl/>
        </w:rPr>
      </w:pPr>
    </w:p>
    <w:bookmarkEnd w:id="0"/>
    <w:p w14:paraId="04134920" w14:textId="77777777" w:rsidR="0043160C" w:rsidRDefault="0043160C" w:rsidP="00F36185">
      <w:pPr>
        <w:pStyle w:val="NormalWeb"/>
        <w:tabs>
          <w:tab w:val="left" w:pos="3934"/>
        </w:tabs>
        <w:bidi/>
        <w:spacing w:before="0" w:beforeAutospacing="0" w:after="0" w:afterAutospacing="0"/>
        <w:ind w:right="70"/>
        <w:jc w:val="center"/>
        <w:rPr>
          <w:rFonts w:ascii="Arial" w:hAnsi="Arial" w:cs="Arial"/>
          <w:b/>
          <w:bCs/>
          <w:color w:val="000000"/>
          <w:rtl/>
        </w:rPr>
      </w:pPr>
      <w:r w:rsidRPr="0043160C">
        <w:rPr>
          <w:rStyle w:val="40"/>
          <w:rtl/>
        </w:rPr>
        <w:t>דף ב</w:t>
      </w:r>
    </w:p>
    <w:p w14:paraId="72E90E70" w14:textId="77777777" w:rsidR="0043160C" w:rsidRDefault="0043160C" w:rsidP="00C270D7">
      <w:pPr>
        <w:pStyle w:val="3"/>
        <w:tabs>
          <w:tab w:val="left" w:pos="3934"/>
        </w:tabs>
        <w:ind w:right="70"/>
        <w:rPr>
          <w:rtl/>
        </w:rPr>
      </w:pPr>
      <w:r>
        <w:rPr>
          <w:rtl/>
        </w:rPr>
        <w:t>פרישה לפני יום הכיפורים ולפני שריפת הפרה</w:t>
      </w:r>
    </w:p>
    <w:p w14:paraId="71DBD944" w14:textId="77777777" w:rsidR="00774CEB" w:rsidRPr="00774CEB" w:rsidRDefault="00774CEB" w:rsidP="00774CEB">
      <w:pPr>
        <w:rPr>
          <w:sz w:val="6"/>
          <w:szCs w:val="6"/>
          <w:rtl/>
        </w:rPr>
      </w:pPr>
    </w:p>
    <w:p w14:paraId="1A2B0C34" w14:textId="77777777" w:rsidR="0043160C" w:rsidRDefault="0043160C" w:rsidP="00C270D7">
      <w:pPr>
        <w:pStyle w:val="1"/>
        <w:numPr>
          <w:ilvl w:val="0"/>
          <w:numId w:val="3"/>
        </w:numPr>
        <w:tabs>
          <w:tab w:val="left" w:pos="3934"/>
        </w:tabs>
        <w:ind w:right="70"/>
        <w:rPr>
          <w:rtl/>
        </w:rPr>
      </w:pPr>
      <w:r>
        <w:rPr>
          <w:b/>
          <w:bCs/>
          <w:rtl/>
        </w:rPr>
        <w:t>משנה:</w:t>
      </w:r>
      <w:r>
        <w:rPr>
          <w:rtl/>
        </w:rPr>
        <w:t xml:space="preserve"> שבעת ימים קודם יום הכיפורים </w:t>
      </w:r>
      <w:proofErr w:type="spellStart"/>
      <w:r>
        <w:rPr>
          <w:rtl/>
        </w:rPr>
        <w:t>מפרישין</w:t>
      </w:r>
      <w:proofErr w:type="spellEnd"/>
      <w:r>
        <w:rPr>
          <w:rtl/>
        </w:rPr>
        <w:t xml:space="preserve"> כהן גדול מביתו ללשכת </w:t>
      </w:r>
      <w:proofErr w:type="spellStart"/>
      <w:r>
        <w:rPr>
          <w:rtl/>
        </w:rPr>
        <w:t>פלהדרין</w:t>
      </w:r>
      <w:proofErr w:type="spellEnd"/>
      <w:r>
        <w:rPr>
          <w:rtl/>
        </w:rPr>
        <w:t xml:space="preserve">, </w:t>
      </w:r>
      <w:proofErr w:type="spellStart"/>
      <w:r>
        <w:rPr>
          <w:rtl/>
        </w:rPr>
        <w:t>ומתקינין</w:t>
      </w:r>
      <w:proofErr w:type="spellEnd"/>
      <w:r>
        <w:rPr>
          <w:rtl/>
        </w:rPr>
        <w:t xml:space="preserve"> לו כהן אחר תחתיו, שמא יארע בו פסול. רבי יהודה אומר, אף </w:t>
      </w:r>
      <w:proofErr w:type="spellStart"/>
      <w:r>
        <w:rPr>
          <w:rtl/>
        </w:rPr>
        <w:t>אשה</w:t>
      </w:r>
      <w:proofErr w:type="spellEnd"/>
      <w:r>
        <w:rPr>
          <w:rtl/>
        </w:rPr>
        <w:t xml:space="preserve"> אחרת </w:t>
      </w:r>
      <w:proofErr w:type="spellStart"/>
      <w:r>
        <w:rPr>
          <w:rtl/>
        </w:rPr>
        <w:t>מתקינין</w:t>
      </w:r>
      <w:proofErr w:type="spellEnd"/>
      <w:r>
        <w:rPr>
          <w:rtl/>
        </w:rPr>
        <w:t xml:space="preserve"> לו, שמא תמות אשתו, שנאמר (</w:t>
      </w:r>
      <w:hyperlink r:id="rId8" w:history="1">
        <w:r w:rsidRPr="00F0250E">
          <w:rPr>
            <w:rtl/>
          </w:rPr>
          <w:t>ויקרא טז</w:t>
        </w:r>
      </w:hyperlink>
      <w:r>
        <w:rPr>
          <w:rtl/>
        </w:rPr>
        <w:t>) וכפר בעדו ובעד ביתו. ביתו, זו אשתו. אמרו לו, אם כן, אין לדבר סוף.</w:t>
      </w:r>
    </w:p>
    <w:p w14:paraId="007FDC2B" w14:textId="77777777" w:rsidR="0043160C" w:rsidRDefault="0043160C" w:rsidP="00C270D7">
      <w:pPr>
        <w:pStyle w:val="1"/>
        <w:numPr>
          <w:ilvl w:val="0"/>
          <w:numId w:val="3"/>
        </w:numPr>
        <w:tabs>
          <w:tab w:val="left" w:pos="3934"/>
        </w:tabs>
        <w:ind w:right="70"/>
        <w:rPr>
          <w:rtl/>
        </w:rPr>
      </w:pPr>
      <w:r>
        <w:rPr>
          <w:rtl/>
        </w:rPr>
        <w:t>במסכת פרה מבואר ששבעה ימים קודם שריפת הפרה האדומה היו מפרישים את הכהן השורף את הפרה.</w:t>
      </w:r>
    </w:p>
    <w:p w14:paraId="442E16B7" w14:textId="77777777" w:rsidR="0043160C" w:rsidRDefault="0043160C" w:rsidP="00C270D7">
      <w:pPr>
        <w:pStyle w:val="1"/>
        <w:numPr>
          <w:ilvl w:val="0"/>
          <w:numId w:val="3"/>
        </w:numPr>
        <w:tabs>
          <w:tab w:val="left" w:pos="3934"/>
        </w:tabs>
        <w:ind w:right="70"/>
        <w:rPr>
          <w:rtl/>
        </w:rPr>
      </w:pPr>
      <w:r>
        <w:rPr>
          <w:rtl/>
        </w:rPr>
        <w:t>המקור לכך שצריך להפריש את הכהן הגדול לפני יום כיפור ואת הכהן השורף את הפרה לפני שריפת הפרה הוא מהפסוק בפרשת מילואים שבו הצטוו לפרוש מביתם שבעה ימים ונאמר שם "כאשר עשה ביום הזה צוה ה' לעשות לכפר עליכם". 'לעשות' – אלו מעשי פרה, 'לכפר' – אלו מעשי יום הכיפורים. </w:t>
      </w:r>
    </w:p>
    <w:p w14:paraId="372A540E" w14:textId="77777777" w:rsidR="00F0250E" w:rsidRDefault="00F0250E" w:rsidP="00C270D7">
      <w:pPr>
        <w:tabs>
          <w:tab w:val="left" w:pos="3934"/>
        </w:tabs>
        <w:ind w:right="70"/>
        <w:rPr>
          <w:rtl/>
        </w:rPr>
      </w:pPr>
    </w:p>
    <w:p w14:paraId="6DE77FC4" w14:textId="77777777" w:rsidR="00F0250E" w:rsidRPr="00F0250E" w:rsidRDefault="00F0250E" w:rsidP="00C270D7">
      <w:pPr>
        <w:tabs>
          <w:tab w:val="left" w:pos="3934"/>
        </w:tabs>
        <w:ind w:right="70"/>
        <w:rPr>
          <w:rtl/>
        </w:rPr>
      </w:pPr>
    </w:p>
    <w:p w14:paraId="651D6482" w14:textId="77777777" w:rsidR="00BB59FE" w:rsidRDefault="0043160C" w:rsidP="00F36185">
      <w:pPr>
        <w:pStyle w:val="4"/>
        <w:tabs>
          <w:tab w:val="left" w:pos="3934"/>
        </w:tabs>
        <w:ind w:left="-58" w:right="70"/>
        <w:rPr>
          <w:rtl/>
        </w:rPr>
      </w:pPr>
      <w:r>
        <w:rPr>
          <w:rtl/>
        </w:rPr>
        <w:t>דף ג</w:t>
      </w:r>
    </w:p>
    <w:p w14:paraId="33A5B50E" w14:textId="77777777" w:rsidR="0043160C" w:rsidRDefault="0043160C" w:rsidP="00F36185">
      <w:pPr>
        <w:pStyle w:val="3"/>
        <w:tabs>
          <w:tab w:val="left" w:pos="3934"/>
        </w:tabs>
        <w:ind w:right="70"/>
        <w:rPr>
          <w:rtl/>
        </w:rPr>
      </w:pPr>
      <w:r>
        <w:rPr>
          <w:rtl/>
        </w:rPr>
        <w:t>המקור לפרישה של כהן גדול ביום כיפור</w:t>
      </w:r>
    </w:p>
    <w:p w14:paraId="771FAE27" w14:textId="77777777" w:rsidR="00774CEB" w:rsidRPr="00774CEB" w:rsidRDefault="00774CEB" w:rsidP="00774CEB">
      <w:pPr>
        <w:rPr>
          <w:sz w:val="6"/>
          <w:szCs w:val="6"/>
          <w:rtl/>
        </w:rPr>
      </w:pPr>
    </w:p>
    <w:p w14:paraId="156906BB" w14:textId="77777777" w:rsidR="0043160C" w:rsidRPr="00BB59FE" w:rsidRDefault="0043160C" w:rsidP="009C6EAE">
      <w:pPr>
        <w:pStyle w:val="1"/>
        <w:numPr>
          <w:ilvl w:val="0"/>
          <w:numId w:val="6"/>
        </w:numPr>
        <w:tabs>
          <w:tab w:val="left" w:pos="3934"/>
        </w:tabs>
        <w:ind w:left="734" w:right="70" w:hanging="425"/>
        <w:rPr>
          <w:rtl/>
        </w:rPr>
      </w:pPr>
      <w:r w:rsidRPr="00BB59FE">
        <w:rPr>
          <w:rtl/>
        </w:rPr>
        <w:t>למדנו לעיל שרבי יוחנן למד מהמילה 'לכפר' האמור במילואים לרבות פרישה של הכהן הגדול לפני יום כיפור. נאמרו כמה הסברים למה למדנו יום כיפור מהמילה 'לכפר' ולא למדנו על קרבנות של חגים אחרים שצריכים פרישה. אחד ההסברים הוא שרק ביום כיפור העבודה בכהן גדול כמו במילואים לעומת שאר החגים שאינם דווקא בכהן גדול.</w:t>
      </w:r>
    </w:p>
    <w:p w14:paraId="7933F172" w14:textId="77777777" w:rsidR="0043160C" w:rsidRPr="00BB59FE" w:rsidRDefault="0043160C" w:rsidP="009C6EAE">
      <w:pPr>
        <w:pStyle w:val="1"/>
        <w:numPr>
          <w:ilvl w:val="0"/>
          <w:numId w:val="6"/>
        </w:numPr>
        <w:tabs>
          <w:tab w:val="left" w:pos="3934"/>
        </w:tabs>
        <w:ind w:left="734" w:right="70" w:hanging="425"/>
        <w:rPr>
          <w:rtl/>
        </w:rPr>
      </w:pPr>
      <w:r w:rsidRPr="00BB59FE">
        <w:rPr>
          <w:rtl/>
        </w:rPr>
        <w:t>רב דימי מסר שרבי יוחנן עצמו סבור שרק פרישה של כהן גדול לפני יום כיפור היא חובה שנלמדת מהפסוק ואילו פרישה של הכהן השורף את הפרה היא רק מעלה בעלמא. דברי רבי יוחנן לעיל שגם הפרישה של פרה אדומה היא מהתורה היא דעת רבי ישמעאל רבו של רבי יוחנן.</w:t>
      </w:r>
    </w:p>
    <w:p w14:paraId="58C2A77C" w14:textId="77777777" w:rsidR="0043160C" w:rsidRDefault="0043160C" w:rsidP="00C270D7">
      <w:pPr>
        <w:pStyle w:val="1"/>
        <w:numPr>
          <w:ilvl w:val="0"/>
          <w:numId w:val="6"/>
        </w:numPr>
        <w:tabs>
          <w:tab w:val="left" w:pos="3934"/>
        </w:tabs>
        <w:ind w:left="734" w:right="70"/>
        <w:rPr>
          <w:rtl/>
        </w:rPr>
      </w:pPr>
      <w:r w:rsidRPr="00BB59FE">
        <w:rPr>
          <w:rtl/>
        </w:rPr>
        <w:t>רבי יוחנן כאמור למד שביום כיפור צריך פרישה מהפסוק של פרישה בימי מילואים. ריש לקיש למד שהכהן גדול צריך פרישה ביום כיפור מהפרישה של משה רבינו בסיני.  </w:t>
      </w:r>
    </w:p>
    <w:p w14:paraId="3EA030AA" w14:textId="77777777" w:rsidR="00BB59FE" w:rsidRPr="00BB59FE" w:rsidRDefault="00BB59FE" w:rsidP="00C270D7">
      <w:pPr>
        <w:tabs>
          <w:tab w:val="left" w:pos="3934"/>
        </w:tabs>
        <w:ind w:right="70"/>
        <w:rPr>
          <w:rtl/>
        </w:rPr>
      </w:pPr>
    </w:p>
    <w:p w14:paraId="2277C3D3" w14:textId="77777777" w:rsidR="00BB59FE" w:rsidRDefault="0043160C" w:rsidP="00C270D7">
      <w:pPr>
        <w:pStyle w:val="4"/>
        <w:tabs>
          <w:tab w:val="left" w:pos="3934"/>
        </w:tabs>
        <w:ind w:right="70"/>
        <w:rPr>
          <w:rtl/>
        </w:rPr>
      </w:pPr>
      <w:r>
        <w:rPr>
          <w:rtl/>
        </w:rPr>
        <w:t>דף ד</w:t>
      </w:r>
    </w:p>
    <w:p w14:paraId="67A035DD" w14:textId="77777777" w:rsidR="0043160C" w:rsidRDefault="0043160C" w:rsidP="00C270D7">
      <w:pPr>
        <w:pStyle w:val="3"/>
        <w:tabs>
          <w:tab w:val="left" w:pos="3934"/>
        </w:tabs>
        <w:ind w:right="70"/>
        <w:rPr>
          <w:rtl/>
        </w:rPr>
      </w:pPr>
      <w:r>
        <w:rPr>
          <w:rtl/>
        </w:rPr>
        <w:t>מקור הפרישה של הכהן הגדול ביום כיפור, סדר הזמנים של מתן תורה ומה שסמוך לו</w:t>
      </w:r>
    </w:p>
    <w:p w14:paraId="083F52AE" w14:textId="77777777" w:rsidR="00774CEB" w:rsidRPr="00774CEB" w:rsidRDefault="00774CEB" w:rsidP="00774CEB">
      <w:pPr>
        <w:rPr>
          <w:sz w:val="6"/>
          <w:szCs w:val="6"/>
          <w:rtl/>
        </w:rPr>
      </w:pPr>
    </w:p>
    <w:p w14:paraId="00538633" w14:textId="77777777" w:rsidR="0043160C" w:rsidRDefault="0043160C" w:rsidP="00C270D7">
      <w:pPr>
        <w:pStyle w:val="1"/>
        <w:tabs>
          <w:tab w:val="left" w:pos="3934"/>
        </w:tabs>
        <w:ind w:right="70"/>
        <w:rPr>
          <w:rtl/>
        </w:rPr>
      </w:pPr>
      <w:r>
        <w:rPr>
          <w:rtl/>
        </w:rPr>
        <w:t>יש ברייתא שמסייעת לרבי יוחנן שלמד פרישה לפני יום כיפור מהפרישה של המילואים ויש ברייתא שמסייעת לריש לקיש שלמד פרישה לפני יום כיפור מפרישתו של משה בסיני.   </w:t>
      </w:r>
    </w:p>
    <w:p w14:paraId="1F5013B8" w14:textId="77777777" w:rsidR="0043160C" w:rsidRDefault="0043160C" w:rsidP="00C270D7">
      <w:pPr>
        <w:pStyle w:val="1"/>
        <w:tabs>
          <w:tab w:val="left" w:pos="3934"/>
        </w:tabs>
        <w:ind w:right="70"/>
        <w:rPr>
          <w:rtl/>
        </w:rPr>
      </w:pPr>
      <w:r>
        <w:rPr>
          <w:rtl/>
        </w:rPr>
        <w:t>כתוב "ויכסהו הענן ששת ימים ויקרא אל משה ביום השביעי מתוך הענן". נחלקו התנאים אם הכוונה שהענן כיסה את משה וכך פרש משה בתחילת הארבעים יום לאחר מתן תורה או שמדובר בששת ימים לפני מתן תורה שהענן כיסה את ההר (ולשיטה זאת לא מוזכרת בפסוק פרישה של משה).  </w:t>
      </w:r>
    </w:p>
    <w:p w14:paraId="5E112E5E" w14:textId="77777777" w:rsidR="0043160C" w:rsidRDefault="0043160C" w:rsidP="00C270D7">
      <w:pPr>
        <w:pStyle w:val="1"/>
        <w:tabs>
          <w:tab w:val="left" w:pos="3934"/>
        </w:tabs>
        <w:ind w:right="70"/>
        <w:rPr>
          <w:rtl/>
        </w:rPr>
      </w:pPr>
      <w:r>
        <w:rPr>
          <w:rtl/>
        </w:rPr>
        <w:lastRenderedPageBreak/>
        <w:t>האומר דבר לחברו, אסור לומר לאחר אלא אם כן מקבל רשות מהמספר. </w:t>
      </w:r>
    </w:p>
    <w:p w14:paraId="542CC109" w14:textId="77777777" w:rsidR="00BB59FE" w:rsidRDefault="0043160C" w:rsidP="00C270D7">
      <w:pPr>
        <w:pStyle w:val="4"/>
        <w:tabs>
          <w:tab w:val="left" w:pos="3934"/>
        </w:tabs>
        <w:ind w:right="70"/>
        <w:rPr>
          <w:rtl/>
        </w:rPr>
      </w:pPr>
      <w:r>
        <w:rPr>
          <w:rtl/>
        </w:rPr>
        <w:t>דף ה</w:t>
      </w:r>
    </w:p>
    <w:p w14:paraId="53F65DE5" w14:textId="77777777" w:rsidR="0043160C" w:rsidRDefault="0043160C" w:rsidP="00C270D7">
      <w:pPr>
        <w:pStyle w:val="3"/>
        <w:tabs>
          <w:tab w:val="left" w:pos="3934"/>
        </w:tabs>
        <w:ind w:right="70"/>
        <w:rPr>
          <w:rtl/>
        </w:rPr>
      </w:pPr>
      <w:r>
        <w:rPr>
          <w:rtl/>
        </w:rPr>
        <w:t>ימי מילואים</w:t>
      </w:r>
    </w:p>
    <w:p w14:paraId="2D7CFC0D" w14:textId="77777777" w:rsidR="00774CEB" w:rsidRPr="00774CEB" w:rsidRDefault="00774CEB" w:rsidP="00774CEB">
      <w:pPr>
        <w:rPr>
          <w:sz w:val="6"/>
          <w:szCs w:val="6"/>
          <w:rtl/>
        </w:rPr>
      </w:pPr>
    </w:p>
    <w:p w14:paraId="2EDE3ABE" w14:textId="77777777" w:rsidR="0043160C" w:rsidRDefault="0043160C" w:rsidP="00C270D7">
      <w:pPr>
        <w:pStyle w:val="1"/>
        <w:numPr>
          <w:ilvl w:val="0"/>
          <w:numId w:val="0"/>
        </w:numPr>
        <w:tabs>
          <w:tab w:val="left" w:pos="3934"/>
        </w:tabs>
        <w:ind w:left="636" w:right="70"/>
        <w:rPr>
          <w:rtl/>
        </w:rPr>
      </w:pPr>
      <w:r>
        <w:rPr>
          <w:b/>
          <w:bCs/>
          <w:rtl/>
        </w:rPr>
        <w:t>לדעת רבי יוחנן</w:t>
      </w:r>
      <w:r>
        <w:rPr>
          <w:rtl/>
        </w:rPr>
        <w:t xml:space="preserve"> כל דבר שכתוב במילואים מעכב בהם, </w:t>
      </w:r>
      <w:r>
        <w:rPr>
          <w:b/>
          <w:bCs/>
          <w:rtl/>
        </w:rPr>
        <w:t>ולדעת רבי חנינא</w:t>
      </w:r>
      <w:r>
        <w:rPr>
          <w:rtl/>
        </w:rPr>
        <w:t xml:space="preserve"> רק מה שמעכב לדורות מעכב במילואים. נאמרו כמה אפשרויות מה </w:t>
      </w:r>
      <w:proofErr w:type="spellStart"/>
      <w:r>
        <w:rPr>
          <w:rtl/>
        </w:rPr>
        <w:t>הנפקא</w:t>
      </w:r>
      <w:proofErr w:type="spellEnd"/>
      <w:r>
        <w:rPr>
          <w:rtl/>
        </w:rPr>
        <w:t xml:space="preserve"> מינה של דבר שכתוב בפרשת המילואים ואינו מעכב לדורות: </w:t>
      </w:r>
      <w:r>
        <w:rPr>
          <w:b/>
          <w:bCs/>
          <w:rtl/>
        </w:rPr>
        <w:t>א.</w:t>
      </w:r>
      <w:r>
        <w:rPr>
          <w:rtl/>
        </w:rPr>
        <w:t xml:space="preserve"> סמיכה </w:t>
      </w:r>
      <w:r>
        <w:rPr>
          <w:b/>
          <w:bCs/>
          <w:rtl/>
        </w:rPr>
        <w:t>ב.</w:t>
      </w:r>
      <w:r>
        <w:rPr>
          <w:rtl/>
        </w:rPr>
        <w:t xml:space="preserve"> תנופה </w:t>
      </w:r>
      <w:r>
        <w:rPr>
          <w:b/>
          <w:bCs/>
          <w:rtl/>
        </w:rPr>
        <w:t>ג.</w:t>
      </w:r>
      <w:r>
        <w:rPr>
          <w:rtl/>
        </w:rPr>
        <w:t xml:space="preserve"> פרישת שבעה.</w:t>
      </w:r>
      <w:r>
        <w:rPr>
          <w:b/>
          <w:bCs/>
          <w:rtl/>
        </w:rPr>
        <w:t xml:space="preserve"> ד. </w:t>
      </w:r>
      <w:r>
        <w:rPr>
          <w:rtl/>
        </w:rPr>
        <w:t>לבישת בכדי כהונה שבעה ימים או במשיחה בשמן המשחה שבעה ימים. </w:t>
      </w:r>
    </w:p>
    <w:p w14:paraId="1E805175" w14:textId="77777777" w:rsidR="00BB59FE" w:rsidRDefault="00BB59FE" w:rsidP="00C270D7">
      <w:pPr>
        <w:pStyle w:val="NormalWeb"/>
        <w:shd w:val="clear" w:color="auto" w:fill="FFFFFF"/>
        <w:tabs>
          <w:tab w:val="left" w:pos="3934"/>
        </w:tabs>
        <w:bidi/>
        <w:spacing w:before="0" w:beforeAutospacing="0" w:after="0" w:afterAutospacing="0"/>
        <w:ind w:right="70" w:hanging="360"/>
        <w:jc w:val="both"/>
        <w:rPr>
          <w:rtl/>
        </w:rPr>
      </w:pPr>
    </w:p>
    <w:p w14:paraId="3BC1C574" w14:textId="77777777" w:rsidR="00BB59FE" w:rsidRDefault="0043160C" w:rsidP="00C270D7">
      <w:pPr>
        <w:pStyle w:val="4"/>
        <w:tabs>
          <w:tab w:val="left" w:pos="3934"/>
        </w:tabs>
        <w:ind w:right="70"/>
        <w:rPr>
          <w:rtl/>
        </w:rPr>
      </w:pPr>
      <w:r>
        <w:rPr>
          <w:rtl/>
        </w:rPr>
        <w:t>דף ו</w:t>
      </w:r>
    </w:p>
    <w:p w14:paraId="13C0C5B7" w14:textId="77777777" w:rsidR="0043160C" w:rsidRDefault="0043160C" w:rsidP="00C270D7">
      <w:pPr>
        <w:pStyle w:val="3"/>
        <w:tabs>
          <w:tab w:val="left" w:pos="3934"/>
        </w:tabs>
        <w:ind w:right="70"/>
        <w:rPr>
          <w:rtl/>
        </w:rPr>
      </w:pPr>
      <w:r>
        <w:rPr>
          <w:rtl/>
        </w:rPr>
        <w:t>פרישת כהן גדול מאשתו</w:t>
      </w:r>
    </w:p>
    <w:p w14:paraId="656DB766" w14:textId="77777777" w:rsidR="00682775" w:rsidRPr="00682775" w:rsidRDefault="00682775" w:rsidP="00682775">
      <w:pPr>
        <w:rPr>
          <w:sz w:val="6"/>
          <w:szCs w:val="6"/>
          <w:rtl/>
        </w:rPr>
      </w:pPr>
    </w:p>
    <w:p w14:paraId="3D21AD8E" w14:textId="77777777" w:rsidR="0043160C" w:rsidRDefault="0043160C" w:rsidP="00C270D7">
      <w:pPr>
        <w:pStyle w:val="1"/>
        <w:numPr>
          <w:ilvl w:val="0"/>
          <w:numId w:val="7"/>
        </w:numPr>
        <w:tabs>
          <w:tab w:val="left" w:pos="3934"/>
        </w:tabs>
        <w:ind w:right="70"/>
        <w:rPr>
          <w:rtl/>
        </w:rPr>
      </w:pPr>
      <w:r>
        <w:rPr>
          <w:rtl/>
        </w:rPr>
        <w:t>הטעם שהפרישו את הכהן הגדול בשבעת ימי הפרישה מאשתו הוא משום החשש שמא יבוא על אשתו ותמצא ספק נידה ובועל נדה טמא שבעה ימים.</w:t>
      </w:r>
    </w:p>
    <w:p w14:paraId="500BF0D5" w14:textId="77777777" w:rsidR="0043160C" w:rsidRDefault="0043160C" w:rsidP="00C270D7">
      <w:pPr>
        <w:pStyle w:val="1"/>
        <w:numPr>
          <w:ilvl w:val="0"/>
          <w:numId w:val="7"/>
        </w:numPr>
        <w:tabs>
          <w:tab w:val="left" w:pos="3934"/>
        </w:tabs>
        <w:ind w:right="70"/>
        <w:rPr>
          <w:rtl/>
        </w:rPr>
      </w:pPr>
      <w:r>
        <w:rPr>
          <w:rtl/>
        </w:rPr>
        <w:t>אין הכהן צריך לפרוש יותר משבעה ימים משום שבועל נדה יכול לטבול ביום השביעי ואינו כנדה שטובלת רק בלילה אחרי שבעה ימים.  </w:t>
      </w:r>
    </w:p>
    <w:p w14:paraId="752309D2" w14:textId="77777777" w:rsidR="0043160C" w:rsidRDefault="0043160C" w:rsidP="00C270D7">
      <w:pPr>
        <w:pStyle w:val="1"/>
        <w:numPr>
          <w:ilvl w:val="0"/>
          <w:numId w:val="7"/>
        </w:numPr>
        <w:tabs>
          <w:tab w:val="left" w:pos="3934"/>
        </w:tabs>
        <w:ind w:right="70"/>
        <w:rPr>
          <w:rtl/>
        </w:rPr>
      </w:pPr>
      <w:r>
        <w:rPr>
          <w:rtl/>
        </w:rPr>
        <w:t xml:space="preserve">נאמרו שני הסברים מדוע אין מפרישים אותו משאר בני אדם משום החשש שימותו פתאום ויטמא בטומאת מת, (ורק מפרישים אותו מאשתו משום החשש של בועל נדה):  </w:t>
      </w:r>
      <w:r>
        <w:rPr>
          <w:b/>
          <w:bCs/>
          <w:rtl/>
        </w:rPr>
        <w:t>א.</w:t>
      </w:r>
      <w:r>
        <w:rPr>
          <w:rtl/>
        </w:rPr>
        <w:t xml:space="preserve"> המשנה סבורה שטומאת מת הותרה היא בציבור. </w:t>
      </w:r>
      <w:r>
        <w:rPr>
          <w:b/>
          <w:bCs/>
          <w:rtl/>
        </w:rPr>
        <w:t>ב.</w:t>
      </w:r>
      <w:r>
        <w:rPr>
          <w:rtl/>
        </w:rPr>
        <w:t xml:space="preserve"> אפילו אם טומאה דחויה היא בציבור, טומאת מת לא שכיח ואין חוששים לו.    </w:t>
      </w:r>
    </w:p>
    <w:p w14:paraId="5C3CB373" w14:textId="77777777" w:rsidR="00BB59FE" w:rsidRDefault="0043160C" w:rsidP="00C270D7">
      <w:pPr>
        <w:pStyle w:val="4"/>
        <w:tabs>
          <w:tab w:val="left" w:pos="3934"/>
        </w:tabs>
        <w:ind w:right="70"/>
        <w:rPr>
          <w:rtl/>
        </w:rPr>
      </w:pPr>
      <w:r>
        <w:rPr>
          <w:rtl/>
        </w:rPr>
        <w:t>דף ז</w:t>
      </w:r>
    </w:p>
    <w:p w14:paraId="1FBD2DDA" w14:textId="77777777" w:rsidR="0043160C" w:rsidRDefault="0043160C" w:rsidP="00C270D7">
      <w:pPr>
        <w:pStyle w:val="3"/>
        <w:tabs>
          <w:tab w:val="left" w:pos="3934"/>
        </w:tabs>
        <w:ind w:right="70"/>
        <w:rPr>
          <w:rtl/>
        </w:rPr>
      </w:pPr>
      <w:r>
        <w:rPr>
          <w:rtl/>
        </w:rPr>
        <w:t>טומאה הותרה בציבור או דחויה</w:t>
      </w:r>
    </w:p>
    <w:p w14:paraId="3794CD53" w14:textId="77777777" w:rsidR="00682775" w:rsidRPr="00682775" w:rsidRDefault="00682775" w:rsidP="00682775">
      <w:pPr>
        <w:rPr>
          <w:sz w:val="6"/>
          <w:szCs w:val="6"/>
          <w:rtl/>
        </w:rPr>
      </w:pPr>
    </w:p>
    <w:p w14:paraId="6295CDC7" w14:textId="77777777" w:rsidR="0043160C" w:rsidRDefault="0043160C" w:rsidP="00C270D7">
      <w:pPr>
        <w:pStyle w:val="1"/>
        <w:numPr>
          <w:ilvl w:val="0"/>
          <w:numId w:val="8"/>
        </w:numPr>
        <w:tabs>
          <w:tab w:val="left" w:pos="3934"/>
        </w:tabs>
        <w:ind w:right="70"/>
        <w:rPr>
          <w:rtl/>
        </w:rPr>
      </w:pPr>
      <w:r>
        <w:rPr>
          <w:b/>
          <w:bCs/>
          <w:rtl/>
        </w:rPr>
        <w:t>לדעת רב נחמן</w:t>
      </w:r>
      <w:r>
        <w:rPr>
          <w:rtl/>
        </w:rPr>
        <w:t xml:space="preserve"> טומאה הותרה היא בציבור. </w:t>
      </w:r>
      <w:r>
        <w:rPr>
          <w:b/>
          <w:bCs/>
          <w:rtl/>
        </w:rPr>
        <w:t>לדעת רב ששת</w:t>
      </w:r>
      <w:r>
        <w:rPr>
          <w:rtl/>
        </w:rPr>
        <w:t xml:space="preserve"> טומאה דחויה היא בציבור (רש"י- וכל מה </w:t>
      </w:r>
      <w:proofErr w:type="spellStart"/>
      <w:r>
        <w:rPr>
          <w:rtl/>
        </w:rPr>
        <w:t>דמצינו</w:t>
      </w:r>
      <w:proofErr w:type="spellEnd"/>
      <w:r>
        <w:rPr>
          <w:rtl/>
        </w:rPr>
        <w:t xml:space="preserve"> להדורי </w:t>
      </w:r>
      <w:proofErr w:type="spellStart"/>
      <w:r>
        <w:rPr>
          <w:rtl/>
        </w:rPr>
        <w:t>מהדרינן</w:t>
      </w:r>
      <w:proofErr w:type="spellEnd"/>
      <w:r>
        <w:rPr>
          <w:rtl/>
        </w:rPr>
        <w:t xml:space="preserve"> שיעשה בטהרה).</w:t>
      </w:r>
    </w:p>
    <w:p w14:paraId="28044953" w14:textId="77777777" w:rsidR="0043160C" w:rsidRDefault="0043160C" w:rsidP="00C270D7">
      <w:pPr>
        <w:pStyle w:val="1"/>
        <w:numPr>
          <w:ilvl w:val="0"/>
          <w:numId w:val="8"/>
        </w:numPr>
        <w:tabs>
          <w:tab w:val="left" w:pos="3934"/>
        </w:tabs>
        <w:ind w:right="70"/>
        <w:rPr>
          <w:rtl/>
        </w:rPr>
      </w:pPr>
      <w:r>
        <w:rPr>
          <w:rtl/>
        </w:rPr>
        <w:t>רב נחמן מודה כאשר יש שיריים לאכילה (כמו במנחת העומר שהנשאר מהקמיצה אוכלים הכהנים) שמחפשים אחרי טהור שיעשה, כדי שייאכל, כי קרבן שבא בטומאה אינו נאכל בטומאה.</w:t>
      </w:r>
    </w:p>
    <w:p w14:paraId="477DBC8F" w14:textId="77777777" w:rsidR="0043160C" w:rsidRDefault="0043160C" w:rsidP="00C270D7">
      <w:pPr>
        <w:pStyle w:val="1"/>
        <w:numPr>
          <w:ilvl w:val="0"/>
          <w:numId w:val="8"/>
        </w:numPr>
        <w:tabs>
          <w:tab w:val="left" w:pos="3934"/>
        </w:tabs>
        <w:ind w:right="70"/>
        <w:rPr>
          <w:rtl/>
        </w:rPr>
      </w:pPr>
      <w:r>
        <w:rPr>
          <w:rtl/>
        </w:rPr>
        <w:t xml:space="preserve">לדעת רב נחמן שטומאה הותרה </w:t>
      </w:r>
      <w:proofErr w:type="spellStart"/>
      <w:r>
        <w:rPr>
          <w:rtl/>
        </w:rPr>
        <w:t>הותרה</w:t>
      </w:r>
      <w:proofErr w:type="spellEnd"/>
      <w:r>
        <w:rPr>
          <w:rtl/>
        </w:rPr>
        <w:t xml:space="preserve"> בציבור לא צריך ריצוי ציץ אלא בקרבנות יחיד וקרבנות ציבור שאין קבוע להם זמן.</w:t>
      </w:r>
    </w:p>
    <w:p w14:paraId="3DB797C3" w14:textId="77777777" w:rsidR="0043160C" w:rsidRDefault="0043160C" w:rsidP="00C270D7">
      <w:pPr>
        <w:pStyle w:val="1"/>
        <w:numPr>
          <w:ilvl w:val="0"/>
          <w:numId w:val="8"/>
        </w:numPr>
        <w:tabs>
          <w:tab w:val="left" w:pos="3934"/>
        </w:tabs>
        <w:ind w:right="70"/>
        <w:rPr>
          <w:rtl/>
        </w:rPr>
      </w:pPr>
      <w:r>
        <w:rPr>
          <w:b/>
          <w:bCs/>
          <w:rtl/>
        </w:rPr>
        <w:t>לדעת רבי יהודה</w:t>
      </w:r>
      <w:r>
        <w:rPr>
          <w:rtl/>
        </w:rPr>
        <w:t xml:space="preserve"> אין הציץ מרצה אלא כאשר הוא על מצח הכהן הגדול שנאמר 'על מצח אהרן ונשא'. </w:t>
      </w:r>
      <w:r>
        <w:rPr>
          <w:b/>
          <w:bCs/>
          <w:rtl/>
        </w:rPr>
        <w:t>לדעת רבי שמעון</w:t>
      </w:r>
      <w:r>
        <w:rPr>
          <w:rtl/>
        </w:rPr>
        <w:t xml:space="preserve"> הציץ מרצה אף כאשר הציץ אינו על מצח הכהן הגדול שנאמר 'תמיד לרצון לפני ה' '.</w:t>
      </w:r>
    </w:p>
    <w:p w14:paraId="4745D733" w14:textId="77777777" w:rsidR="0043160C" w:rsidRDefault="0043160C" w:rsidP="00C270D7">
      <w:pPr>
        <w:pStyle w:val="1"/>
        <w:numPr>
          <w:ilvl w:val="0"/>
          <w:numId w:val="8"/>
        </w:numPr>
        <w:tabs>
          <w:tab w:val="left" w:pos="3934"/>
        </w:tabs>
        <w:rPr>
          <w:rtl/>
        </w:rPr>
      </w:pPr>
      <w:r>
        <w:rPr>
          <w:rtl/>
        </w:rPr>
        <w:t>גם לדעת רבי שמעון הציץ אינו מרצה אם הוא שבור (ואינו ראוי להיות על מצח אהרן).</w:t>
      </w:r>
    </w:p>
    <w:p w14:paraId="5D5DA4AE" w14:textId="77777777" w:rsidR="00BB59FE" w:rsidRDefault="00BB59FE" w:rsidP="00C270D7">
      <w:pPr>
        <w:pStyle w:val="NormalWeb"/>
        <w:shd w:val="clear" w:color="auto" w:fill="FFFFFF"/>
        <w:tabs>
          <w:tab w:val="left" w:pos="3934"/>
        </w:tabs>
        <w:bidi/>
        <w:spacing w:before="0" w:beforeAutospacing="0" w:after="0" w:afterAutospacing="0"/>
        <w:ind w:hanging="360"/>
        <w:jc w:val="both"/>
        <w:rPr>
          <w:rtl/>
        </w:rPr>
      </w:pPr>
    </w:p>
    <w:p w14:paraId="6C83894A" w14:textId="77777777" w:rsidR="004563F3" w:rsidRDefault="004563F3" w:rsidP="004563F3">
      <w:pPr>
        <w:pStyle w:val="NormalWeb"/>
        <w:shd w:val="clear" w:color="auto" w:fill="FFFFFF"/>
        <w:tabs>
          <w:tab w:val="left" w:pos="3934"/>
        </w:tabs>
        <w:bidi/>
        <w:spacing w:before="0" w:beforeAutospacing="0" w:after="0" w:afterAutospacing="0"/>
        <w:ind w:hanging="360"/>
        <w:jc w:val="both"/>
        <w:rPr>
          <w:rtl/>
        </w:rPr>
      </w:pPr>
    </w:p>
    <w:p w14:paraId="0D36D32C" w14:textId="77777777" w:rsidR="004563F3" w:rsidRDefault="004563F3" w:rsidP="004563F3">
      <w:pPr>
        <w:pStyle w:val="NormalWeb"/>
        <w:shd w:val="clear" w:color="auto" w:fill="FFFFFF"/>
        <w:tabs>
          <w:tab w:val="left" w:pos="3934"/>
        </w:tabs>
        <w:bidi/>
        <w:spacing w:before="0" w:beforeAutospacing="0" w:after="0" w:afterAutospacing="0"/>
        <w:ind w:hanging="360"/>
        <w:jc w:val="both"/>
        <w:rPr>
          <w:rtl/>
        </w:rPr>
      </w:pPr>
    </w:p>
    <w:p w14:paraId="0B4FF90F" w14:textId="77777777" w:rsidR="00BB59FE" w:rsidRDefault="0043160C" w:rsidP="00C270D7">
      <w:pPr>
        <w:pStyle w:val="4"/>
        <w:tabs>
          <w:tab w:val="left" w:pos="3934"/>
        </w:tabs>
        <w:rPr>
          <w:rtl/>
        </w:rPr>
      </w:pPr>
      <w:r>
        <w:rPr>
          <w:rtl/>
        </w:rPr>
        <w:t>דף ח</w:t>
      </w:r>
    </w:p>
    <w:p w14:paraId="16125F29" w14:textId="77777777" w:rsidR="0043160C" w:rsidRDefault="0043160C" w:rsidP="00C270D7">
      <w:pPr>
        <w:pStyle w:val="3"/>
        <w:tabs>
          <w:tab w:val="left" w:pos="3934"/>
        </w:tabs>
        <w:rPr>
          <w:rtl/>
        </w:rPr>
      </w:pPr>
      <w:r>
        <w:rPr>
          <w:rtl/>
        </w:rPr>
        <w:t>הזאות על הכהנים שבפרישה לפני יום כיפור ושריפת הפרה</w:t>
      </w:r>
    </w:p>
    <w:p w14:paraId="59D96FE6" w14:textId="77777777" w:rsidR="00682775" w:rsidRPr="00682775" w:rsidRDefault="00682775" w:rsidP="00682775">
      <w:pPr>
        <w:rPr>
          <w:sz w:val="6"/>
          <w:szCs w:val="6"/>
          <w:rtl/>
        </w:rPr>
      </w:pPr>
    </w:p>
    <w:p w14:paraId="05A6B9C1" w14:textId="77777777" w:rsidR="0043160C" w:rsidRDefault="0043160C" w:rsidP="00C270D7">
      <w:pPr>
        <w:pStyle w:val="1"/>
        <w:numPr>
          <w:ilvl w:val="0"/>
          <w:numId w:val="11"/>
        </w:numPr>
        <w:tabs>
          <w:tab w:val="left" w:pos="3934"/>
        </w:tabs>
        <w:rPr>
          <w:rtl/>
        </w:rPr>
      </w:pPr>
      <w:r>
        <w:rPr>
          <w:rtl/>
        </w:rPr>
        <w:lastRenderedPageBreak/>
        <w:t xml:space="preserve">נחלקו בהזאות של ימי הפרישה לפני יום כיפור ושריפת הפרה: </w:t>
      </w:r>
      <w:r>
        <w:rPr>
          <w:b/>
          <w:bCs/>
          <w:rtl/>
        </w:rPr>
        <w:t>לדעת רבי מאיר</w:t>
      </w:r>
      <w:r>
        <w:rPr>
          <w:rtl/>
        </w:rPr>
        <w:t xml:space="preserve"> מזים כל יום על הכהן. </w:t>
      </w:r>
      <w:r>
        <w:rPr>
          <w:b/>
          <w:bCs/>
          <w:rtl/>
        </w:rPr>
        <w:t>לדעת רבי יוסי</w:t>
      </w:r>
      <w:r>
        <w:rPr>
          <w:rtl/>
        </w:rPr>
        <w:t xml:space="preserve"> מזים רק בימי שלישי ושביעי. </w:t>
      </w:r>
      <w:r>
        <w:rPr>
          <w:b/>
          <w:bCs/>
          <w:rtl/>
        </w:rPr>
        <w:t>לדעת רבי חנינא סגן הכהנים</w:t>
      </w:r>
      <w:r>
        <w:rPr>
          <w:rtl/>
        </w:rPr>
        <w:t xml:space="preserve"> מזים על הכהן השורף את הפרה כל שבעה ועל הכהן הגדול לפני יום כיפור מזים רק בשלישי ושביעי.</w:t>
      </w:r>
    </w:p>
    <w:p w14:paraId="6830C381" w14:textId="77777777" w:rsidR="0043160C" w:rsidRDefault="0043160C" w:rsidP="00C270D7">
      <w:pPr>
        <w:pStyle w:val="1"/>
        <w:numPr>
          <w:ilvl w:val="0"/>
          <w:numId w:val="11"/>
        </w:numPr>
        <w:tabs>
          <w:tab w:val="left" w:pos="3934"/>
        </w:tabs>
        <w:rPr>
          <w:rtl/>
        </w:rPr>
      </w:pPr>
      <w:r>
        <w:rPr>
          <w:b/>
          <w:bCs/>
          <w:rtl/>
        </w:rPr>
        <w:t>יסוד המחלוקת:</w:t>
      </w:r>
      <w:r>
        <w:rPr>
          <w:rtl/>
        </w:rPr>
        <w:t xml:space="preserve"> למסקנת הגמרא כולם סוברים שטומאה דחויה בציבור וטבילה בזמנה מצוה. </w:t>
      </w:r>
      <w:r>
        <w:rPr>
          <w:b/>
          <w:bCs/>
          <w:rtl/>
        </w:rPr>
        <w:t>לדעת רבי מאיר</w:t>
      </w:r>
      <w:r>
        <w:rPr>
          <w:rtl/>
        </w:rPr>
        <w:t xml:space="preserve"> מקישים הזאה לטבילה ולכן הזאה בזמנה מצוה ומזים כל יום. </w:t>
      </w:r>
      <w:r>
        <w:rPr>
          <w:b/>
          <w:bCs/>
          <w:rtl/>
        </w:rPr>
        <w:t>לדעת רבי יוסי ורבי חנינא סגן הכהנים</w:t>
      </w:r>
      <w:r>
        <w:rPr>
          <w:rtl/>
        </w:rPr>
        <w:t xml:space="preserve"> לא מקישים הזאה לטבילה ומזים רק בשלישי ושביעי. ולרבי חנינא מזים כל יום על הכהן השורף את הפרה משום מעלה בפרה.</w:t>
      </w:r>
    </w:p>
    <w:p w14:paraId="31C91404" w14:textId="77777777" w:rsidR="0043160C" w:rsidRDefault="0043160C" w:rsidP="00C270D7">
      <w:pPr>
        <w:pStyle w:val="1"/>
        <w:numPr>
          <w:ilvl w:val="0"/>
          <w:numId w:val="11"/>
        </w:numPr>
        <w:tabs>
          <w:tab w:val="left" w:pos="3934"/>
        </w:tabs>
        <w:rPr>
          <w:rtl/>
        </w:rPr>
      </w:pPr>
      <w:r>
        <w:rPr>
          <w:rtl/>
        </w:rPr>
        <w:t>אף שהזכרנו שיש דעות שמזים כל שבעה, אין הכוונה ממש כל שבעה כי לא מזים ברביעי שהוא לא מתאים להיות הזאת שלישי (כי פרש מטומאה מהיום הראשון ולא צריך ברביעי הזאה) ולא הזאת שביעי (כי לא היה הזאה ארבעה ימים לפני). וכן לא מזים בשבת משום שהזאה שבות ואינה דוחה שבת.</w:t>
      </w:r>
    </w:p>
    <w:p w14:paraId="0A11A35D" w14:textId="77777777" w:rsidR="0043160C" w:rsidRDefault="0043160C" w:rsidP="00C270D7">
      <w:pPr>
        <w:pStyle w:val="1"/>
        <w:numPr>
          <w:ilvl w:val="0"/>
          <w:numId w:val="11"/>
        </w:numPr>
        <w:tabs>
          <w:tab w:val="left" w:pos="3934"/>
        </w:tabs>
        <w:rPr>
          <w:rtl/>
        </w:rPr>
      </w:pPr>
      <w:r>
        <w:rPr>
          <w:rtl/>
        </w:rPr>
        <w:t>מכיוון שלא הזו ברביעי ולא בשבת, לכן התחילו את הפרישה של הכהן השורף את הפרה ביום רביעי על מנת שהיום הרביעי יצא בשבת ויפסידו רק הזאה אחת.   </w:t>
      </w:r>
    </w:p>
    <w:p w14:paraId="61B4EC51" w14:textId="77777777" w:rsidR="004563F3" w:rsidRPr="004563F3" w:rsidRDefault="004563F3" w:rsidP="004563F3">
      <w:pPr>
        <w:pStyle w:val="NormalWeb"/>
        <w:shd w:val="clear" w:color="auto" w:fill="FFFFFF"/>
        <w:bidi/>
        <w:spacing w:before="0" w:beforeAutospacing="0" w:after="0" w:afterAutospacing="0"/>
        <w:ind w:left="726"/>
        <w:jc w:val="center"/>
        <w:rPr>
          <w:rFonts w:ascii="Arial" w:hAnsi="Arial" w:cs="Guttman Drogolin"/>
          <w:bCs/>
          <w:color w:val="000000"/>
        </w:rPr>
      </w:pPr>
      <w:r w:rsidRPr="004563F3">
        <w:rPr>
          <w:rStyle w:val="40"/>
          <w:rtl/>
        </w:rPr>
        <w:t>דף ט</w:t>
      </w:r>
    </w:p>
    <w:p w14:paraId="74DACED7" w14:textId="77777777" w:rsidR="004563F3" w:rsidRDefault="004563F3" w:rsidP="004563F3">
      <w:pPr>
        <w:pStyle w:val="NormalWeb"/>
        <w:shd w:val="clear" w:color="auto" w:fill="FFFFFF"/>
        <w:bidi/>
        <w:spacing w:before="0" w:beforeAutospacing="0" w:after="0" w:afterAutospacing="0"/>
        <w:ind w:left="726"/>
        <w:jc w:val="center"/>
        <w:rPr>
          <w:rStyle w:val="30"/>
          <w:rtl/>
        </w:rPr>
      </w:pPr>
      <w:proofErr w:type="spellStart"/>
      <w:r w:rsidRPr="004563F3">
        <w:rPr>
          <w:rStyle w:val="30"/>
          <w:rtl/>
        </w:rPr>
        <w:t>אגדתות</w:t>
      </w:r>
      <w:proofErr w:type="spellEnd"/>
      <w:r w:rsidRPr="004563F3">
        <w:rPr>
          <w:rStyle w:val="30"/>
          <w:rtl/>
        </w:rPr>
        <w:t xml:space="preserve"> על בית המקדש הראשון והשני</w:t>
      </w:r>
    </w:p>
    <w:p w14:paraId="093E1222" w14:textId="77777777" w:rsidR="004563F3" w:rsidRPr="004563F3" w:rsidRDefault="004563F3" w:rsidP="004563F3">
      <w:pPr>
        <w:pStyle w:val="NormalWeb"/>
        <w:shd w:val="clear" w:color="auto" w:fill="FFFFFF"/>
        <w:bidi/>
        <w:spacing w:before="0" w:beforeAutospacing="0" w:after="0" w:afterAutospacing="0"/>
        <w:ind w:left="726"/>
        <w:jc w:val="center"/>
        <w:rPr>
          <w:rStyle w:val="30"/>
          <w:sz w:val="6"/>
          <w:szCs w:val="6"/>
          <w:rtl/>
        </w:rPr>
      </w:pPr>
    </w:p>
    <w:p w14:paraId="2D4A57ED" w14:textId="77777777" w:rsidR="004563F3" w:rsidRDefault="004563F3" w:rsidP="004563F3">
      <w:pPr>
        <w:pStyle w:val="1"/>
        <w:numPr>
          <w:ilvl w:val="0"/>
          <w:numId w:val="12"/>
        </w:numPr>
        <w:rPr>
          <w:rtl/>
        </w:rPr>
      </w:pPr>
      <w:r>
        <w:rPr>
          <w:rtl/>
        </w:rPr>
        <w:t>במקדש ראשון הכהנים הגדולים האריכו ימים משום שהיו צדיקים ולהיפך במקדש שני.</w:t>
      </w:r>
    </w:p>
    <w:p w14:paraId="181BF412" w14:textId="77777777" w:rsidR="004563F3" w:rsidRDefault="004563F3" w:rsidP="004563F3">
      <w:pPr>
        <w:pStyle w:val="1"/>
        <w:numPr>
          <w:ilvl w:val="0"/>
          <w:numId w:val="12"/>
        </w:numPr>
        <w:rPr>
          <w:rtl/>
        </w:rPr>
      </w:pPr>
      <w:r>
        <w:rPr>
          <w:rtl/>
        </w:rPr>
        <w:t>משכן שילה חרב מפני שהיו בה שני דברים: גילוי עריות ובזיון קדשים.</w:t>
      </w:r>
    </w:p>
    <w:p w14:paraId="036F0945" w14:textId="77777777" w:rsidR="004563F3" w:rsidRDefault="004563F3" w:rsidP="004563F3">
      <w:pPr>
        <w:pStyle w:val="1"/>
        <w:numPr>
          <w:ilvl w:val="0"/>
          <w:numId w:val="12"/>
        </w:numPr>
        <w:rPr>
          <w:rtl/>
        </w:rPr>
      </w:pPr>
      <w:r>
        <w:rPr>
          <w:rtl/>
        </w:rPr>
        <w:t>בית המקדש הראשון חרב מפני שלשה דברים: עבודה זרה, גילוי עריות ושפיכות דמים.</w:t>
      </w:r>
    </w:p>
    <w:p w14:paraId="55C34E6B" w14:textId="77777777" w:rsidR="004563F3" w:rsidRDefault="004563F3" w:rsidP="004563F3">
      <w:pPr>
        <w:pStyle w:val="1"/>
        <w:numPr>
          <w:ilvl w:val="0"/>
          <w:numId w:val="12"/>
        </w:numPr>
        <w:rPr>
          <w:rtl/>
        </w:rPr>
      </w:pPr>
      <w:r>
        <w:rPr>
          <w:rtl/>
        </w:rPr>
        <w:t>בזמן בית המקדש השני היו עוסקים בתורה ובמצוות ובגמילות חסדים ובכל זאת המקדש חרב מפני שנאת חינם.</w:t>
      </w:r>
    </w:p>
    <w:p w14:paraId="40A43B1C" w14:textId="77777777" w:rsidR="004563F3" w:rsidRDefault="004563F3" w:rsidP="004563F3">
      <w:pPr>
        <w:pStyle w:val="1"/>
        <w:numPr>
          <w:ilvl w:val="0"/>
          <w:numId w:val="12"/>
        </w:numPr>
        <w:rPr>
          <w:rtl/>
        </w:rPr>
      </w:pPr>
      <w:r>
        <w:rPr>
          <w:b/>
          <w:bCs/>
          <w:rtl/>
        </w:rPr>
        <w:t>לדעת ריש לקיש</w:t>
      </w:r>
      <w:r>
        <w:rPr>
          <w:rtl/>
        </w:rPr>
        <w:t xml:space="preserve"> האחרונים עדיפים מהראשונים שאף על פי שיש שיעבוד מלכויות הם עוסקים בתורה. </w:t>
      </w:r>
      <w:r>
        <w:rPr>
          <w:b/>
          <w:bCs/>
          <w:rtl/>
        </w:rPr>
        <w:t>לדעת רבי יוחנן</w:t>
      </w:r>
      <w:r>
        <w:rPr>
          <w:rtl/>
        </w:rPr>
        <w:t xml:space="preserve"> טובה ציפורנן של ראשונים יותר מכריסן של אחרונים, ובית המקדש יוכיח שחזר לראשונים ולנו לא חזר.</w:t>
      </w:r>
    </w:p>
    <w:p w14:paraId="777C6BA6" w14:textId="77777777" w:rsidR="004563F3" w:rsidRDefault="004563F3" w:rsidP="00A95A67">
      <w:pPr>
        <w:pStyle w:val="1"/>
        <w:numPr>
          <w:ilvl w:val="0"/>
          <w:numId w:val="12"/>
        </w:numPr>
        <w:ind w:right="0"/>
        <w:rPr>
          <w:rtl/>
        </w:rPr>
      </w:pPr>
      <w:r>
        <w:rPr>
          <w:rtl/>
        </w:rPr>
        <w:t xml:space="preserve">בבית המקדש הראשון היה רוח הקודש ובבית המקדש השני לא היה. הטעם </w:t>
      </w:r>
      <w:r>
        <w:rPr>
          <w:b/>
          <w:bCs/>
          <w:rtl/>
        </w:rPr>
        <w:t xml:space="preserve">לדעת ריש לקיש: </w:t>
      </w:r>
      <w:r>
        <w:rPr>
          <w:rtl/>
        </w:rPr>
        <w:t xml:space="preserve">משום שלא עלו כולם כחומה בימי עזרא. </w:t>
      </w:r>
      <w:r>
        <w:rPr>
          <w:b/>
          <w:bCs/>
          <w:rtl/>
        </w:rPr>
        <w:t>לדעת רבי יוחנן:</w:t>
      </w:r>
      <w:r>
        <w:rPr>
          <w:rtl/>
        </w:rPr>
        <w:t xml:space="preserve"> משום שמקדש שני נבנה על ידי הפרסים ובמקדש ראשון היתה שכינה משום שנבנה על ידי שלמה.    </w:t>
      </w:r>
    </w:p>
    <w:p w14:paraId="38F6ABE7" w14:textId="77777777" w:rsidR="00A8357A" w:rsidRDefault="00A8357A" w:rsidP="00C270D7">
      <w:pPr>
        <w:tabs>
          <w:tab w:val="left" w:pos="3934"/>
        </w:tabs>
      </w:pPr>
    </w:p>
    <w:sectPr w:rsidR="00A8357A" w:rsidSect="008041E3">
      <w:headerReference w:type="default" r:id="rId9"/>
      <w:type w:val="continuous"/>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696F1" w14:textId="77777777" w:rsidR="003F0617" w:rsidRDefault="003F0617" w:rsidP="0043160C">
      <w:pPr>
        <w:spacing w:after="0" w:line="240" w:lineRule="auto"/>
      </w:pPr>
      <w:r>
        <w:separator/>
      </w:r>
    </w:p>
  </w:endnote>
  <w:endnote w:type="continuationSeparator" w:id="0">
    <w:p w14:paraId="7768ED93" w14:textId="77777777" w:rsidR="003F0617" w:rsidRDefault="003F0617" w:rsidP="00431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ank Ruehl CLM">
    <w:altName w:val="Arial"/>
    <w:charset w:val="00"/>
    <w:family w:val="auto"/>
    <w:pitch w:val="variable"/>
    <w:sig w:usb0="80000803" w:usb1="50002802"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VKoren">
    <w:altName w:val="Arial"/>
    <w:charset w:val="B1"/>
    <w:family w:val="auto"/>
    <w:pitch w:val="variable"/>
    <w:sig w:usb0="00000801" w:usb1="00000000" w:usb2="00000000" w:usb3="00000000" w:csb0="00000020" w:csb1="00000000"/>
  </w:font>
  <w:font w:name="Guttman Drogolin">
    <w:panose1 w:val="02010401010101010101"/>
    <w:charset w:val="B1"/>
    <w:family w:val="auto"/>
    <w:pitch w:val="variable"/>
    <w:sig w:usb0="00000801" w:usb1="40000000" w:usb2="00000000" w:usb3="00000000" w:csb0="00000020"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68B6F3" w14:textId="77777777" w:rsidR="003F0617" w:rsidRDefault="003F0617" w:rsidP="0043160C">
      <w:pPr>
        <w:spacing w:after="0" w:line="240" w:lineRule="auto"/>
      </w:pPr>
      <w:r>
        <w:separator/>
      </w:r>
    </w:p>
  </w:footnote>
  <w:footnote w:type="continuationSeparator" w:id="0">
    <w:p w14:paraId="620628B4" w14:textId="77777777" w:rsidR="003F0617" w:rsidRDefault="003F0617" w:rsidP="00431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F5EA2" w14:textId="77777777" w:rsidR="0043160C" w:rsidRPr="00F33FE5" w:rsidRDefault="008E756F" w:rsidP="008E756F">
    <w:pPr>
      <w:pStyle w:val="a4"/>
      <w:jc w:val="center"/>
      <w:rPr>
        <w:rFonts w:cs="VKoren"/>
        <w:sz w:val="28"/>
        <w:szCs w:val="28"/>
      </w:rPr>
    </w:pPr>
    <w:r>
      <w:rPr>
        <w:rFonts w:cs="VKoren"/>
        <w:sz w:val="28"/>
        <w:szCs w:val="28"/>
        <w:rtl/>
      </w:rPr>
      <w:tab/>
    </w:r>
    <w:r w:rsidR="0043160C" w:rsidRPr="00F33FE5">
      <w:rPr>
        <w:rFonts w:cs="VKoren" w:hint="cs"/>
        <w:sz w:val="28"/>
        <w:szCs w:val="28"/>
        <w:rtl/>
      </w:rPr>
      <w:t xml:space="preserve">פרק ראשון </w:t>
    </w:r>
    <w:r w:rsidR="0043160C">
      <w:rPr>
        <w:rFonts w:cs="VKoren" w:hint="cs"/>
        <w:sz w:val="28"/>
        <w:szCs w:val="28"/>
        <w:rtl/>
      </w:rPr>
      <w:t xml:space="preserve"> </w:t>
    </w:r>
    <w:r w:rsidR="0043160C" w:rsidRPr="00F33FE5">
      <w:rPr>
        <w:rFonts w:ascii="Narkisim" w:hAnsi="Narkisim" w:cs="Narkisim"/>
        <w:sz w:val="30"/>
        <w:szCs w:val="30"/>
        <w:rtl/>
      </w:rPr>
      <w:t>-</w:t>
    </w:r>
    <w:r w:rsidR="0043160C" w:rsidRPr="00F33FE5">
      <w:rPr>
        <w:rFonts w:cs="VKoren" w:hint="cs"/>
        <w:sz w:val="28"/>
        <w:szCs w:val="28"/>
        <w:rtl/>
      </w:rPr>
      <w:t xml:space="preserve"> </w:t>
    </w:r>
    <w:r w:rsidR="0043160C">
      <w:rPr>
        <w:rFonts w:cs="VKoren" w:hint="cs"/>
        <w:sz w:val="28"/>
        <w:szCs w:val="28"/>
        <w:rtl/>
      </w:rPr>
      <w:t>'שבעת ימים'</w:t>
    </w:r>
    <w:r w:rsidR="00700B52">
      <w:rPr>
        <w:rFonts w:cs="VKoren"/>
        <w:sz w:val="28"/>
        <w:szCs w:val="28"/>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70583"/>
    <w:multiLevelType w:val="hybridMultilevel"/>
    <w:tmpl w:val="F0D6CD3E"/>
    <w:lvl w:ilvl="0" w:tplc="3EA8326E">
      <w:start w:val="1"/>
      <w:numFmt w:val="decimal"/>
      <w:lvlText w:val="%1."/>
      <w:lvlJc w:val="left"/>
      <w:pPr>
        <w:ind w:left="720" w:hanging="360"/>
      </w:pPr>
      <w:rPr>
        <w:rFonts w:ascii="Frank Ruehl CLM" w:hAnsi="Frank Ruehl CLM" w:cs="Frank Ruehl CLM"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11552"/>
    <w:multiLevelType w:val="hybridMultilevel"/>
    <w:tmpl w:val="28942992"/>
    <w:lvl w:ilvl="0" w:tplc="D2CEE5C8">
      <w:start w:val="1"/>
      <w:numFmt w:val="decimal"/>
      <w:lvlText w:val="%1."/>
      <w:lvlJc w:val="left"/>
      <w:pPr>
        <w:ind w:left="720" w:hanging="360"/>
      </w:pPr>
      <w:rPr>
        <w:rFonts w:ascii="Frank Ruehl CLM" w:hAnsi="Frank Ruehl CLM" w:cs="Frank Ruehl CLM"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1F50C2"/>
    <w:multiLevelType w:val="hybridMultilevel"/>
    <w:tmpl w:val="0C0C9B94"/>
    <w:lvl w:ilvl="0" w:tplc="81AAB8DA">
      <w:start w:val="1"/>
      <w:numFmt w:val="decimal"/>
      <w:lvlText w:val="%1."/>
      <w:lvlJc w:val="left"/>
      <w:pPr>
        <w:ind w:left="726" w:hanging="45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3" w15:restartNumberingAfterBreak="0">
    <w:nsid w:val="2A8B495B"/>
    <w:multiLevelType w:val="hybridMultilevel"/>
    <w:tmpl w:val="3B246088"/>
    <w:lvl w:ilvl="0" w:tplc="D2CEE5C8">
      <w:start w:val="1"/>
      <w:numFmt w:val="decimal"/>
      <w:lvlText w:val="%1."/>
      <w:lvlJc w:val="left"/>
      <w:pPr>
        <w:ind w:left="720" w:hanging="360"/>
      </w:pPr>
      <w:rPr>
        <w:rFonts w:ascii="Frank Ruehl CLM" w:hAnsi="Frank Ruehl CLM" w:cs="Frank Ruehl CLM"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47378C"/>
    <w:multiLevelType w:val="hybridMultilevel"/>
    <w:tmpl w:val="E1BED97E"/>
    <w:lvl w:ilvl="0" w:tplc="6FA0A6C6">
      <w:start w:val="1"/>
      <w:numFmt w:val="decimal"/>
      <w:lvlText w:val="%1."/>
      <w:lvlJc w:val="left"/>
      <w:pPr>
        <w:ind w:left="720" w:hanging="360"/>
      </w:pPr>
      <w:rPr>
        <w:rFonts w:ascii="Frank Ruehl CLM" w:hAnsi="Frank Ruehl CLM" w:cs="Frank Ruehl CLM"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543753"/>
    <w:multiLevelType w:val="hybridMultilevel"/>
    <w:tmpl w:val="4C54A78C"/>
    <w:lvl w:ilvl="0" w:tplc="11983802">
      <w:start w:val="1"/>
      <w:numFmt w:val="decimal"/>
      <w:lvlText w:val="%1."/>
      <w:lvlJc w:val="left"/>
      <w:pPr>
        <w:ind w:left="636" w:hanging="360"/>
      </w:pPr>
      <w:rPr>
        <w:rFonts w:ascii="Frank Ruehl CLM" w:hAnsi="Frank Ruehl CLM" w:cs="Frank Ruehl CLM" w:hint="default"/>
        <w:b/>
        <w:bCs/>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6" w15:restartNumberingAfterBreak="0">
    <w:nsid w:val="5A122F57"/>
    <w:multiLevelType w:val="hybridMultilevel"/>
    <w:tmpl w:val="4B206C8A"/>
    <w:lvl w:ilvl="0" w:tplc="C5CEEE44">
      <w:start w:val="1"/>
      <w:numFmt w:val="decimal"/>
      <w:pStyle w:val="1"/>
      <w:lvlText w:val="%1."/>
      <w:lvlJc w:val="left"/>
      <w:pPr>
        <w:ind w:left="720" w:hanging="360"/>
      </w:pPr>
      <w:rPr>
        <w:rFonts w:ascii="Frank Ruehl CLM" w:hAnsi="Frank Ruehl CLM" w:cs="Frank Ruehl CLM" w:hint="default"/>
        <w:b/>
        <w:bCs/>
        <w:i w:val="0"/>
        <w:sz w:val="24"/>
        <w:szCs w:val="24"/>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F3190F"/>
    <w:multiLevelType w:val="hybridMultilevel"/>
    <w:tmpl w:val="049AD684"/>
    <w:lvl w:ilvl="0" w:tplc="0D4EE9AC">
      <w:start w:val="1"/>
      <w:numFmt w:val="decimal"/>
      <w:lvlText w:val="%1."/>
      <w:lvlJc w:val="left"/>
      <w:pPr>
        <w:ind w:left="1002" w:hanging="450"/>
      </w:pPr>
      <w:rPr>
        <w:rFonts w:ascii="Frank Ruehl CLM" w:hAnsi="Frank Ruehl CLM" w:cs="Frank Ruehl CLM" w:hint="default"/>
        <w:b/>
        <w:bCs/>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8" w15:restartNumberingAfterBreak="0">
    <w:nsid w:val="65030303"/>
    <w:multiLevelType w:val="hybridMultilevel"/>
    <w:tmpl w:val="92E4BC4E"/>
    <w:lvl w:ilvl="0" w:tplc="C60A0014">
      <w:start w:val="1"/>
      <w:numFmt w:val="decimal"/>
      <w:lvlText w:val="%1."/>
      <w:lvlJc w:val="left"/>
      <w:pPr>
        <w:ind w:left="720" w:hanging="360"/>
      </w:pPr>
      <w:rPr>
        <w:rFonts w:ascii="Frank Ruehl CLM" w:hAnsi="Frank Ruehl CLM" w:cs="Frank Ruehl CLM" w:hint="default"/>
        <w:b/>
        <w:bCs/>
        <w:i w:val="0"/>
        <w:sz w:val="24"/>
        <w:szCs w:val="24"/>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B60645"/>
    <w:multiLevelType w:val="hybridMultilevel"/>
    <w:tmpl w:val="A2AC3BCE"/>
    <w:lvl w:ilvl="0" w:tplc="E458A886">
      <w:start w:val="1"/>
      <w:numFmt w:val="decimal"/>
      <w:lvlText w:val="%1."/>
      <w:lvlJc w:val="left"/>
      <w:pPr>
        <w:ind w:left="726" w:hanging="45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0" w15:restartNumberingAfterBreak="0">
    <w:nsid w:val="6D6C2998"/>
    <w:multiLevelType w:val="hybridMultilevel"/>
    <w:tmpl w:val="DBDE948A"/>
    <w:lvl w:ilvl="0" w:tplc="C60A0014">
      <w:start w:val="1"/>
      <w:numFmt w:val="decimal"/>
      <w:lvlText w:val="%1."/>
      <w:lvlJc w:val="left"/>
      <w:pPr>
        <w:ind w:left="996" w:hanging="360"/>
      </w:pPr>
      <w:rPr>
        <w:rFonts w:ascii="Frank Ruehl CLM" w:hAnsi="Frank Ruehl CLM" w:cs="Frank Ruehl CLM" w:hint="default"/>
        <w:b/>
        <w:bCs/>
        <w:i w:val="0"/>
        <w:sz w:val="24"/>
        <w:szCs w:val="24"/>
        <w14:cntxtAlts w14:val="0"/>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1" w15:restartNumberingAfterBreak="0">
    <w:nsid w:val="6F527D1C"/>
    <w:multiLevelType w:val="hybridMultilevel"/>
    <w:tmpl w:val="DFF8D19E"/>
    <w:lvl w:ilvl="0" w:tplc="C60A0014">
      <w:start w:val="1"/>
      <w:numFmt w:val="decimal"/>
      <w:lvlText w:val="%1."/>
      <w:lvlJc w:val="left"/>
      <w:pPr>
        <w:ind w:left="720" w:hanging="360"/>
      </w:pPr>
      <w:rPr>
        <w:rFonts w:ascii="Frank Ruehl CLM" w:hAnsi="Frank Ruehl CLM" w:cs="Frank Ruehl CLM" w:hint="default"/>
        <w:b/>
        <w:bCs/>
        <w:i w:val="0"/>
        <w:sz w:val="24"/>
        <w:szCs w:val="24"/>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74855"/>
    <w:multiLevelType w:val="hybridMultilevel"/>
    <w:tmpl w:val="552A8D24"/>
    <w:lvl w:ilvl="0" w:tplc="5D5643B6">
      <w:start w:val="1"/>
      <w:numFmt w:val="decimal"/>
      <w:lvlText w:val="%1."/>
      <w:lvlJc w:val="left"/>
      <w:pPr>
        <w:ind w:left="726" w:hanging="450"/>
      </w:pPr>
      <w:rPr>
        <w:rFonts w:ascii="Frank Ruehl CLM" w:hAnsi="Frank Ruehl CLM" w:cs="Frank Ruehl CLM"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1"/>
  </w:num>
  <w:num w:numId="4">
    <w:abstractNumId w:val="10"/>
  </w:num>
  <w:num w:numId="5">
    <w:abstractNumId w:val="9"/>
  </w:num>
  <w:num w:numId="6">
    <w:abstractNumId w:val="7"/>
  </w:num>
  <w:num w:numId="7">
    <w:abstractNumId w:val="5"/>
  </w:num>
  <w:num w:numId="8">
    <w:abstractNumId w:val="3"/>
  </w:num>
  <w:num w:numId="9">
    <w:abstractNumId w:val="1"/>
  </w:num>
  <w:num w:numId="10">
    <w:abstractNumId w:val="2"/>
  </w:num>
  <w:num w:numId="11">
    <w:abstractNumId w:val="12"/>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398"/>
    <w:rsid w:val="000048A6"/>
    <w:rsid w:val="00026AEB"/>
    <w:rsid w:val="001477AB"/>
    <w:rsid w:val="00160806"/>
    <w:rsid w:val="001B5632"/>
    <w:rsid w:val="002E1E33"/>
    <w:rsid w:val="003F0617"/>
    <w:rsid w:val="00420FB5"/>
    <w:rsid w:val="00426982"/>
    <w:rsid w:val="0043160C"/>
    <w:rsid w:val="004563F3"/>
    <w:rsid w:val="0049060C"/>
    <w:rsid w:val="00654A8A"/>
    <w:rsid w:val="00655398"/>
    <w:rsid w:val="00682775"/>
    <w:rsid w:val="00700B52"/>
    <w:rsid w:val="00761067"/>
    <w:rsid w:val="00774CEB"/>
    <w:rsid w:val="00792876"/>
    <w:rsid w:val="007A3075"/>
    <w:rsid w:val="008041E3"/>
    <w:rsid w:val="008E756F"/>
    <w:rsid w:val="0093234A"/>
    <w:rsid w:val="009C6EAE"/>
    <w:rsid w:val="00A8357A"/>
    <w:rsid w:val="00A95A67"/>
    <w:rsid w:val="00B91484"/>
    <w:rsid w:val="00BB59FE"/>
    <w:rsid w:val="00C07F14"/>
    <w:rsid w:val="00C2099E"/>
    <w:rsid w:val="00C270D7"/>
    <w:rsid w:val="00C522BC"/>
    <w:rsid w:val="00CC266F"/>
    <w:rsid w:val="00D03A05"/>
    <w:rsid w:val="00E259B6"/>
    <w:rsid w:val="00E663FC"/>
    <w:rsid w:val="00F0250E"/>
    <w:rsid w:val="00F32D3D"/>
    <w:rsid w:val="00F34963"/>
    <w:rsid w:val="00F36185"/>
    <w:rsid w:val="00FE19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BD579"/>
  <w15:chartTrackingRefBased/>
  <w15:docId w15:val="{26EB23B7-DDC4-442A-B7AB-1CEE8149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398"/>
    <w:pPr>
      <w:bidi/>
    </w:pPr>
  </w:style>
  <w:style w:type="paragraph" w:styleId="1">
    <w:name w:val="heading 1"/>
    <w:aliases w:val="כתב רגיל"/>
    <w:basedOn w:val="a0"/>
    <w:next w:val="a"/>
    <w:link w:val="10"/>
    <w:uiPriority w:val="9"/>
    <w:qFormat/>
    <w:rsid w:val="00655398"/>
    <w:pPr>
      <w:numPr>
        <w:numId w:val="1"/>
      </w:numPr>
      <w:spacing w:after="0" w:line="360" w:lineRule="auto"/>
      <w:ind w:right="-142"/>
      <w:jc w:val="both"/>
      <w:outlineLvl w:val="0"/>
    </w:pPr>
    <w:rPr>
      <w:rFonts w:ascii="FrankRuehl" w:eastAsia="Times New Roman" w:hAnsi="FrankRuehl" w:cs="FrankRuehl"/>
      <w:color w:val="000000"/>
      <w:sz w:val="24"/>
      <w:szCs w:val="24"/>
      <w:shd w:val="clear" w:color="auto" w:fill="FFFFFF"/>
    </w:rPr>
  </w:style>
  <w:style w:type="paragraph" w:styleId="2">
    <w:name w:val="heading 2"/>
    <w:aliases w:val="איזה דף"/>
    <w:basedOn w:val="a"/>
    <w:next w:val="a"/>
    <w:link w:val="20"/>
    <w:uiPriority w:val="9"/>
    <w:unhideWhenUsed/>
    <w:qFormat/>
    <w:rsid w:val="00655398"/>
    <w:pPr>
      <w:spacing w:after="0" w:line="240" w:lineRule="auto"/>
      <w:ind w:left="636"/>
      <w:jc w:val="center"/>
      <w:outlineLvl w:val="1"/>
    </w:pPr>
    <w:rPr>
      <w:rFonts w:cs="VKoren"/>
      <w:color w:val="FFFFFF" w:themeColor="background1"/>
      <w:sz w:val="44"/>
      <w:szCs w:val="44"/>
      <w14:glow w14:rad="63500">
        <w14:schemeClr w14:val="bg1">
          <w14:alpha w14:val="60000"/>
          <w14:lumMod w14:val="50000"/>
        </w14:schemeClr>
      </w14:glow>
      <w14:shadow w14:blurRad="38100" w14:dist="22860" w14:dir="5400000" w14:sx="100000" w14:sy="100000" w14:kx="0" w14:ky="0" w14:algn="tl">
        <w14:srgbClr w14:val="000000">
          <w14:alpha w14:val="70000"/>
        </w14:srgbClr>
      </w14:shadow>
      <w14:textOutline w14:w="6350" w14:cap="flat" w14:cmpd="sng" w14:algn="ctr">
        <w14:solidFill>
          <w14:schemeClr w14:val="accent5"/>
        </w14:solidFill>
        <w14:prstDash w14:val="solid"/>
        <w14:round/>
      </w14:textOutline>
    </w:rPr>
  </w:style>
  <w:style w:type="paragraph" w:styleId="3">
    <w:name w:val="heading 3"/>
    <w:aliases w:val="משנה"/>
    <w:basedOn w:val="a"/>
    <w:next w:val="a"/>
    <w:link w:val="30"/>
    <w:uiPriority w:val="9"/>
    <w:unhideWhenUsed/>
    <w:qFormat/>
    <w:rsid w:val="00655398"/>
    <w:pPr>
      <w:spacing w:after="0" w:line="240" w:lineRule="auto"/>
      <w:ind w:left="636" w:right="-142"/>
      <w:jc w:val="center"/>
      <w:outlineLvl w:val="2"/>
    </w:pPr>
    <w:rPr>
      <w:rFonts w:ascii="Arial" w:eastAsia="Times New Roman" w:hAnsi="Arial" w:cs="Guttman Drogolin"/>
      <w:bCs/>
      <w:color w:val="000000"/>
      <w:sz w:val="24"/>
      <w:szCs w:val="24"/>
    </w:rPr>
  </w:style>
  <w:style w:type="paragraph" w:styleId="4">
    <w:name w:val="heading 4"/>
    <w:aliases w:val="דף"/>
    <w:basedOn w:val="2"/>
    <w:next w:val="a"/>
    <w:link w:val="40"/>
    <w:uiPriority w:val="9"/>
    <w:unhideWhenUsed/>
    <w:qFormat/>
    <w:rsid w:val="00655398"/>
    <w:pPr>
      <w:ind w:right="-142"/>
      <w:outlineLvl w:val="3"/>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aliases w:val="כתב רגיל תו"/>
    <w:basedOn w:val="a1"/>
    <w:link w:val="1"/>
    <w:uiPriority w:val="9"/>
    <w:rsid w:val="00655398"/>
    <w:rPr>
      <w:rFonts w:ascii="FrankRuehl" w:eastAsia="Times New Roman" w:hAnsi="FrankRuehl" w:cs="FrankRuehl"/>
      <w:color w:val="000000"/>
      <w:sz w:val="24"/>
      <w:szCs w:val="24"/>
    </w:rPr>
  </w:style>
  <w:style w:type="character" w:customStyle="1" w:styleId="20">
    <w:name w:val="כותרת 2 תו"/>
    <w:aliases w:val="איזה דף תו"/>
    <w:basedOn w:val="a1"/>
    <w:link w:val="2"/>
    <w:uiPriority w:val="9"/>
    <w:rsid w:val="00655398"/>
    <w:rPr>
      <w:rFonts w:cs="VKoren"/>
      <w:color w:val="FFFFFF" w:themeColor="background1"/>
      <w:sz w:val="44"/>
      <w:szCs w:val="44"/>
      <w14:glow w14:rad="63500">
        <w14:schemeClr w14:val="bg1">
          <w14:alpha w14:val="60000"/>
          <w14:lumMod w14:val="50000"/>
        </w14:schemeClr>
      </w14:glow>
      <w14:shadow w14:blurRad="38100" w14:dist="22860" w14:dir="5400000" w14:sx="100000" w14:sy="100000" w14:kx="0" w14:ky="0" w14:algn="tl">
        <w14:srgbClr w14:val="000000">
          <w14:alpha w14:val="70000"/>
        </w14:srgbClr>
      </w14:shadow>
      <w14:textOutline w14:w="6350" w14:cap="flat" w14:cmpd="sng" w14:algn="ctr">
        <w14:solidFill>
          <w14:schemeClr w14:val="accent5"/>
        </w14:solidFill>
        <w14:prstDash w14:val="solid"/>
        <w14:round/>
      </w14:textOutline>
    </w:rPr>
  </w:style>
  <w:style w:type="character" w:customStyle="1" w:styleId="30">
    <w:name w:val="כותרת 3 תו"/>
    <w:aliases w:val="משנה תו"/>
    <w:basedOn w:val="a1"/>
    <w:link w:val="3"/>
    <w:uiPriority w:val="9"/>
    <w:rsid w:val="00655398"/>
    <w:rPr>
      <w:rFonts w:ascii="Arial" w:eastAsia="Times New Roman" w:hAnsi="Arial" w:cs="Guttman Drogolin"/>
      <w:bCs/>
      <w:color w:val="000000"/>
      <w:sz w:val="24"/>
      <w:szCs w:val="24"/>
    </w:rPr>
  </w:style>
  <w:style w:type="paragraph" w:styleId="a0">
    <w:name w:val="List Paragraph"/>
    <w:basedOn w:val="a"/>
    <w:uiPriority w:val="34"/>
    <w:qFormat/>
    <w:rsid w:val="00655398"/>
    <w:pPr>
      <w:ind w:left="720"/>
      <w:contextualSpacing/>
    </w:pPr>
  </w:style>
  <w:style w:type="paragraph" w:styleId="a4">
    <w:name w:val="header"/>
    <w:basedOn w:val="a"/>
    <w:link w:val="a5"/>
    <w:uiPriority w:val="99"/>
    <w:unhideWhenUsed/>
    <w:rsid w:val="00655398"/>
    <w:pPr>
      <w:tabs>
        <w:tab w:val="center" w:pos="4153"/>
        <w:tab w:val="right" w:pos="8306"/>
      </w:tabs>
      <w:spacing w:after="0" w:line="240" w:lineRule="auto"/>
    </w:pPr>
  </w:style>
  <w:style w:type="character" w:customStyle="1" w:styleId="a5">
    <w:name w:val="כותרת עליונה תו"/>
    <w:basedOn w:val="a1"/>
    <w:link w:val="a4"/>
    <w:uiPriority w:val="99"/>
    <w:rsid w:val="00655398"/>
  </w:style>
  <w:style w:type="character" w:customStyle="1" w:styleId="40">
    <w:name w:val="כותרת 4 תו"/>
    <w:aliases w:val="דף תו"/>
    <w:basedOn w:val="a1"/>
    <w:link w:val="4"/>
    <w:uiPriority w:val="9"/>
    <w:rsid w:val="00655398"/>
    <w:rPr>
      <w:rFonts w:cs="VKoren"/>
      <w:color w:val="FFFFFF" w:themeColor="background1"/>
      <w:sz w:val="44"/>
      <w:szCs w:val="44"/>
      <w14:glow w14:rad="63500">
        <w14:schemeClr w14:val="bg1">
          <w14:alpha w14:val="60000"/>
          <w14:lumMod w14:val="50000"/>
        </w14:schemeClr>
      </w14:glow>
      <w14:shadow w14:blurRad="38100" w14:dist="22860" w14:dir="5400000" w14:sx="100000" w14:sy="100000" w14:kx="0" w14:ky="0" w14:algn="tl">
        <w14:srgbClr w14:val="000000">
          <w14:alpha w14:val="70000"/>
        </w14:srgbClr>
      </w14:shadow>
      <w14:textOutline w14:w="6350" w14:cap="flat" w14:cmpd="sng" w14:algn="ctr">
        <w14:solidFill>
          <w14:schemeClr w14:val="accent5"/>
        </w14:solidFill>
        <w14:prstDash w14:val="solid"/>
        <w14:round/>
      </w14:textOutline>
    </w:rPr>
  </w:style>
  <w:style w:type="paragraph" w:styleId="NormalWeb">
    <w:name w:val="Normal (Web)"/>
    <w:basedOn w:val="a"/>
    <w:uiPriority w:val="99"/>
    <w:semiHidden/>
    <w:unhideWhenUsed/>
    <w:rsid w:val="0043160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1"/>
    <w:rsid w:val="0043160C"/>
  </w:style>
  <w:style w:type="character" w:styleId="Hyperlink">
    <w:name w:val="Hyperlink"/>
    <w:basedOn w:val="a1"/>
    <w:uiPriority w:val="99"/>
    <w:semiHidden/>
    <w:unhideWhenUsed/>
    <w:rsid w:val="0043160C"/>
    <w:rPr>
      <w:color w:val="0000FF"/>
      <w:u w:val="single"/>
    </w:rPr>
  </w:style>
  <w:style w:type="paragraph" w:styleId="a6">
    <w:name w:val="footer"/>
    <w:basedOn w:val="a"/>
    <w:link w:val="a7"/>
    <w:uiPriority w:val="99"/>
    <w:unhideWhenUsed/>
    <w:rsid w:val="0043160C"/>
    <w:pPr>
      <w:tabs>
        <w:tab w:val="center" w:pos="4153"/>
        <w:tab w:val="right" w:pos="8306"/>
      </w:tabs>
      <w:spacing w:after="0" w:line="240" w:lineRule="auto"/>
    </w:pPr>
  </w:style>
  <w:style w:type="character" w:customStyle="1" w:styleId="a7">
    <w:name w:val="כותרת תחתונה תו"/>
    <w:basedOn w:val="a1"/>
    <w:link w:val="a6"/>
    <w:uiPriority w:val="99"/>
    <w:rsid w:val="00431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wikisource.org/wiki/%D7%95%D7%99%D7%A7%D7%A8%D7%90_%D7%98%D7%9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55992-626F-42E1-A0B1-9D6B3FD64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877</Words>
  <Characters>4389</Characters>
  <Application>Microsoft Office Word</Application>
  <DocSecurity>0</DocSecurity>
  <Lines>36</Lines>
  <Paragraphs>10</Paragraphs>
  <ScaleCrop>false</ScaleCrop>
  <HeadingPairs>
    <vt:vector size="4" baseType="variant">
      <vt:variant>
        <vt:lpstr>שם</vt:lpstr>
      </vt:variant>
      <vt:variant>
        <vt:i4>1</vt:i4>
      </vt:variant>
      <vt:variant>
        <vt:lpstr>כותרות</vt:lpstr>
      </vt:variant>
      <vt:variant>
        <vt:i4>30</vt:i4>
      </vt:variant>
    </vt:vector>
  </HeadingPairs>
  <TitlesOfParts>
    <vt:vector size="31" baseType="lpstr">
      <vt:lpstr/>
      <vt:lpstr>    פרק ראשון - 'שבעת ימים'</vt:lpstr>
      <vt:lpstr>        פרישה לפני יום הכיפורים ולפני שריפת הפרה</vt:lpstr>
      <vt:lpstr>משנה: שבעת ימים קודם יום הכיפורים מפרישין כהן גדול מביתו ללשכת פלהדרין, ומתקינין</vt:lpstr>
      <vt:lpstr>במסכת פרה מבואר ששבעה ימים קודם שריפת הפרה האדומה היו מפרישים את הכהן השורף את ה</vt:lpstr>
      <vt:lpstr>המקור לכך שצריך להפריש את הכהן הגדול לפני יום כיפור ואת הכהן השורף את הפרה לפני </vt:lpstr>
      <vt:lpstr>        המקור לפרישה של כהן גדול ביום כיפור</vt:lpstr>
      <vt:lpstr>למדנו לעיל שרבי יוחנן למד מהמילה 'לכפר' האמור במילואים לרבות פרישה של הכהן הגדול</vt:lpstr>
      <vt:lpstr>רב דימי מסר שרבי יוחנן עצמו סבור שרק פרישה של כהן גדול לפני יום כיפור היא חובה ש</vt:lpstr>
      <vt:lpstr>רבי יוחנן כאמור למד שביום כיפור צריך פרישה מהפסוק של פרישה בימי מילואים. ריש לקי</vt:lpstr>
      <vt:lpstr>        מקור הפרישה של הכהן הגדול ביום כיפור, סדר הזמנים של מתן תורה ומה שסמוך לו</vt:lpstr>
      <vt:lpstr>יש ברייתא שמסייעת לרבי יוחנן שלמד פרישה לפני יום כיפור מהפרישה של המילואים ויש ב</vt:lpstr>
      <vt:lpstr>כתוב "ויכסהו הענן ששת ימים ויקרא אל משה ביום השביעי מתוך הענן". נחלקו התנאים אם </vt:lpstr>
      <vt:lpstr>האומר דבר לחברו, אסור לומר לאחר אלא אם כן מקבל רשות מהמספר. </vt:lpstr>
      <vt:lpstr>        ימי מילואים</vt:lpstr>
      <vt:lpstr>לדעת רבי יוחנן כל דבר שכתוב במילואים מעכב בהם, ולדעת רבי חנינא רק מה שמעכב לדורו</vt:lpstr>
      <vt:lpstr>        פרישת כהן גדול מאשתו</vt:lpstr>
      <vt:lpstr>הטעם שהפרישו את הכהן הגדול בשבעת ימי הפרישה מאשתו הוא משום החשש שמא יבוא על אשתו</vt:lpstr>
      <vt:lpstr>אין הכהן צריך לפרוש יותר משבעה ימים משום שבועל נדה יכול לטבול ביום השביעי ואינו </vt:lpstr>
      <vt:lpstr>נאמרו שני הסברים מדוע אין מפרישים אותו משאר בני אדם משום החשש שימותו פתאום ויטמא</vt:lpstr>
      <vt:lpstr>        טומאה הותרה בציבור או דחויה</vt:lpstr>
      <vt:lpstr>לדעת רב נחמן טומאה הותרה היא בציבור. לדעת רב ששת טומאה דחויה היא בציבור (רש"י- ו</vt:lpstr>
      <vt:lpstr>רב נחמן מודה כאשר יש שיריים לאכילה (כמו במנחת העומר שהנשאר מהקמיצה אוכלים הכהנים</vt:lpstr>
      <vt:lpstr>לדעת רב נחמן שטומאה הותרה הותרה בציבור לא צריך ריצוי ציץ אלא בקרבנות יחיד וקרבנו</vt:lpstr>
      <vt:lpstr>לדעת רבי יהודה אין הציץ מרצה אלא כאשר הוא על מצח הכהן הגדול שנאמר 'על מצח אהרן ו</vt:lpstr>
      <vt:lpstr>גם לדעת רבי שמעון הציץ אינו מרצה אם הוא שבור (ואינו ראוי להיות על מצח אהרן).</vt:lpstr>
      <vt:lpstr>        הזאות על הכהנים שבפרישה לפני יום כיפור ושריפת הפרה</vt:lpstr>
      <vt:lpstr>נחלקו בהזאות של ימי הפרישה לפני יום כיפור ושריפת הפרה: לדעת רבי מאיר מזים כל יום</vt:lpstr>
      <vt:lpstr>יסוד המחלוקת: למסקנת הגמרא כולם סוברים שטומאה דחויה בציבור וטבילה בזמנה מצוה. לד</vt:lpstr>
      <vt:lpstr>אף שהזכרנו שיש דעות שמזים כל שבעה, אין הכוונה ממש כל שבעה כי לא מזים ברביעי שהוא</vt:lpstr>
      <vt:lpstr>מכיוון שלא הזו ברביעי ולא בשבת, לכן התחילו את הפרישה של הכהן השורף את הפרה ביום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ישיבת קדומים</dc:creator>
  <cp:keywords/>
  <dc:description/>
  <cp:lastModifiedBy>תפארת קירש</cp:lastModifiedBy>
  <cp:revision>2</cp:revision>
  <dcterms:created xsi:type="dcterms:W3CDTF">2021-04-11T20:56:00Z</dcterms:created>
  <dcterms:modified xsi:type="dcterms:W3CDTF">2021-04-11T20:56:00Z</dcterms:modified>
</cp:coreProperties>
</file>