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9" w:rsidRPr="006F6608" w:rsidRDefault="008F0ED9" w:rsidP="008F0ED9">
      <w:pPr>
        <w:keepNext/>
        <w:keepLines/>
        <w:spacing w:before="240" w:after="0" w:line="276" w:lineRule="exact"/>
        <w:jc w:val="center"/>
        <w:outlineLvl w:val="0"/>
        <w:rPr>
          <w:rFonts w:asciiTheme="majorHAnsi" w:eastAsiaTheme="majorEastAsia" w:hAnsiTheme="majorHAnsi"/>
          <w:bCs/>
          <w:sz w:val="36"/>
          <w:szCs w:val="36"/>
          <w:rtl/>
        </w:rPr>
      </w:pPr>
      <w:r w:rsidRPr="006F6608">
        <w:rPr>
          <w:rFonts w:asciiTheme="majorHAnsi" w:eastAsiaTheme="majorEastAsia" w:hAnsiTheme="majorHAnsi" w:hint="cs"/>
          <w:bCs/>
          <w:sz w:val="40"/>
          <w:szCs w:val="40"/>
          <w:rtl/>
        </w:rPr>
        <w:t>יסודות יומא</w:t>
      </w:r>
    </w:p>
    <w:p w:rsidR="008F0ED9" w:rsidRPr="006F6608" w:rsidRDefault="008F0ED9" w:rsidP="008F0ED9">
      <w:pPr>
        <w:keepNext/>
        <w:keepLines/>
        <w:spacing w:before="240" w:after="0" w:line="276" w:lineRule="exact"/>
        <w:jc w:val="center"/>
        <w:outlineLvl w:val="0"/>
        <w:rPr>
          <w:rFonts w:asciiTheme="majorHAnsi" w:eastAsiaTheme="majorEastAsia" w:hAnsiTheme="majorHAnsi"/>
          <w:b/>
          <w:sz w:val="32"/>
          <w:szCs w:val="32"/>
          <w:rtl/>
        </w:rPr>
      </w:pPr>
      <w:r w:rsidRPr="006F6608">
        <w:rPr>
          <w:rFonts w:asciiTheme="majorHAnsi" w:eastAsiaTheme="majorEastAsia" w:hAnsiTheme="majorHAnsi" w:hint="cs"/>
          <w:b/>
          <w:sz w:val="32"/>
          <w:szCs w:val="32"/>
          <w:rtl/>
        </w:rPr>
        <w:t>שיעור שני</w:t>
      </w:r>
    </w:p>
    <w:p w:rsidR="008F0ED9" w:rsidRPr="006F6608" w:rsidRDefault="008F0ED9" w:rsidP="008F0ED9">
      <w:pPr>
        <w:keepNext/>
        <w:keepLines/>
        <w:spacing w:before="240" w:after="0" w:line="276" w:lineRule="exact"/>
        <w:jc w:val="center"/>
        <w:outlineLvl w:val="0"/>
        <w:rPr>
          <w:rFonts w:asciiTheme="majorHAnsi" w:eastAsiaTheme="majorEastAsia" w:hAnsiTheme="majorHAnsi"/>
          <w:bCs/>
          <w:sz w:val="32"/>
          <w:szCs w:val="32"/>
          <w:rtl/>
        </w:rPr>
      </w:pPr>
      <w:r>
        <w:rPr>
          <w:rFonts w:asciiTheme="majorHAnsi" w:eastAsiaTheme="majorEastAsia" w:hAnsiTheme="majorHAnsi" w:hint="cs"/>
          <w:bCs/>
          <w:sz w:val="36"/>
          <w:szCs w:val="36"/>
          <w:rtl/>
        </w:rPr>
        <w:t>הפרשת</w:t>
      </w:r>
      <w:r w:rsidRPr="006F6608">
        <w:rPr>
          <w:rFonts w:asciiTheme="majorHAnsi" w:eastAsiaTheme="majorEastAsia" w:hAnsiTheme="majorHAnsi" w:hint="cs"/>
          <w:bCs/>
          <w:sz w:val="36"/>
          <w:szCs w:val="36"/>
          <w:rtl/>
        </w:rPr>
        <w:t xml:space="preserve"> כהן גדול שבעת ימים קודם יום הכיפורים</w:t>
      </w:r>
    </w:p>
    <w:p w:rsidR="008F0ED9" w:rsidRPr="006F6608" w:rsidRDefault="008F0ED9" w:rsidP="008F0ED9">
      <w:pPr>
        <w:spacing w:line="276" w:lineRule="exact"/>
        <w:rPr>
          <w:rtl/>
        </w:rPr>
      </w:pPr>
      <w:r w:rsidRPr="006F6608">
        <w:rPr>
          <w:noProof/>
          <w:rtl/>
        </w:rPr>
        <mc:AlternateContent>
          <mc:Choice Requires="wps">
            <w:drawing>
              <wp:anchor distT="0" distB="0" distL="114300" distR="114300" simplePos="0" relativeHeight="251659264" behindDoc="1" locked="0" layoutInCell="1" allowOverlap="1" wp14:anchorId="4EB880FE" wp14:editId="17395F8D">
                <wp:simplePos x="0" y="0"/>
                <wp:positionH relativeFrom="column">
                  <wp:posOffset>-259080</wp:posOffset>
                </wp:positionH>
                <wp:positionV relativeFrom="paragraph">
                  <wp:posOffset>228600</wp:posOffset>
                </wp:positionV>
                <wp:extent cx="5765800" cy="7719060"/>
                <wp:effectExtent l="0" t="0" r="25400" b="15240"/>
                <wp:wrapNone/>
                <wp:docPr id="1" name="מלבן 1"/>
                <wp:cNvGraphicFramePr/>
                <a:graphic xmlns:a="http://schemas.openxmlformats.org/drawingml/2006/main">
                  <a:graphicData uri="http://schemas.microsoft.com/office/word/2010/wordprocessingShape">
                    <wps:wsp>
                      <wps:cNvSpPr/>
                      <wps:spPr>
                        <a:xfrm>
                          <a:off x="0" y="0"/>
                          <a:ext cx="5765800" cy="771906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62A8" id="מלבן 1" o:spid="_x0000_s1026" style="position:absolute;left:0;text-align:left;margin-left:-20.4pt;margin-top:18pt;width:454pt;height:60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" fillcolor="window" strokecolor="#4472c4" strokeweight="1.5pt"/>
            </w:pict>
          </mc:Fallback>
        </mc:AlternateContent>
      </w:r>
    </w:p>
    <w:p w:rsidR="008F0ED9" w:rsidRPr="006F6608" w:rsidRDefault="008F0ED9" w:rsidP="008F0ED9">
      <w:pPr>
        <w:spacing w:line="276" w:lineRule="exact"/>
        <w:jc w:val="center"/>
        <w:rPr>
          <w:b/>
          <w:bCs/>
          <w:sz w:val="24"/>
          <w:szCs w:val="24"/>
          <w:rtl/>
        </w:rPr>
      </w:pPr>
      <w:r w:rsidRPr="006F6608">
        <w:rPr>
          <w:rFonts w:hint="cs"/>
          <w:b/>
          <w:bCs/>
          <w:sz w:val="24"/>
          <w:szCs w:val="24"/>
          <w:rtl/>
        </w:rPr>
        <w:t>מקורות</w:t>
      </w:r>
    </w:p>
    <w:p w:rsidR="008F0ED9" w:rsidRDefault="008F0ED9" w:rsidP="008F0ED9">
      <w:pPr>
        <w:spacing w:line="276" w:lineRule="exact"/>
        <w:rPr>
          <w:sz w:val="24"/>
          <w:szCs w:val="24"/>
          <w:rtl/>
        </w:rPr>
      </w:pPr>
      <w:r w:rsidRPr="006F6608">
        <w:rPr>
          <w:rFonts w:hint="cs"/>
          <w:sz w:val="24"/>
          <w:szCs w:val="24"/>
          <w:rtl/>
        </w:rPr>
        <w:t xml:space="preserve">א. </w:t>
      </w:r>
      <w:r>
        <w:rPr>
          <w:rFonts w:hint="cs"/>
          <w:sz w:val="24"/>
          <w:szCs w:val="24"/>
          <w:rtl/>
        </w:rPr>
        <w:t>גמ' יומא ב. "מתני'... אף להלן פרישה; ג:-ד. "כי אתא רב דימי... על הר סיני"</w:t>
      </w:r>
    </w:p>
    <w:p w:rsidR="008F0ED9" w:rsidRDefault="008F0ED9" w:rsidP="008F0ED9">
      <w:pPr>
        <w:spacing w:line="276" w:lineRule="exact"/>
        <w:rPr>
          <w:sz w:val="24"/>
          <w:szCs w:val="24"/>
          <w:rtl/>
        </w:rPr>
      </w:pPr>
      <w:r>
        <w:rPr>
          <w:rFonts w:hint="cs"/>
          <w:sz w:val="24"/>
          <w:szCs w:val="24"/>
          <w:rtl/>
        </w:rPr>
        <w:t>ב. ריטב"א ב. ד"ה ומתקינין; ר"י מלוניל פ"א מ"א ד"ה ומתקינין</w:t>
      </w:r>
    </w:p>
    <w:p w:rsidR="008F0ED9" w:rsidRDefault="008F0ED9" w:rsidP="008F0ED9">
      <w:pPr>
        <w:spacing w:line="276" w:lineRule="exact"/>
        <w:rPr>
          <w:sz w:val="24"/>
          <w:szCs w:val="24"/>
          <w:rtl/>
        </w:rPr>
      </w:pPr>
      <w:r>
        <w:rPr>
          <w:rFonts w:hint="cs"/>
          <w:sz w:val="24"/>
          <w:szCs w:val="24"/>
          <w:rtl/>
        </w:rPr>
        <w:t>ג. תוס' ד. ד"ה נכנסו; גבורת ארי, שם</w:t>
      </w:r>
    </w:p>
    <w:p w:rsidR="008F0ED9" w:rsidRDefault="008F0ED9" w:rsidP="008F0ED9">
      <w:pPr>
        <w:spacing w:line="276" w:lineRule="exact"/>
        <w:rPr>
          <w:sz w:val="24"/>
          <w:szCs w:val="24"/>
          <w:rtl/>
        </w:rPr>
      </w:pPr>
      <w:r>
        <w:rPr>
          <w:rFonts w:hint="cs"/>
          <w:sz w:val="24"/>
          <w:szCs w:val="24"/>
          <w:rtl/>
        </w:rPr>
        <w:t>ד. רמב"ם הל' עבודת יום הכיפורים פ"א ה"ג; אור שמח, שם</w:t>
      </w:r>
    </w:p>
    <w:p w:rsidR="008F0ED9" w:rsidRPr="006F6608" w:rsidRDefault="008F0ED9" w:rsidP="008F0ED9">
      <w:pPr>
        <w:spacing w:line="276" w:lineRule="exact"/>
        <w:rPr>
          <w:sz w:val="24"/>
          <w:szCs w:val="24"/>
          <w:rtl/>
        </w:rPr>
      </w:pPr>
    </w:p>
    <w:p w:rsidR="008F0ED9" w:rsidRDefault="008F0ED9" w:rsidP="008F0ED9">
      <w:pPr>
        <w:spacing w:line="276" w:lineRule="exact"/>
        <w:rPr>
          <w:rFonts w:ascii="FrankRuehl" w:hAnsi="FrankRuehl" w:cs="FrankRuehl"/>
          <w:b/>
          <w:bCs/>
          <w:sz w:val="24"/>
          <w:szCs w:val="24"/>
          <w:rtl/>
        </w:rPr>
      </w:pPr>
      <w:r>
        <w:rPr>
          <w:rFonts w:ascii="FrankRuehl" w:hAnsi="FrankRuehl" w:cs="FrankRuehl" w:hint="cs"/>
          <w:b/>
          <w:bCs/>
          <w:sz w:val="24"/>
          <w:szCs w:val="24"/>
          <w:rtl/>
        </w:rPr>
        <w:t>ריטב"א יומא ב. ד"ה ומתקינין</w:t>
      </w:r>
    </w:p>
    <w:p w:rsidR="008F0ED9" w:rsidRDefault="008F0ED9" w:rsidP="008F0ED9">
      <w:pPr>
        <w:spacing w:line="276" w:lineRule="auto"/>
        <w:rPr>
          <w:rFonts w:ascii="FrankRuehl" w:hAnsi="FrankRuehl" w:cs="FrankRuehl"/>
          <w:b/>
          <w:bCs/>
          <w:sz w:val="24"/>
          <w:szCs w:val="24"/>
          <w:rtl/>
        </w:rPr>
      </w:pPr>
      <w:r w:rsidRPr="00D63D48">
        <w:rPr>
          <w:rFonts w:ascii="FrankRuehl" w:hAnsi="FrankRuehl" w:cs="FrankRuehl"/>
          <w:sz w:val="24"/>
          <w:szCs w:val="24"/>
          <w:rtl/>
        </w:rPr>
        <w:t>ומתקינין לו כהן אחר תחתיו. כלומר מזמינין, ולא בעי הפרשה, דאפילו למ"ד פרישה דאורייתא ויליף לה ממלואים, מצוה בעלמא היא ולא מעכבא בעבודת יום הכפורים, ומסתיין</w:t>
      </w:r>
      <w:r>
        <w:rPr>
          <w:rFonts w:ascii="FrankRuehl" w:hAnsi="FrankRuehl" w:cs="FrankRuehl"/>
          <w:sz w:val="24"/>
          <w:szCs w:val="24"/>
          <w:rtl/>
        </w:rPr>
        <w:t xml:space="preserve"> דנעביד מצוה זו לכהן גדול לחוד</w:t>
      </w:r>
      <w:r>
        <w:rPr>
          <w:rFonts w:ascii="FrankRuehl" w:hAnsi="FrankRuehl" w:cs="FrankRuehl" w:hint="cs"/>
          <w:sz w:val="24"/>
          <w:szCs w:val="24"/>
          <w:rtl/>
        </w:rPr>
        <w:t>.</w:t>
      </w:r>
    </w:p>
    <w:p w:rsidR="008F0ED9" w:rsidRDefault="008F0ED9" w:rsidP="008F0ED9">
      <w:pPr>
        <w:spacing w:line="276" w:lineRule="auto"/>
        <w:rPr>
          <w:rFonts w:ascii="FrankRuehl" w:hAnsi="FrankRuehl" w:cs="FrankRuehl"/>
          <w:b/>
          <w:bCs/>
          <w:sz w:val="24"/>
          <w:szCs w:val="24"/>
          <w:rtl/>
        </w:rPr>
      </w:pPr>
    </w:p>
    <w:p w:rsidR="008F0ED9" w:rsidRDefault="008F0ED9" w:rsidP="008F0ED9">
      <w:pPr>
        <w:spacing w:line="276" w:lineRule="auto"/>
        <w:rPr>
          <w:rFonts w:ascii="FrankRuehl" w:hAnsi="FrankRuehl" w:cs="FrankRuehl"/>
          <w:b/>
          <w:bCs/>
          <w:sz w:val="24"/>
          <w:szCs w:val="24"/>
          <w:rtl/>
        </w:rPr>
      </w:pPr>
      <w:r>
        <w:rPr>
          <w:rFonts w:ascii="FrankRuehl" w:hAnsi="FrankRuehl" w:cs="FrankRuehl" w:hint="cs"/>
          <w:b/>
          <w:bCs/>
          <w:sz w:val="24"/>
          <w:szCs w:val="24"/>
          <w:rtl/>
        </w:rPr>
        <w:t>פירוש רבנו יהונתן מלוניל יומא פ"א מ"א ד"ה ומתקינין</w:t>
      </w:r>
    </w:p>
    <w:p w:rsidR="008F0ED9" w:rsidRPr="0056368C" w:rsidRDefault="008F0ED9" w:rsidP="008F0ED9">
      <w:pPr>
        <w:spacing w:line="276" w:lineRule="auto"/>
        <w:rPr>
          <w:rFonts w:ascii="FrankRuehl" w:hAnsi="FrankRuehl" w:cs="FrankRuehl"/>
          <w:sz w:val="24"/>
          <w:szCs w:val="24"/>
          <w:rtl/>
        </w:rPr>
      </w:pPr>
      <w:r>
        <w:rPr>
          <w:rFonts w:ascii="FrankRuehl" w:hAnsi="FrankRuehl" w:cs="FrankRuehl" w:hint="cs"/>
          <w:sz w:val="24"/>
          <w:szCs w:val="24"/>
          <w:rtl/>
        </w:rPr>
        <w:t>ומתקינין לו כהן אחר תחתיו - להיות כהן גדול תחתיו אם יארע בו פסול קרי או שאר טומאה המעכבתו מלבוא במקדש. וכיון דילפינן ממלואים צריך שנפרש האי מתקינין מפרישין, דכי היכי דבמלואים הוה מעכב בהו הפרשה הם, הכי נמי לדורות. ולפיכך היה צריך פרישה לזה הסגן המזומן לזה אם יארע בכהן גדול פסול.</w:t>
      </w:r>
    </w:p>
    <w:p w:rsidR="008F0ED9" w:rsidRDefault="008F0ED9" w:rsidP="008F0ED9">
      <w:pPr>
        <w:spacing w:line="276" w:lineRule="auto"/>
        <w:rPr>
          <w:rFonts w:ascii="FrankRuehl" w:hAnsi="FrankRuehl" w:cs="FrankRuehl"/>
          <w:b/>
          <w:bCs/>
          <w:sz w:val="24"/>
          <w:szCs w:val="24"/>
          <w:rtl/>
        </w:rPr>
      </w:pPr>
    </w:p>
    <w:p w:rsidR="008F0ED9" w:rsidRPr="00D63D48" w:rsidRDefault="008F0ED9" w:rsidP="008F0ED9">
      <w:pPr>
        <w:spacing w:line="276" w:lineRule="auto"/>
        <w:rPr>
          <w:rFonts w:ascii="FrankRuehl" w:hAnsi="FrankRuehl" w:cs="FrankRuehl"/>
          <w:b/>
          <w:bCs/>
          <w:sz w:val="24"/>
          <w:szCs w:val="24"/>
          <w:rtl/>
        </w:rPr>
      </w:pPr>
      <w:r>
        <w:rPr>
          <w:rFonts w:ascii="FrankRuehl" w:hAnsi="FrankRuehl" w:cs="FrankRuehl" w:hint="cs"/>
          <w:b/>
          <w:bCs/>
          <w:sz w:val="24"/>
          <w:szCs w:val="24"/>
          <w:rtl/>
        </w:rPr>
        <w:t>גבורת ארי יומא ג. ד"ה אמר ליה</w:t>
      </w:r>
    </w:p>
    <w:p w:rsidR="008F0ED9" w:rsidRDefault="008F0ED9" w:rsidP="008F0ED9">
      <w:pPr>
        <w:spacing w:line="276" w:lineRule="auto"/>
        <w:rPr>
          <w:rFonts w:ascii="FrankRuehl" w:hAnsi="FrankRuehl" w:cs="FrankRuehl"/>
          <w:sz w:val="24"/>
          <w:szCs w:val="24"/>
          <w:rtl/>
        </w:rPr>
      </w:pPr>
      <w:r w:rsidRPr="00D63D48">
        <w:rPr>
          <w:rFonts w:ascii="FrankRuehl" w:hAnsi="FrankRuehl" w:cs="FrankRuehl"/>
          <w:sz w:val="24"/>
          <w:szCs w:val="24"/>
          <w:rtl/>
        </w:rPr>
        <w:t>אמר ליה ר' יוחנן לריש לקיש בשלמא לדידי דילפינא ממילואים היינו דתניא זה וזה מזין עליו כל ז' מכל חטאות שהיו שם דהואי נמי הזאה במילואים אבל לדידך הזאה בסיני מי הואי וכו' הא לא קשיא דתני ר' חייא נכנסו מים תחת דם א"ל מעלה בעלמא ופי' התוספות כיון דלאו דרשא גמורה היא הא דילפינן פרישה ממילואים אלא אסמכתא ומשום הכי אין לחוש א"א נכנסו מים תחת דם. ולי קשה מדאמר ליה ר' יוחנן לריש לקיש בשלמא לדידי דילפינא ממילואים ניחא דהוי נמי הזאה התם אלא לדידך הזאה בסיני מי הואי ולא אסיק אדעתיה הא דשני ליה מעלה בעלמא ואפילו הכי לדידיה דיליף ממילואים ניחא ליה שמע מינה דדרשא גמורה היא ולא אסמכתא והא דנכנסו מים תחת דם נמי סברא מעליא הוא ומן התורה הכי הוא.</w:t>
      </w:r>
    </w:p>
    <w:p w:rsidR="008F0ED9" w:rsidRDefault="008F0ED9" w:rsidP="008F0ED9">
      <w:pPr>
        <w:spacing w:line="276" w:lineRule="auto"/>
        <w:rPr>
          <w:rFonts w:ascii="FrankRuehl" w:hAnsi="FrankRuehl" w:cs="FrankRuehl"/>
          <w:sz w:val="24"/>
          <w:szCs w:val="24"/>
          <w:rtl/>
        </w:rPr>
      </w:pPr>
    </w:p>
    <w:p w:rsidR="008F0ED9" w:rsidRPr="00D63D48" w:rsidRDefault="008F0ED9" w:rsidP="008F0ED9">
      <w:pPr>
        <w:spacing w:line="276" w:lineRule="auto"/>
        <w:rPr>
          <w:rFonts w:ascii="FrankRuehl" w:hAnsi="FrankRuehl" w:cs="FrankRuehl"/>
          <w:b/>
          <w:bCs/>
          <w:sz w:val="24"/>
          <w:szCs w:val="24"/>
          <w:rtl/>
        </w:rPr>
      </w:pPr>
      <w:r>
        <w:rPr>
          <w:rFonts w:ascii="FrankRuehl" w:hAnsi="FrankRuehl" w:cs="FrankRuehl" w:hint="cs"/>
          <w:b/>
          <w:bCs/>
          <w:sz w:val="24"/>
          <w:szCs w:val="24"/>
          <w:rtl/>
        </w:rPr>
        <w:t>אור שמח הל' עבודת יום הכיפורים פ"א ה"ג</w:t>
      </w:r>
    </w:p>
    <w:p w:rsidR="008F0ED9" w:rsidRPr="00D63D48" w:rsidRDefault="008F0ED9" w:rsidP="008F0ED9">
      <w:pPr>
        <w:spacing w:line="276" w:lineRule="auto"/>
        <w:rPr>
          <w:rFonts w:ascii="FrankRuehl" w:hAnsi="FrankRuehl" w:cs="FrankRuehl"/>
          <w:sz w:val="24"/>
          <w:szCs w:val="24"/>
          <w:rtl/>
        </w:rPr>
      </w:pPr>
      <w:r w:rsidRPr="00D63D48">
        <w:rPr>
          <w:rFonts w:ascii="FrankRuehl" w:hAnsi="FrankRuehl" w:cs="FrankRuehl"/>
          <w:sz w:val="24"/>
          <w:szCs w:val="24"/>
          <w:rtl/>
        </w:rPr>
        <w:t xml:space="preserve">בריש יומא (ג' ע"ב) פליגי בזה אמוראי, חד יליף מסיני, וחד יליף ממלואים, ופריך מהיכא קא ילפת לה ממלואים, אי מה מלואים כל הכתוב בהן מעכב אף הכא נמי כל הכתוב מעכב בהן, והא תני מתקינין, ולא תני מפרישין, ולא משני מידי, ועיין בירושלמי ע"ז. והנראה דהא דגמרינן פרישה ביוהכ"פ לכה"ג ממלואים, לפי שנכנס תחלה לפני ולפנים, כמו שאמר </w:t>
      </w:r>
      <w:r>
        <w:rPr>
          <w:rFonts w:ascii="FrankRuehl" w:hAnsi="FrankRuehl" w:cs="FrankRuehl"/>
          <w:sz w:val="24"/>
          <w:szCs w:val="24"/>
          <w:rtl/>
        </w:rPr>
        <w:t>(שם) דנין תחלה במקום מתחילה כו</w:t>
      </w:r>
      <w:r>
        <w:rPr>
          <w:rFonts w:ascii="FrankRuehl" w:hAnsi="FrankRuehl" w:cs="FrankRuehl" w:hint="cs"/>
          <w:sz w:val="24"/>
          <w:szCs w:val="24"/>
          <w:rtl/>
        </w:rPr>
        <w:t xml:space="preserve">'. </w:t>
      </w:r>
      <w:r w:rsidRPr="00D63D48">
        <w:rPr>
          <w:rFonts w:ascii="FrankRuehl" w:hAnsi="FrankRuehl" w:cs="FrankRuehl"/>
          <w:sz w:val="24"/>
          <w:szCs w:val="24"/>
          <w:rtl/>
        </w:rPr>
        <w:t xml:space="preserve">והנה פרישה לכהן הגדול הוי דומיא דקידוש ידים ורגלים, וקידוש ידים ורגלים קיימא לן דאם לא קידש ידיו ורגליו שחרית לצורך עבודה חלל עבודתו, וכהאי גוונא אף דצריך לקדש ידיו ורגליו בין עבודת בגדי זהב לעבודת בגדי לבן אף על פי כן אם לא קידש לא נתחללה עבודתו. וטעמא יליף בפ"ב דזבחים (י"ט ע"ב) מקראי, כן גבי פרישה, אף שבמלואים היו מעכבים, הוא משום שבפרישה דמלואים נתקדשו להיות ראוים לכהונה, ובלא זה לא היו ראוים לעבודה כלל, ולכן אם לא הופרשו אז היה עבודתם מחוללת, ולא נתקדשו בקדושת כהונה, דוגמא דאם לא קדשו ידיהם ורגליהם שחרית, שבלא הקידוש אינם ראוים </w:t>
      </w:r>
      <w:r w:rsidRPr="006F6608">
        <w:rPr>
          <w:noProof/>
          <w:rtl/>
        </w:rPr>
        <w:lastRenderedPageBreak/>
        <mc:AlternateContent>
          <mc:Choice Requires="wps">
            <w:drawing>
              <wp:anchor distT="0" distB="0" distL="114300" distR="114300" simplePos="0" relativeHeight="251660288" behindDoc="1" locked="0" layoutInCell="1" allowOverlap="1" wp14:anchorId="0F135E72" wp14:editId="751AF40F">
                <wp:simplePos x="0" y="0"/>
                <wp:positionH relativeFrom="column">
                  <wp:posOffset>-236220</wp:posOffset>
                </wp:positionH>
                <wp:positionV relativeFrom="paragraph">
                  <wp:posOffset>-198120</wp:posOffset>
                </wp:positionV>
                <wp:extent cx="5765800" cy="1790700"/>
                <wp:effectExtent l="0" t="0" r="25400" b="19050"/>
                <wp:wrapNone/>
                <wp:docPr id="2" name="מלבן 2"/>
                <wp:cNvGraphicFramePr/>
                <a:graphic xmlns:a="http://schemas.openxmlformats.org/drawingml/2006/main">
                  <a:graphicData uri="http://schemas.microsoft.com/office/word/2010/wordprocessingShape">
                    <wps:wsp>
                      <wps:cNvSpPr/>
                      <wps:spPr>
                        <a:xfrm>
                          <a:off x="0" y="0"/>
                          <a:ext cx="5765800" cy="17907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C651" id="מלבן 2" o:spid="_x0000_s1026" style="position:absolute;left:0;text-align:left;margin-left:-18.6pt;margin-top:-15.6pt;width:454pt;height: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" fillcolor="window" strokecolor="#4472c4" strokeweight="1.5pt"/>
            </w:pict>
          </mc:Fallback>
        </mc:AlternateContent>
      </w:r>
      <w:r w:rsidRPr="00D63D48">
        <w:rPr>
          <w:rFonts w:ascii="FrankRuehl" w:hAnsi="FrankRuehl" w:cs="FrankRuehl"/>
          <w:sz w:val="24"/>
          <w:szCs w:val="24"/>
          <w:rtl/>
        </w:rPr>
        <w:t>אף לעבודת כהן הדיוט, שחללו עבודתם. אבל פרישה דכהן גדול ביום הכיפורים, דבלא פרישה ראוים לעבודות של בגדי זהב, והראוים בכהן הדיוט, רק להיות ראוי לעבודות הצריך להם כהן גדול בעי פרישה, אם כן כמו דלא מעכבי ואינן מחללין עבודתם אם לא קדשו בין עבודת בגדי לבן לבגדי זהב ולבגדי זהב לבגד לבן, כן פרישה של מי שראוי לכהונה ולכל העבודות בלא הפרישה, רק על ידי הפרישה הוא נעשה ראוי לעבודת יום הכיפורים, אותה פרישה אינ</w:t>
      </w:r>
      <w:r>
        <w:rPr>
          <w:rFonts w:ascii="FrankRuehl" w:hAnsi="FrankRuehl" w:cs="FrankRuehl"/>
          <w:sz w:val="24"/>
          <w:szCs w:val="24"/>
          <w:rtl/>
        </w:rPr>
        <w:t>ה מעכבת, ועבודתו כשירה בלא חלול</w:t>
      </w:r>
      <w:r>
        <w:rPr>
          <w:rFonts w:ascii="FrankRuehl" w:hAnsi="FrankRuehl" w:cs="FrankRuehl" w:hint="cs"/>
          <w:sz w:val="24"/>
          <w:szCs w:val="24"/>
          <w:rtl/>
        </w:rPr>
        <w:t>,</w:t>
      </w:r>
      <w:r w:rsidRPr="00D63D48">
        <w:rPr>
          <w:rFonts w:ascii="FrankRuehl" w:hAnsi="FrankRuehl" w:cs="FrankRuehl"/>
          <w:sz w:val="24"/>
          <w:szCs w:val="24"/>
          <w:rtl/>
        </w:rPr>
        <w:t xml:space="preserve"> וכמו דיליף על קדוש ידים ורגלים מקראי דוהיתה להם חק עולם ולזרעו לדורותם כו', דבר המעכב בזרעו, ופרישה</w:t>
      </w:r>
      <w:r>
        <w:rPr>
          <w:rFonts w:ascii="FrankRuehl" w:hAnsi="FrankRuehl" w:cs="FrankRuehl"/>
          <w:sz w:val="24"/>
          <w:szCs w:val="24"/>
          <w:rtl/>
        </w:rPr>
        <w:t xml:space="preserve"> אינה בזרעו אינה מעכבת בו. ולפ</w:t>
      </w:r>
      <w:r>
        <w:rPr>
          <w:rFonts w:ascii="FrankRuehl" w:hAnsi="FrankRuehl" w:cs="FrankRuehl" w:hint="cs"/>
          <w:sz w:val="24"/>
          <w:szCs w:val="24"/>
          <w:rtl/>
        </w:rPr>
        <w:t>י זה</w:t>
      </w:r>
      <w:r w:rsidRPr="00D63D48">
        <w:rPr>
          <w:rFonts w:ascii="FrankRuehl" w:hAnsi="FrankRuehl" w:cs="FrankRuehl"/>
          <w:sz w:val="24"/>
          <w:szCs w:val="24"/>
          <w:rtl/>
        </w:rPr>
        <w:t xml:space="preserve"> טבילה ראשונה במלואים מעכב בהן, ולדורות אינו מחלל עבודה, יעו"ש (יומא דף ל' ע"ב), רק לא אמר להלן טבילה איכא בינייהו, משום דלשאר</w:t>
      </w:r>
      <w:r>
        <w:rPr>
          <w:rFonts w:ascii="FrankRuehl" w:hAnsi="FrankRuehl" w:cs="FrankRuehl"/>
          <w:sz w:val="24"/>
          <w:szCs w:val="24"/>
          <w:rtl/>
        </w:rPr>
        <w:t xml:space="preserve"> תנאי אינו בעשה כלל לדורות</w:t>
      </w:r>
      <w:r>
        <w:rPr>
          <w:rFonts w:ascii="FrankRuehl" w:hAnsi="FrankRuehl" w:cs="FrankRuehl" w:hint="cs"/>
          <w:sz w:val="24"/>
          <w:szCs w:val="24"/>
          <w:rtl/>
        </w:rPr>
        <w:t>,</w:t>
      </w:r>
      <w:r>
        <w:rPr>
          <w:rFonts w:ascii="FrankRuehl" w:hAnsi="FrankRuehl" w:cs="FrankRuehl"/>
          <w:sz w:val="24"/>
          <w:szCs w:val="24"/>
          <w:rtl/>
        </w:rPr>
        <w:t xml:space="preserve"> ודוק</w:t>
      </w:r>
      <w:r>
        <w:rPr>
          <w:rFonts w:ascii="FrankRuehl" w:hAnsi="FrankRuehl" w:cs="FrankRuehl" w:hint="cs"/>
          <w:sz w:val="24"/>
          <w:szCs w:val="24"/>
          <w:rtl/>
        </w:rPr>
        <w:t>.</w:t>
      </w:r>
    </w:p>
    <w:p w:rsidR="008F0ED9" w:rsidRDefault="008F0ED9" w:rsidP="008F0ED9">
      <w:pPr>
        <w:spacing w:line="276" w:lineRule="auto"/>
        <w:rPr>
          <w:rFonts w:ascii="FrankRuehl" w:hAnsi="FrankRuehl" w:cs="FrankRuehl"/>
          <w:sz w:val="24"/>
          <w:szCs w:val="24"/>
          <w:rtl/>
        </w:rPr>
      </w:pPr>
    </w:p>
    <w:p w:rsidR="008F0ED9" w:rsidRPr="00D63D48" w:rsidRDefault="008F0ED9" w:rsidP="008F0ED9">
      <w:pPr>
        <w:spacing w:line="276" w:lineRule="auto"/>
        <w:rPr>
          <w:rFonts w:ascii="FrankRuehl" w:hAnsi="FrankRuehl" w:cs="FrankRuehl"/>
          <w:sz w:val="24"/>
          <w:szCs w:val="24"/>
        </w:rPr>
      </w:pPr>
    </w:p>
    <w:p w:rsidR="008F0ED9" w:rsidRPr="006F6608" w:rsidRDefault="008F0ED9" w:rsidP="008F0ED9">
      <w:pPr>
        <w:spacing w:before="200" w:line="276" w:lineRule="exact"/>
        <w:ind w:firstLine="227"/>
        <w:rPr>
          <w:sz w:val="24"/>
          <w:szCs w:val="24"/>
          <w:rtl/>
        </w:rPr>
      </w:pPr>
      <w:r w:rsidRPr="006F6608">
        <w:rPr>
          <w:rFonts w:hint="cs"/>
          <w:sz w:val="24"/>
          <w:szCs w:val="24"/>
          <w:rtl/>
        </w:rPr>
        <w:t>במשנה הפותחת את המסכת נאמר:</w:t>
      </w:r>
    </w:p>
    <w:p w:rsidR="008F0ED9" w:rsidRPr="006F6608" w:rsidRDefault="008F0ED9" w:rsidP="008F0ED9">
      <w:pPr>
        <w:spacing w:before="200" w:line="276" w:lineRule="exact"/>
        <w:ind w:firstLine="720"/>
        <w:rPr>
          <w:sz w:val="20"/>
          <w:szCs w:val="20"/>
          <w:rtl/>
        </w:rPr>
      </w:pPr>
      <w:r w:rsidRPr="006F6608">
        <w:rPr>
          <w:sz w:val="24"/>
          <w:szCs w:val="24"/>
          <w:rtl/>
        </w:rPr>
        <w:t>שבעת ימים קודם יום הכ</w:t>
      </w:r>
      <w:r w:rsidRPr="006F6608">
        <w:rPr>
          <w:rFonts w:hint="cs"/>
          <w:sz w:val="24"/>
          <w:szCs w:val="24"/>
          <w:rtl/>
        </w:rPr>
        <w:t>י</w:t>
      </w:r>
      <w:r w:rsidRPr="006F6608">
        <w:rPr>
          <w:sz w:val="24"/>
          <w:szCs w:val="24"/>
          <w:rtl/>
        </w:rPr>
        <w:t>פורים מפרישין כהן גדול מביתו ללשכת פרהדרין</w:t>
      </w:r>
      <w:r w:rsidRPr="006F6608">
        <w:rPr>
          <w:rFonts w:hint="cs"/>
          <w:sz w:val="24"/>
          <w:szCs w:val="24"/>
          <w:rtl/>
        </w:rPr>
        <w:t>.</w:t>
      </w:r>
      <w:r w:rsidRPr="006F6608">
        <w:rPr>
          <w:sz w:val="24"/>
          <w:szCs w:val="24"/>
          <w:rtl/>
        </w:rPr>
        <w:tab/>
      </w:r>
      <w:r w:rsidRPr="006F6608">
        <w:rPr>
          <w:rFonts w:hint="cs"/>
          <w:sz w:val="24"/>
          <w:szCs w:val="24"/>
          <w:rtl/>
        </w:rPr>
        <w:t xml:space="preserve">       </w:t>
      </w:r>
      <w:r w:rsidRPr="006F6608">
        <w:rPr>
          <w:rFonts w:hint="cs"/>
          <w:sz w:val="20"/>
          <w:szCs w:val="20"/>
          <w:rtl/>
        </w:rPr>
        <w:t>[יומא ב.]</w:t>
      </w:r>
    </w:p>
    <w:p w:rsidR="008F0ED9" w:rsidRPr="006F6608" w:rsidRDefault="008F0ED9" w:rsidP="008F0ED9">
      <w:pPr>
        <w:spacing w:before="200" w:line="276" w:lineRule="exact"/>
        <w:ind w:firstLine="227"/>
        <w:rPr>
          <w:sz w:val="24"/>
          <w:szCs w:val="24"/>
          <w:rtl/>
        </w:rPr>
      </w:pPr>
      <w:r w:rsidRPr="006F6608">
        <w:rPr>
          <w:rFonts w:hint="cs"/>
          <w:sz w:val="24"/>
          <w:szCs w:val="24"/>
          <w:rtl/>
        </w:rPr>
        <w:t>המשנה מלמדת כי על הכהן הגדול לפרוש מביתו למקדש שבעת ימים קודם יום הכיפורים. המשנה במסכת פרה מלמדת על דין דומה לגבי הכהן השורף את הפרה:</w:t>
      </w:r>
    </w:p>
    <w:p w:rsidR="008F0ED9" w:rsidRPr="006F6608" w:rsidRDefault="008F0ED9" w:rsidP="008F0ED9">
      <w:pPr>
        <w:spacing w:before="200" w:line="276" w:lineRule="exact"/>
        <w:ind w:left="720"/>
        <w:rPr>
          <w:sz w:val="20"/>
          <w:szCs w:val="20"/>
          <w:rtl/>
        </w:rPr>
      </w:pPr>
      <w:r w:rsidRPr="006F6608">
        <w:rPr>
          <w:sz w:val="24"/>
          <w:szCs w:val="24"/>
          <w:rtl/>
        </w:rPr>
        <w:t>שבעת ימים קודם לשרפת הפרה מפרישין כהן השורף את הפרה מביתו ללשכה שעל פני הבירה צפונה מזרחה</w:t>
      </w:r>
      <w:r w:rsidRPr="006F6608">
        <w:rPr>
          <w:rFonts w:hint="cs"/>
          <w:sz w:val="24"/>
          <w:szCs w:val="24"/>
          <w:rtl/>
        </w:rPr>
        <w:t>,</w:t>
      </w:r>
      <w:r w:rsidRPr="006F6608">
        <w:rPr>
          <w:sz w:val="24"/>
          <w:szCs w:val="24"/>
          <w:rtl/>
        </w:rPr>
        <w:t xml:space="preserve"> ובית אבן היתה נקראת</w:t>
      </w:r>
      <w:r w:rsidRPr="006F6608">
        <w:rPr>
          <w:rFonts w:hint="cs"/>
          <w:sz w:val="24"/>
          <w:szCs w:val="24"/>
          <w:rtl/>
        </w:rPr>
        <w:t>,</w:t>
      </w:r>
      <w:r w:rsidRPr="006F6608">
        <w:rPr>
          <w:sz w:val="24"/>
          <w:szCs w:val="24"/>
          <w:rtl/>
        </w:rPr>
        <w:t xml:space="preserve"> ומזין עליו כל ז' הימים מכל חטאות שהיו שם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[פרה פ"ג מ"א]</w:t>
      </w:r>
    </w:p>
    <w:p w:rsidR="008F0ED9" w:rsidRPr="006F6608" w:rsidRDefault="008F0ED9" w:rsidP="008F0ED9">
      <w:pPr>
        <w:spacing w:before="200" w:line="276" w:lineRule="exact"/>
        <w:ind w:firstLine="227"/>
        <w:rPr>
          <w:sz w:val="24"/>
          <w:szCs w:val="24"/>
          <w:rtl/>
        </w:rPr>
      </w:pPr>
      <w:r w:rsidRPr="006F6608">
        <w:rPr>
          <w:rFonts w:hint="cs"/>
          <w:sz w:val="24"/>
          <w:szCs w:val="24"/>
          <w:rtl/>
        </w:rPr>
        <w:t>דינים אלו אינם מפורשים בכתובים, והגמרא דנה בהרחבה בתוקפם ובמקורם.</w:t>
      </w:r>
    </w:p>
    <w:p w:rsidR="008F0ED9" w:rsidRPr="006F6608" w:rsidRDefault="008F0ED9" w:rsidP="008F0ED9">
      <w:pPr>
        <w:spacing w:before="200" w:line="276" w:lineRule="exact"/>
        <w:ind w:firstLine="227"/>
        <w:rPr>
          <w:sz w:val="24"/>
          <w:szCs w:val="24"/>
          <w:rtl/>
        </w:rPr>
      </w:pPr>
      <w:r w:rsidRPr="006F6608">
        <w:rPr>
          <w:rFonts w:hint="cs"/>
          <w:sz w:val="24"/>
          <w:szCs w:val="24"/>
          <w:rtl/>
        </w:rPr>
        <w:t>הגמרא מביאה את דרשתו של רבי יוחנן:</w:t>
      </w:r>
    </w:p>
    <w:p w:rsidR="008F0ED9" w:rsidRPr="006F6608" w:rsidRDefault="008F0ED9" w:rsidP="008F0ED9">
      <w:pPr>
        <w:spacing w:before="200" w:line="276" w:lineRule="exact"/>
        <w:ind w:left="720"/>
        <w:rPr>
          <w:sz w:val="24"/>
          <w:szCs w:val="24"/>
          <w:rtl/>
        </w:rPr>
      </w:pPr>
      <w:r w:rsidRPr="006F6608">
        <w:rPr>
          <w:sz w:val="24"/>
          <w:szCs w:val="24"/>
          <w:rtl/>
        </w:rPr>
        <w:t>מנא הני מילי</w:t>
      </w:r>
      <w:r w:rsidRPr="006F6608">
        <w:rPr>
          <w:rFonts w:hint="cs"/>
          <w:sz w:val="24"/>
          <w:szCs w:val="24"/>
          <w:rtl/>
        </w:rPr>
        <w:t>?</w:t>
      </w:r>
      <w:r w:rsidRPr="006F6608">
        <w:rPr>
          <w:sz w:val="24"/>
          <w:szCs w:val="24"/>
          <w:rtl/>
        </w:rPr>
        <w:t xml:space="preserve"> אמר רב מניומי בר חלקיה אמר רבי מחסיא בר אידי אמר רבי יוחנן</w:t>
      </w:r>
      <w:r w:rsidRPr="006F6608">
        <w:rPr>
          <w:rFonts w:hint="cs"/>
          <w:sz w:val="24"/>
          <w:szCs w:val="24"/>
          <w:rtl/>
        </w:rPr>
        <w:t>:</w:t>
      </w:r>
      <w:r w:rsidRPr="006F6608">
        <w:rPr>
          <w:sz w:val="24"/>
          <w:szCs w:val="24"/>
          <w:rtl/>
        </w:rPr>
        <w:t xml:space="preserve"> אמר קרא </w:t>
      </w:r>
      <w:r w:rsidRPr="006F6608">
        <w:rPr>
          <w:rFonts w:hint="cs"/>
          <w:sz w:val="24"/>
          <w:szCs w:val="24"/>
          <w:rtl/>
        </w:rPr>
        <w:t>'</w:t>
      </w:r>
      <w:r w:rsidRPr="006F6608">
        <w:rPr>
          <w:sz w:val="24"/>
          <w:szCs w:val="24"/>
          <w:rtl/>
        </w:rPr>
        <w:t>כאשר עשה ביום הזה צוה ה' לעשת לכפר עליכם</w:t>
      </w:r>
      <w:r w:rsidRPr="006F6608">
        <w:rPr>
          <w:rFonts w:hint="cs"/>
          <w:sz w:val="24"/>
          <w:szCs w:val="24"/>
          <w:rtl/>
        </w:rPr>
        <w:t xml:space="preserve">' </w:t>
      </w:r>
      <w:r w:rsidRPr="006F6608">
        <w:rPr>
          <w:sz w:val="24"/>
          <w:szCs w:val="24"/>
          <w:rtl/>
        </w:rPr>
        <w:t>– לעשת אלו מעשי פרה</w:t>
      </w:r>
      <w:r w:rsidRPr="006F6608">
        <w:rPr>
          <w:rFonts w:hint="cs"/>
          <w:sz w:val="24"/>
          <w:szCs w:val="24"/>
          <w:rtl/>
        </w:rPr>
        <w:t>,</w:t>
      </w:r>
      <w:r w:rsidRPr="006F6608">
        <w:rPr>
          <w:sz w:val="24"/>
          <w:szCs w:val="24"/>
          <w:rtl/>
        </w:rPr>
        <w:t xml:space="preserve"> לכפר אלו מעשי יום הכפורים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ב.]</w:t>
      </w:r>
      <w:r w:rsidRPr="006F6608">
        <w:rPr>
          <w:rFonts w:hint="cs"/>
          <w:sz w:val="24"/>
          <w:szCs w:val="24"/>
          <w:rtl/>
        </w:rPr>
        <w:t xml:space="preserve"> </w:t>
      </w:r>
    </w:p>
    <w:p w:rsidR="008F0ED9" w:rsidRPr="006F6608" w:rsidRDefault="008F0ED9" w:rsidP="008F0ED9">
      <w:pPr>
        <w:spacing w:line="276" w:lineRule="exact"/>
        <w:ind w:firstLine="227"/>
        <w:rPr>
          <w:sz w:val="24"/>
          <w:szCs w:val="24"/>
          <w:rtl/>
        </w:rPr>
      </w:pPr>
      <w:r w:rsidRPr="006F6608">
        <w:rPr>
          <w:rFonts w:hint="cs"/>
          <w:sz w:val="24"/>
          <w:szCs w:val="24"/>
          <w:rtl/>
        </w:rPr>
        <w:t>על פי שיטה זו, מקור חובת הפרישה לפני עבודת יום הכיפורים ולפני שריפת הפרה הוא בחובת פרישת הכהנים בשבעת ימי המילואים לפני "היום השמיני", יום חנוכת המשכן:</w:t>
      </w:r>
    </w:p>
    <w:p w:rsidR="008F0ED9" w:rsidRPr="006F6608" w:rsidRDefault="008F0ED9" w:rsidP="008F0ED9">
      <w:pPr>
        <w:spacing w:line="276" w:lineRule="exact"/>
        <w:ind w:left="720"/>
        <w:rPr>
          <w:sz w:val="20"/>
          <w:szCs w:val="20"/>
          <w:rtl/>
        </w:rPr>
      </w:pPr>
      <w:r w:rsidRPr="006F6608">
        <w:rPr>
          <w:sz w:val="24"/>
          <w:szCs w:val="24"/>
          <w:rtl/>
        </w:rPr>
        <w:t>ומפתח אהל מועד לא תצאו שבעת ימים עד יום מלאת ימי מלאיכם</w:t>
      </w:r>
      <w:r w:rsidRPr="006F6608">
        <w:rPr>
          <w:rFonts w:hint="cs"/>
          <w:sz w:val="24"/>
          <w:szCs w:val="24"/>
          <w:rtl/>
        </w:rPr>
        <w:t>,</w:t>
      </w:r>
      <w:r w:rsidRPr="006F6608">
        <w:rPr>
          <w:sz w:val="24"/>
          <w:szCs w:val="24"/>
          <w:rtl/>
        </w:rPr>
        <w:t xml:space="preserve"> כי שבעת ימים ימלא את ידכם</w:t>
      </w:r>
      <w:r w:rsidRPr="006F6608">
        <w:rPr>
          <w:rFonts w:hint="cs"/>
          <w:sz w:val="24"/>
          <w:szCs w:val="24"/>
          <w:rtl/>
        </w:rPr>
        <w:t xml:space="preserve">. </w:t>
      </w:r>
      <w:r w:rsidRPr="006F6608">
        <w:rPr>
          <w:sz w:val="24"/>
          <w:szCs w:val="24"/>
          <w:rtl/>
        </w:rPr>
        <w:t>כאשר עשה ביום הזה</w:t>
      </w:r>
      <w:r w:rsidRPr="006F6608">
        <w:rPr>
          <w:rFonts w:hint="cs"/>
          <w:sz w:val="24"/>
          <w:szCs w:val="24"/>
          <w:rtl/>
        </w:rPr>
        <w:t>,</w:t>
      </w:r>
      <w:r w:rsidRPr="006F6608">
        <w:rPr>
          <w:sz w:val="24"/>
          <w:szCs w:val="24"/>
          <w:rtl/>
        </w:rPr>
        <w:t xml:space="preserve"> צוה ה' לעשת לכפר עליכם</w:t>
      </w:r>
      <w:r w:rsidRPr="006F6608">
        <w:rPr>
          <w:rFonts w:hint="cs"/>
          <w:sz w:val="24"/>
          <w:szCs w:val="24"/>
          <w:rtl/>
        </w:rPr>
        <w:t>.</w:t>
      </w:r>
      <w:r w:rsidRPr="006F6608">
        <w:rPr>
          <w:sz w:val="24"/>
          <w:szCs w:val="24"/>
          <w:rtl/>
        </w:rPr>
        <w:t xml:space="preserve"> ופתח אהל מועד תשבו יומם ולילה שבעת ימים ושמרתם את משמרת ה' ולא תמותו</w:t>
      </w:r>
      <w:r w:rsidRPr="006F6608">
        <w:rPr>
          <w:rFonts w:hint="cs"/>
          <w:sz w:val="24"/>
          <w:szCs w:val="24"/>
          <w:rtl/>
        </w:rPr>
        <w:t>,</w:t>
      </w:r>
      <w:r w:rsidRPr="006F6608">
        <w:rPr>
          <w:sz w:val="24"/>
          <w:szCs w:val="24"/>
          <w:rtl/>
        </w:rPr>
        <w:t xml:space="preserve"> כי כן צויתי</w:t>
      </w:r>
      <w:r w:rsidRPr="006F6608">
        <w:rPr>
          <w:rFonts w:hint="cs"/>
          <w:sz w:val="24"/>
          <w:szCs w:val="24"/>
          <w:rtl/>
        </w:rPr>
        <w:t xml:space="preserve">. </w:t>
      </w:r>
      <w:r w:rsidRPr="006F6608">
        <w:rPr>
          <w:rFonts w:hint="cs"/>
          <w:sz w:val="24"/>
          <w:szCs w:val="24"/>
          <w:rtl/>
        </w:rPr>
        <w:tab/>
        <w:t xml:space="preserve">  </w:t>
      </w:r>
      <w:r w:rsidRPr="006F6608">
        <w:rPr>
          <w:rFonts w:hint="cs"/>
          <w:sz w:val="20"/>
          <w:szCs w:val="20"/>
          <w:rtl/>
        </w:rPr>
        <w:t>[ויקרא ח, לג]</w:t>
      </w:r>
    </w:p>
    <w:p w:rsidR="008F0ED9" w:rsidRPr="006F6608" w:rsidRDefault="008F0ED9" w:rsidP="008F0ED9">
      <w:pPr>
        <w:spacing w:line="276" w:lineRule="exact"/>
        <w:ind w:firstLine="227"/>
        <w:rPr>
          <w:sz w:val="24"/>
          <w:szCs w:val="24"/>
          <w:rtl/>
        </w:rPr>
      </w:pPr>
      <w:r w:rsidRPr="006F6608">
        <w:rPr>
          <w:rFonts w:hint="cs"/>
          <w:sz w:val="24"/>
          <w:szCs w:val="24"/>
          <w:rtl/>
        </w:rPr>
        <w:t>בשבעת ימי המילואים נצטוו הכהנים שלא לצאת מן המשכן, ובדומה לכך בשבעת הימים שלפני עבודת יום הכיפורים ושלפני שריפת הפרה נצטווה הכהן לפרוש מביתו ולהימצא במקדש.</w:t>
      </w:r>
    </w:p>
    <w:p w:rsidR="008F0ED9" w:rsidRPr="006F6608" w:rsidRDefault="008F0ED9" w:rsidP="008F0ED9">
      <w:pPr>
        <w:spacing w:line="276" w:lineRule="exact"/>
        <w:ind w:firstLine="227"/>
        <w:rPr>
          <w:sz w:val="24"/>
          <w:szCs w:val="24"/>
          <w:rtl/>
        </w:rPr>
      </w:pPr>
      <w:r w:rsidRPr="006F6608">
        <w:rPr>
          <w:rFonts w:hint="cs"/>
          <w:sz w:val="24"/>
          <w:szCs w:val="24"/>
          <w:rtl/>
        </w:rPr>
        <w:t xml:space="preserve">ההשוואה בין "היום השמיני" ליום הכיפורים עולה כבר מפתיחת התורה לפרשיית 'סדר העבודה': </w:t>
      </w:r>
    </w:p>
    <w:p w:rsidR="008F0ED9" w:rsidRPr="006F6608" w:rsidRDefault="008F0ED9" w:rsidP="008F0ED9">
      <w:pPr>
        <w:spacing w:line="276" w:lineRule="exact"/>
        <w:ind w:firstLine="720"/>
        <w:rPr>
          <w:sz w:val="20"/>
          <w:szCs w:val="20"/>
          <w:rtl/>
        </w:rPr>
      </w:pPr>
      <w:r w:rsidRPr="006F6608">
        <w:rPr>
          <w:sz w:val="24"/>
          <w:szCs w:val="24"/>
          <w:rtl/>
        </w:rPr>
        <w:t>וידבר ה' אל משה אחרי מות שני בני אהרן</w:t>
      </w:r>
      <w:r w:rsidRPr="006F6608">
        <w:rPr>
          <w:rFonts w:hint="cs"/>
          <w:sz w:val="24"/>
          <w:szCs w:val="24"/>
          <w:rtl/>
        </w:rPr>
        <w:t>,</w:t>
      </w:r>
      <w:r w:rsidRPr="006F6608">
        <w:rPr>
          <w:sz w:val="24"/>
          <w:szCs w:val="24"/>
          <w:rtl/>
        </w:rPr>
        <w:t xml:space="preserve"> בקרבתם לפני ה' וימתו</w:t>
      </w:r>
      <w:r w:rsidRPr="006F6608">
        <w:rPr>
          <w:rFonts w:hint="cs"/>
          <w:sz w:val="24"/>
          <w:szCs w:val="24"/>
          <w:rtl/>
        </w:rPr>
        <w:t>.</w:t>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[ויקרא טז, א]</w:t>
      </w:r>
    </w:p>
    <w:p w:rsidR="008F0ED9" w:rsidRPr="006F6608" w:rsidRDefault="008F0ED9" w:rsidP="008F0ED9">
      <w:pPr>
        <w:spacing w:line="276" w:lineRule="exact"/>
        <w:ind w:firstLine="227"/>
        <w:rPr>
          <w:sz w:val="24"/>
          <w:szCs w:val="24"/>
          <w:rtl/>
        </w:rPr>
      </w:pPr>
      <w:r w:rsidRPr="006F6608">
        <w:rPr>
          <w:rFonts w:hint="cs"/>
          <w:sz w:val="24"/>
          <w:szCs w:val="24"/>
          <w:rtl/>
        </w:rPr>
        <w:t>מבואר שהתורה קושרת בין 'סדר העבודה' לבין מיתת בני אהרן "בקרבתם לפני ה'" בשעת חנוכת המשכן.</w:t>
      </w:r>
    </w:p>
    <w:p w:rsidR="008F0ED9" w:rsidRPr="006F6608" w:rsidRDefault="008F0ED9" w:rsidP="008F0ED9">
      <w:pPr>
        <w:spacing w:line="276" w:lineRule="exact"/>
        <w:ind w:firstLine="227"/>
        <w:rPr>
          <w:sz w:val="24"/>
          <w:szCs w:val="24"/>
          <w:rtl/>
        </w:rPr>
      </w:pPr>
      <w:r w:rsidRPr="006F6608">
        <w:rPr>
          <w:rFonts w:hint="cs"/>
          <w:sz w:val="24"/>
          <w:szCs w:val="24"/>
          <w:rtl/>
        </w:rPr>
        <w:t>בנוסף, הרב יואל בן נון מראה שקיים דמיון רב בין קרבנות יום הכיפורים לקרבנות "היום השמיני":</w:t>
      </w:r>
    </w:p>
    <w:p w:rsidR="008F0ED9" w:rsidRPr="006F6608" w:rsidRDefault="008F0ED9" w:rsidP="008F0ED9">
      <w:pPr>
        <w:spacing w:line="276" w:lineRule="exact"/>
        <w:ind w:left="720"/>
        <w:rPr>
          <w:sz w:val="24"/>
          <w:szCs w:val="24"/>
          <w:rtl/>
        </w:rPr>
      </w:pPr>
      <w:r w:rsidRPr="006F6608">
        <w:rPr>
          <w:rFonts w:hint="cs"/>
          <w:sz w:val="24"/>
          <w:szCs w:val="24"/>
          <w:rtl/>
        </w:rPr>
        <w:t xml:space="preserve">קשר זה בין היום השמיני לעבודת קודש הקודשים ניכר ובולט גם בתורה, בתוכן העבודה: בשניהם שווה קרבן אהרן </w:t>
      </w:r>
      <w:r w:rsidRPr="006F6608">
        <w:rPr>
          <w:sz w:val="24"/>
          <w:szCs w:val="24"/>
          <w:rtl/>
        </w:rPr>
        <w:t>–</w:t>
      </w:r>
      <w:r w:rsidRPr="006F6608">
        <w:rPr>
          <w:rFonts w:hint="cs"/>
          <w:sz w:val="24"/>
          <w:szCs w:val="24"/>
          <w:rtl/>
        </w:rPr>
        <w:t xml:space="preserve"> פר לחטאת ואיל לעולה (ט ב; טז, ג); בשניהם הביא העם שעיר עזים שקרב לחטאת (ט ג; טז ה); בשניהם הביא </w:t>
      </w:r>
      <w:r w:rsidRPr="006F6608">
        <w:rPr>
          <w:rFonts w:hint="cs"/>
          <w:b/>
          <w:bCs/>
          <w:sz w:val="24"/>
          <w:szCs w:val="24"/>
          <w:rtl/>
        </w:rPr>
        <w:t xml:space="preserve">העם </w:t>
      </w:r>
      <w:r w:rsidRPr="006F6608">
        <w:rPr>
          <w:rFonts w:hint="cs"/>
          <w:sz w:val="24"/>
          <w:szCs w:val="24"/>
          <w:rtl/>
        </w:rPr>
        <w:t xml:space="preserve">קרבן עולה: ביום השמיני "עגל וכבש בני שנה" (ט ג), וביום הכיפורים נשמט העגל וישנו רק איל לעולה (טז ה). רק קרבן השלמים </w:t>
      </w:r>
      <w:r w:rsidRPr="006F6608">
        <w:rPr>
          <w:rFonts w:hint="cs"/>
          <w:sz w:val="24"/>
          <w:szCs w:val="24"/>
          <w:rtl/>
        </w:rPr>
        <w:lastRenderedPageBreak/>
        <w:t xml:space="preserve">וקרבן המנחה, שהיו ביום השמיני, אינם נמצאים כלל ביום הכיפורים </w:t>
      </w:r>
      <w:r w:rsidRPr="006F6608">
        <w:rPr>
          <w:sz w:val="24"/>
          <w:szCs w:val="24"/>
          <w:rtl/>
        </w:rPr>
        <w:t>–</w:t>
      </w:r>
      <w:r w:rsidRPr="006F6608">
        <w:rPr>
          <w:rFonts w:hint="cs"/>
          <w:sz w:val="24"/>
          <w:szCs w:val="24"/>
          <w:rtl/>
        </w:rPr>
        <w:t xml:space="preserve"> מכיוון שמדובר ביום סליחה וכפרה שהוא יום עינוי נפש, ולכן אין בו קרבן נאכל.  </w:t>
      </w:r>
      <w:r w:rsidRPr="006F6608">
        <w:rPr>
          <w:rFonts w:hint="cs"/>
          <w:sz w:val="20"/>
          <w:szCs w:val="20"/>
          <w:rtl/>
        </w:rPr>
        <w:t>[תורת עציון ויקרא עמ' 221]</w:t>
      </w:r>
      <w:r w:rsidRPr="006F6608">
        <w:rPr>
          <w:rStyle w:val="a7"/>
          <w:sz w:val="24"/>
          <w:szCs w:val="24"/>
          <w:rtl/>
        </w:rPr>
        <w:footnoteReference w:id="1"/>
      </w:r>
    </w:p>
    <w:p w:rsidR="008F0ED9" w:rsidRPr="006F6608" w:rsidRDefault="008F0ED9" w:rsidP="008F0ED9">
      <w:pPr>
        <w:spacing w:line="276" w:lineRule="exact"/>
        <w:ind w:firstLine="227"/>
        <w:rPr>
          <w:sz w:val="24"/>
          <w:szCs w:val="24"/>
          <w:rtl/>
        </w:rPr>
      </w:pPr>
      <w:r w:rsidRPr="006F6608">
        <w:rPr>
          <w:rFonts w:hint="cs"/>
          <w:sz w:val="24"/>
          <w:szCs w:val="24"/>
          <w:rtl/>
        </w:rPr>
        <w:t>הדמיון בין יום הכיפורים ליום חנוכת המשכן ברור גם מסברה: יום הכיפורים הוא יום ניקוי המקדש בכל שנה</w:t>
      </w:r>
      <w:r w:rsidRPr="006F6608">
        <w:rPr>
          <w:rStyle w:val="a7"/>
          <w:sz w:val="24"/>
          <w:szCs w:val="24"/>
          <w:rtl/>
        </w:rPr>
        <w:footnoteReference w:id="2"/>
      </w:r>
      <w:r w:rsidRPr="006F6608">
        <w:rPr>
          <w:rFonts w:hint="cs"/>
          <w:sz w:val="24"/>
          <w:szCs w:val="24"/>
          <w:rtl/>
        </w:rPr>
        <w:t xml:space="preserve">, וכך הוא מהווה מעין יום חידוש וחינוך של המקדש. על פי זה, יום הכיפורים דומה במהותו ל"יום השמיני", יום חנוכת המשכן, ולכן ברור מדוע השוו חכמים ביניהם גם לגבי שבעת הימים שקדמו להם: כשם של"יום השמיני" קדמו שבעת ימי המילואים, כך בכל שנה </w:t>
      </w:r>
      <w:r w:rsidRPr="006F6608">
        <w:rPr>
          <w:sz w:val="24"/>
          <w:szCs w:val="24"/>
          <w:rtl/>
        </w:rPr>
        <w:t>–</w:t>
      </w:r>
      <w:r w:rsidRPr="006F6608">
        <w:rPr>
          <w:rFonts w:hint="cs"/>
          <w:sz w:val="24"/>
          <w:szCs w:val="24"/>
          <w:rtl/>
        </w:rPr>
        <w:t xml:space="preserve"> "שבעת ימים קודם יום הכיפורים מפרישין כהן גדול מביתו ללשכת פלהדרין".</w:t>
      </w:r>
    </w:p>
    <w:p w:rsidR="008F0ED9" w:rsidRPr="006F6608" w:rsidRDefault="008F0ED9" w:rsidP="008F0ED9">
      <w:pPr>
        <w:spacing w:line="276" w:lineRule="exact"/>
        <w:ind w:firstLine="227"/>
        <w:rPr>
          <w:sz w:val="24"/>
          <w:szCs w:val="24"/>
          <w:rtl/>
        </w:rPr>
      </w:pPr>
      <w:r w:rsidRPr="006F6608">
        <w:rPr>
          <w:rFonts w:hint="cs"/>
          <w:sz w:val="24"/>
          <w:szCs w:val="24"/>
          <w:rtl/>
        </w:rPr>
        <w:t>דברים אלו מבארים היטב את חובת פרישת כהן גדול מביתו בשבעת הימים קודם יום הכיפורים, אך על פיהם יש להבין מדוע דין זה קיים גם בכהן השורף את הפרה האדומה; במה דומה שריפת הפרה ל"יום השמיני" וליום הכיפורים?</w:t>
      </w:r>
    </w:p>
    <w:p w:rsidR="008F0ED9" w:rsidRPr="006F6608" w:rsidRDefault="008F0ED9" w:rsidP="008F0ED9">
      <w:pPr>
        <w:spacing w:line="276" w:lineRule="exact"/>
        <w:ind w:firstLine="227"/>
        <w:rPr>
          <w:sz w:val="24"/>
          <w:szCs w:val="24"/>
          <w:rtl/>
        </w:rPr>
      </w:pPr>
    </w:p>
    <w:p w:rsidR="008F0ED9" w:rsidRPr="006F6608" w:rsidRDefault="008F0ED9" w:rsidP="008F0ED9">
      <w:pPr>
        <w:spacing w:line="276" w:lineRule="exact"/>
        <w:ind w:firstLine="227"/>
        <w:rPr>
          <w:sz w:val="24"/>
          <w:szCs w:val="24"/>
          <w:rtl/>
        </w:rPr>
      </w:pPr>
      <w:r w:rsidRPr="006F6608">
        <w:rPr>
          <w:rFonts w:hint="cs"/>
          <w:sz w:val="24"/>
          <w:szCs w:val="24"/>
          <w:rtl/>
        </w:rPr>
        <w:t>תמיהה זו אמורה ביחס להשוואה דלעיל בין הפרשת הכהן הגדול לפני יום הכיפורים להפרשת הכהן השורף את הפרה, אמנם בהמשך סוגיית הגמרא מבואר שדברים אלו שנויים במחלוקת אמוראים:</w:t>
      </w:r>
    </w:p>
    <w:p w:rsidR="008F0ED9" w:rsidRPr="006F6608" w:rsidRDefault="008F0ED9" w:rsidP="008F0ED9">
      <w:pPr>
        <w:spacing w:line="276" w:lineRule="exact"/>
        <w:ind w:left="720"/>
        <w:rPr>
          <w:sz w:val="24"/>
          <w:szCs w:val="24"/>
          <w:rtl/>
        </w:rPr>
      </w:pPr>
      <w:r w:rsidRPr="006F6608">
        <w:rPr>
          <w:sz w:val="24"/>
          <w:szCs w:val="24"/>
          <w:rtl/>
        </w:rPr>
        <w:t>כי אתא רב דימי אמר</w:t>
      </w:r>
      <w:r w:rsidRPr="006F6608">
        <w:rPr>
          <w:rFonts w:hint="cs"/>
          <w:sz w:val="24"/>
          <w:szCs w:val="24"/>
          <w:rtl/>
        </w:rPr>
        <w:t>:</w:t>
      </w:r>
      <w:r w:rsidRPr="006F6608">
        <w:rPr>
          <w:sz w:val="24"/>
          <w:szCs w:val="24"/>
          <w:rtl/>
        </w:rPr>
        <w:t xml:space="preserve"> רבי יוחנן מתני חדא</w:t>
      </w:r>
      <w:r w:rsidRPr="006F6608">
        <w:rPr>
          <w:rFonts w:hint="cs"/>
          <w:sz w:val="24"/>
          <w:szCs w:val="24"/>
          <w:rtl/>
        </w:rPr>
        <w:t>,</w:t>
      </w:r>
      <w:r w:rsidRPr="006F6608">
        <w:rPr>
          <w:sz w:val="24"/>
          <w:szCs w:val="24"/>
          <w:rtl/>
        </w:rPr>
        <w:t xml:space="preserve"> רבי יהושע בן לוי מתני תרתי</w:t>
      </w:r>
      <w:r w:rsidRPr="006F6608">
        <w:rPr>
          <w:rFonts w:hint="cs"/>
          <w:sz w:val="24"/>
          <w:szCs w:val="24"/>
          <w:rtl/>
        </w:rPr>
        <w:t>.</w:t>
      </w:r>
      <w:r w:rsidRPr="006F6608">
        <w:rPr>
          <w:sz w:val="24"/>
          <w:szCs w:val="24"/>
          <w:rtl/>
        </w:rPr>
        <w:t xml:space="preserve"> רבי יוחנן מתני חדא</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לעשת לכפר</w:t>
      </w:r>
      <w:r w:rsidRPr="006F6608">
        <w:rPr>
          <w:rFonts w:hint="cs"/>
          <w:sz w:val="24"/>
          <w:szCs w:val="24"/>
          <w:rtl/>
        </w:rPr>
        <w:t xml:space="preserve">' </w:t>
      </w:r>
      <w:r w:rsidRPr="006F6608">
        <w:rPr>
          <w:sz w:val="24"/>
          <w:szCs w:val="24"/>
          <w:rtl/>
        </w:rPr>
        <w:t>– אלו מעשה יום הכפורים</w:t>
      </w:r>
      <w:r w:rsidRPr="006F6608">
        <w:rPr>
          <w:rFonts w:hint="cs"/>
          <w:sz w:val="24"/>
          <w:szCs w:val="24"/>
          <w:rtl/>
        </w:rPr>
        <w:t>.</w:t>
      </w:r>
      <w:r w:rsidRPr="006F6608">
        <w:rPr>
          <w:sz w:val="24"/>
          <w:szCs w:val="24"/>
          <w:rtl/>
        </w:rPr>
        <w:t xml:space="preserve"> ורבי יהושע בן לוי מתני תרתי</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לעשת –</w:t>
      </w:r>
      <w:r w:rsidRPr="006F6608">
        <w:rPr>
          <w:rFonts w:hint="cs"/>
          <w:sz w:val="24"/>
          <w:szCs w:val="24"/>
          <w:rtl/>
        </w:rPr>
        <w:t xml:space="preserve"> </w:t>
      </w:r>
      <w:r w:rsidRPr="006F6608">
        <w:rPr>
          <w:sz w:val="24"/>
          <w:szCs w:val="24"/>
          <w:rtl/>
        </w:rPr>
        <w:t>אלו מעשה פרה</w:t>
      </w:r>
      <w:r w:rsidRPr="006F6608">
        <w:rPr>
          <w:rFonts w:hint="cs"/>
          <w:sz w:val="24"/>
          <w:szCs w:val="24"/>
          <w:rtl/>
        </w:rPr>
        <w:t>,</w:t>
      </w:r>
      <w:r w:rsidRPr="006F6608">
        <w:rPr>
          <w:sz w:val="24"/>
          <w:szCs w:val="24"/>
          <w:rtl/>
        </w:rPr>
        <w:t xml:space="preserve"> לכפר –</w:t>
      </w:r>
      <w:r w:rsidRPr="006F6608">
        <w:rPr>
          <w:rFonts w:hint="cs"/>
          <w:sz w:val="24"/>
          <w:szCs w:val="24"/>
          <w:rtl/>
        </w:rPr>
        <w:t xml:space="preserve"> </w:t>
      </w:r>
      <w:r w:rsidRPr="006F6608">
        <w:rPr>
          <w:sz w:val="24"/>
          <w:szCs w:val="24"/>
          <w:rtl/>
        </w:rPr>
        <w:t>אלו מעשה יום הכפורים</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8F0ED9" w:rsidRPr="006F6608" w:rsidRDefault="008F0ED9" w:rsidP="008F0ED9">
      <w:pPr>
        <w:spacing w:line="276" w:lineRule="exact"/>
        <w:ind w:firstLine="227"/>
        <w:rPr>
          <w:sz w:val="24"/>
          <w:szCs w:val="24"/>
          <w:rtl/>
        </w:rPr>
      </w:pPr>
      <w:r w:rsidRPr="006F6608">
        <w:rPr>
          <w:rFonts w:hint="cs"/>
          <w:sz w:val="24"/>
          <w:szCs w:val="24"/>
          <w:rtl/>
        </w:rPr>
        <w:t>הגמרא מביאה מחלוקת אמוראים האם הדרשה דלעיל מלמדת על חובת 'מעשה יום הכיפורים' בלבד, או גם על 'מעשה פרה'</w:t>
      </w:r>
      <w:r w:rsidRPr="006F6608">
        <w:rPr>
          <w:rStyle w:val="a7"/>
          <w:sz w:val="24"/>
          <w:szCs w:val="24"/>
          <w:rtl/>
        </w:rPr>
        <w:footnoteReference w:id="3"/>
      </w:r>
      <w:r w:rsidRPr="006F6608">
        <w:rPr>
          <w:rFonts w:hint="cs"/>
          <w:sz w:val="24"/>
          <w:szCs w:val="24"/>
          <w:rtl/>
        </w:rPr>
        <w:t>. הגמרא מוסיפה, כי לשיטת רבי יוחנן, רק חובת הפרשת הכהן הגדול לפני יום הכיפורים היא מדאורייתא, אך חובת הפרשת השורף את הפרה היא "מעלה בעלמא" מדרבנן.</w:t>
      </w:r>
    </w:p>
    <w:p w:rsidR="008F0ED9" w:rsidRPr="006F6608" w:rsidRDefault="008F0ED9" w:rsidP="008F0ED9">
      <w:pPr>
        <w:spacing w:line="276" w:lineRule="exact"/>
        <w:ind w:firstLine="227"/>
        <w:rPr>
          <w:sz w:val="24"/>
          <w:szCs w:val="24"/>
          <w:rtl/>
        </w:rPr>
      </w:pPr>
      <w:r w:rsidRPr="006F6608">
        <w:rPr>
          <w:rFonts w:hint="cs"/>
          <w:sz w:val="24"/>
          <w:szCs w:val="24"/>
          <w:rtl/>
        </w:rPr>
        <w:t>על פי האמור, שדרשה זו מבוססת על הקשר ההדוק בין יום הכיפורים ל"יום השמיני", חילוקו של רבי יוחנן בין 'מעשה יום הכיפורים' ל'מעשה פרה' ברור. לעומת זאת, לשיטת רבי יהושע בן לוי נראה לבאר שקיים קשר גם בין 'מעשה פרה' ל'מעשה יום הכיפורים' ולחנוכת המשכן: עבודות אלו נעשות לשם חיטוי וניקוי הטומאה</w:t>
      </w:r>
      <w:r w:rsidRPr="006F6608">
        <w:rPr>
          <w:rStyle w:val="a7"/>
          <w:sz w:val="24"/>
          <w:szCs w:val="24"/>
          <w:rtl/>
        </w:rPr>
        <w:footnoteReference w:id="4"/>
      </w:r>
      <w:r w:rsidRPr="006F6608">
        <w:rPr>
          <w:rFonts w:hint="cs"/>
          <w:sz w:val="24"/>
          <w:szCs w:val="24"/>
          <w:rtl/>
        </w:rPr>
        <w:t>. בשל כך, כשם שלעבודות חיטוי המשכן ביום חנוכתו קדמו שבעת ימי פרישה, כך לעבודות חיטוי המקדש בכל שנה ולעבודת חיטוי טומאת מת יש להקדים שבעת ימי פרישה.</w:t>
      </w:r>
    </w:p>
    <w:p w:rsidR="008F0ED9" w:rsidRPr="006F6608" w:rsidRDefault="008F0ED9" w:rsidP="008F0ED9">
      <w:pPr>
        <w:spacing w:line="276" w:lineRule="exact"/>
        <w:ind w:firstLine="227"/>
        <w:rPr>
          <w:sz w:val="24"/>
          <w:szCs w:val="24"/>
          <w:rtl/>
        </w:rPr>
      </w:pPr>
    </w:p>
    <w:p w:rsidR="008F0ED9" w:rsidRPr="006F6608" w:rsidRDefault="008F0ED9" w:rsidP="008F0ED9">
      <w:pPr>
        <w:spacing w:line="276" w:lineRule="exact"/>
        <w:ind w:firstLine="227"/>
        <w:rPr>
          <w:sz w:val="24"/>
          <w:szCs w:val="24"/>
          <w:rtl/>
        </w:rPr>
      </w:pPr>
      <w:r>
        <w:rPr>
          <w:rFonts w:hint="cs"/>
          <w:sz w:val="24"/>
          <w:szCs w:val="24"/>
          <w:rtl/>
        </w:rPr>
        <w:t xml:space="preserve">בפשטות, על פי דברים אלו </w:t>
      </w:r>
      <w:r w:rsidRPr="006F6608">
        <w:rPr>
          <w:rFonts w:hint="cs"/>
          <w:sz w:val="24"/>
          <w:szCs w:val="24"/>
          <w:rtl/>
        </w:rPr>
        <w:t>חובת הפרשת הכהן הגדול ביום הכיפורים היא חלק מחינוכו לעבודות הכפרה: כדי לבצע את עבודות הכפרה יש צורך שיקדמו להן 'שבעת ימי מילואים', שיקנו לכהן את המעמד והקדושה הנדרשים לשם ביצוע עבודות הכפרה.</w:t>
      </w:r>
    </w:p>
    <w:p w:rsidR="008F0ED9" w:rsidRPr="006F6608" w:rsidRDefault="008F0ED9" w:rsidP="008F0ED9">
      <w:pPr>
        <w:spacing w:line="276" w:lineRule="exact"/>
        <w:ind w:firstLine="227"/>
        <w:rPr>
          <w:sz w:val="24"/>
          <w:szCs w:val="24"/>
          <w:rtl/>
        </w:rPr>
      </w:pPr>
      <w:r w:rsidRPr="006F6608">
        <w:rPr>
          <w:rFonts w:hint="cs"/>
          <w:sz w:val="24"/>
          <w:szCs w:val="24"/>
          <w:rtl/>
        </w:rPr>
        <w:t>על פי הבנה זו מסתבר לכאורה שהפרשת הכהן תהיה לעיכובא, שכן בלעדיה הכהן חסר את המעמד והקדושה הנדרשים לשם ביצוע עבודות הכפרה. ואכן, ריש לקיש מד</w:t>
      </w:r>
      <w:r>
        <w:rPr>
          <w:rFonts w:hint="cs"/>
          <w:sz w:val="24"/>
          <w:szCs w:val="24"/>
          <w:rtl/>
        </w:rPr>
        <w:t xml:space="preserve">ייק מדברי המשנה: "ומתקינין כהן </w:t>
      </w:r>
      <w:r w:rsidRPr="006F6608">
        <w:rPr>
          <w:rFonts w:hint="cs"/>
          <w:sz w:val="24"/>
          <w:szCs w:val="24"/>
          <w:rtl/>
        </w:rPr>
        <w:t>אחר תחתיו", שההפרשה אינה מעכבת, ועל פי זה מקשה על השיטה הרואה את שבעת ימי המילואים כמקור חובת הפרשת הכהן:</w:t>
      </w:r>
    </w:p>
    <w:p w:rsidR="008F0ED9" w:rsidRPr="006F6608" w:rsidRDefault="008F0ED9" w:rsidP="008F0ED9">
      <w:pPr>
        <w:spacing w:line="276" w:lineRule="exact"/>
        <w:ind w:left="720"/>
        <w:rPr>
          <w:sz w:val="20"/>
          <w:szCs w:val="20"/>
          <w:rtl/>
        </w:rPr>
      </w:pPr>
      <w:r w:rsidRPr="006F6608">
        <w:rPr>
          <w:sz w:val="24"/>
          <w:szCs w:val="24"/>
          <w:rtl/>
        </w:rPr>
        <w:lastRenderedPageBreak/>
        <w:t>אמר ליה ריש לקיש לרבי יוחנן</w:t>
      </w:r>
      <w:r w:rsidRPr="006F6608">
        <w:rPr>
          <w:rFonts w:hint="cs"/>
          <w:sz w:val="24"/>
          <w:szCs w:val="24"/>
          <w:rtl/>
        </w:rPr>
        <w:t>:</w:t>
      </w:r>
      <w:r w:rsidRPr="006F6608">
        <w:rPr>
          <w:sz w:val="24"/>
          <w:szCs w:val="24"/>
          <w:rtl/>
        </w:rPr>
        <w:t xml:space="preserve"> מהיכא קא ילפת לה</w:t>
      </w:r>
      <w:r w:rsidRPr="006F6608">
        <w:rPr>
          <w:rFonts w:hint="cs"/>
          <w:sz w:val="24"/>
          <w:szCs w:val="24"/>
          <w:rtl/>
        </w:rPr>
        <w:t>,</w:t>
      </w:r>
      <w:r w:rsidRPr="006F6608">
        <w:rPr>
          <w:sz w:val="24"/>
          <w:szCs w:val="24"/>
          <w:rtl/>
        </w:rPr>
        <w:t xml:space="preserve"> ממלואים</w:t>
      </w:r>
      <w:r w:rsidRPr="006F6608">
        <w:rPr>
          <w:rFonts w:hint="cs"/>
          <w:sz w:val="24"/>
          <w:szCs w:val="24"/>
          <w:rtl/>
        </w:rPr>
        <w:t>,</w:t>
      </w:r>
      <w:r w:rsidRPr="006F6608">
        <w:rPr>
          <w:sz w:val="24"/>
          <w:szCs w:val="24"/>
          <w:rtl/>
        </w:rPr>
        <w:t xml:space="preserve"> אי מה מלואים כל הכתוב בהן מעכב בהן</w:t>
      </w:r>
      <w:r w:rsidRPr="006F6608">
        <w:rPr>
          <w:rFonts w:hint="cs"/>
          <w:sz w:val="24"/>
          <w:szCs w:val="24"/>
          <w:rtl/>
        </w:rPr>
        <w:t>,</w:t>
      </w:r>
      <w:r w:rsidRPr="006F6608">
        <w:rPr>
          <w:sz w:val="24"/>
          <w:szCs w:val="24"/>
          <w:rtl/>
        </w:rPr>
        <w:t xml:space="preserve"> אף הכא נמי כל הכתוב בהן מעכב בהן</w:t>
      </w:r>
      <w:r w:rsidRPr="006F6608">
        <w:rPr>
          <w:rFonts w:hint="cs"/>
          <w:sz w:val="24"/>
          <w:szCs w:val="24"/>
          <w:rtl/>
        </w:rPr>
        <w:t xml:space="preserve">. </w:t>
      </w:r>
      <w:r w:rsidRPr="006F6608">
        <w:rPr>
          <w:sz w:val="24"/>
          <w:szCs w:val="24"/>
          <w:rtl/>
        </w:rPr>
        <w:t>וכי תימא הכי נמי</w:t>
      </w:r>
      <w:r w:rsidRPr="006F6608">
        <w:rPr>
          <w:rFonts w:hint="cs"/>
          <w:sz w:val="24"/>
          <w:szCs w:val="24"/>
          <w:rtl/>
        </w:rPr>
        <w:t xml:space="preserve">, </w:t>
      </w:r>
      <w:r w:rsidRPr="006F6608">
        <w:rPr>
          <w:sz w:val="24"/>
          <w:szCs w:val="24"/>
          <w:rtl/>
        </w:rPr>
        <w:t xml:space="preserve">והתנן </w:t>
      </w:r>
      <w:r w:rsidRPr="006F6608">
        <w:rPr>
          <w:rFonts w:hint="cs"/>
          <w:sz w:val="24"/>
          <w:szCs w:val="24"/>
          <w:rtl/>
        </w:rPr>
        <w:t>'</w:t>
      </w:r>
      <w:r w:rsidRPr="006F6608">
        <w:rPr>
          <w:sz w:val="24"/>
          <w:szCs w:val="24"/>
          <w:rtl/>
        </w:rPr>
        <w:t>ומתקינין לו כהן אחר</w:t>
      </w:r>
      <w:r w:rsidRPr="006F6608">
        <w:rPr>
          <w:rFonts w:hint="cs"/>
          <w:sz w:val="24"/>
          <w:szCs w:val="24"/>
          <w:rtl/>
        </w:rPr>
        <w:t>'</w:t>
      </w:r>
      <w:r w:rsidRPr="006F6608">
        <w:rPr>
          <w:sz w:val="24"/>
          <w:szCs w:val="24"/>
          <w:rtl/>
        </w:rPr>
        <w:t xml:space="preserve"> ולא קתני מפרישין</w:t>
      </w:r>
      <w:r w:rsidRPr="006F6608">
        <w:rPr>
          <w:rFonts w:hint="cs"/>
          <w:sz w:val="24"/>
          <w:szCs w:val="24"/>
          <w:rtl/>
        </w:rPr>
        <w:t>.</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8F0ED9" w:rsidRPr="006F6608" w:rsidRDefault="008F0ED9" w:rsidP="008F0ED9">
      <w:pPr>
        <w:spacing w:line="276" w:lineRule="exact"/>
        <w:ind w:firstLine="227"/>
        <w:rPr>
          <w:sz w:val="24"/>
          <w:szCs w:val="24"/>
          <w:rtl/>
        </w:rPr>
      </w:pPr>
      <w:r w:rsidRPr="006F6608">
        <w:rPr>
          <w:rFonts w:hint="cs"/>
          <w:sz w:val="24"/>
          <w:szCs w:val="24"/>
          <w:rtl/>
        </w:rPr>
        <w:t xml:space="preserve">אם כן, ריש לקיש סבור שאם המקור הוא משבעת ימי המילואים ההפרשה אמורה לעכב. </w:t>
      </w:r>
    </w:p>
    <w:p w:rsidR="008F0ED9" w:rsidRPr="006F6608" w:rsidRDefault="008F0ED9" w:rsidP="008F0ED9">
      <w:pPr>
        <w:spacing w:line="276" w:lineRule="exact"/>
        <w:ind w:firstLine="227"/>
        <w:rPr>
          <w:sz w:val="24"/>
          <w:szCs w:val="24"/>
          <w:rtl/>
        </w:rPr>
      </w:pPr>
      <w:r w:rsidRPr="006F6608">
        <w:rPr>
          <w:sz w:val="24"/>
          <w:szCs w:val="24"/>
          <w:rtl/>
        </w:rPr>
        <w:t xml:space="preserve">בגמרא לא מפורש כיצד מיישב רבי יוחנן קושיה זו, ונחלקו בכך הראשונים. </w:t>
      </w:r>
      <w:r w:rsidRPr="006F6608">
        <w:rPr>
          <w:rFonts w:hint="cs"/>
          <w:sz w:val="24"/>
          <w:szCs w:val="24"/>
          <w:rtl/>
        </w:rPr>
        <w:t xml:space="preserve">הר"י מלוניל </w:t>
      </w:r>
      <w:r w:rsidRPr="006F6608">
        <w:rPr>
          <w:rFonts w:hint="cs"/>
          <w:sz w:val="20"/>
          <w:szCs w:val="20"/>
          <w:rtl/>
        </w:rPr>
        <w:t>[יומא פ"א ה"א ד"ה ומתקינין]</w:t>
      </w:r>
      <w:r w:rsidRPr="006F6608">
        <w:rPr>
          <w:rFonts w:hint="cs"/>
          <w:sz w:val="24"/>
          <w:szCs w:val="24"/>
          <w:rtl/>
        </w:rPr>
        <w:t xml:space="preserve"> לומד </w:t>
      </w:r>
      <w:r w:rsidRPr="006F6608">
        <w:rPr>
          <w:sz w:val="24"/>
          <w:szCs w:val="24"/>
          <w:rtl/>
        </w:rPr>
        <w:t>כי לשיטתו הפרישה מעכבת</w:t>
      </w:r>
      <w:r w:rsidRPr="006F6608">
        <w:rPr>
          <w:rFonts w:hint="cs"/>
          <w:sz w:val="24"/>
          <w:szCs w:val="24"/>
          <w:rtl/>
        </w:rPr>
        <w:t xml:space="preserve">, </w:t>
      </w:r>
      <w:r>
        <w:rPr>
          <w:sz w:val="24"/>
          <w:szCs w:val="24"/>
          <w:rtl/>
        </w:rPr>
        <w:t>ולכן הי</w:t>
      </w:r>
      <w:r>
        <w:rPr>
          <w:rFonts w:hint="cs"/>
          <w:sz w:val="24"/>
          <w:szCs w:val="24"/>
          <w:rtl/>
        </w:rPr>
        <w:t>ו</w:t>
      </w:r>
      <w:r w:rsidRPr="006F6608">
        <w:rPr>
          <w:sz w:val="24"/>
          <w:szCs w:val="24"/>
          <w:rtl/>
        </w:rPr>
        <w:t xml:space="preserve"> מפרישים שבעת ימים קודם יום הכיפורים גם את הכהן שהיו ממנים תחת הכהן הגדול "שמא יארע בו פסול".</w:t>
      </w:r>
      <w:r w:rsidRPr="006F6608">
        <w:rPr>
          <w:rFonts w:hint="cs"/>
          <w:sz w:val="24"/>
          <w:szCs w:val="24"/>
          <w:rtl/>
        </w:rPr>
        <w:t xml:space="preserve"> לעומתו, </w:t>
      </w:r>
      <w:r w:rsidRPr="006F6608">
        <w:rPr>
          <w:sz w:val="24"/>
          <w:szCs w:val="24"/>
          <w:rtl/>
        </w:rPr>
        <w:t xml:space="preserve">תוספות הרא"ש </w:t>
      </w:r>
      <w:r w:rsidRPr="006F6608">
        <w:rPr>
          <w:rFonts w:hint="cs"/>
          <w:sz w:val="20"/>
          <w:szCs w:val="20"/>
          <w:rtl/>
        </w:rPr>
        <w:t>[ה: ד"ה והא דפריך]</w:t>
      </w:r>
      <w:r w:rsidRPr="006F6608">
        <w:rPr>
          <w:rFonts w:hint="cs"/>
          <w:sz w:val="24"/>
          <w:szCs w:val="24"/>
          <w:rtl/>
        </w:rPr>
        <w:t xml:space="preserve">, תוס' רי"ד </w:t>
      </w:r>
      <w:r w:rsidRPr="006F6608">
        <w:rPr>
          <w:rFonts w:hint="cs"/>
          <w:sz w:val="20"/>
          <w:szCs w:val="20"/>
          <w:rtl/>
        </w:rPr>
        <w:t>[ג: ד"ה אי]</w:t>
      </w:r>
      <w:r w:rsidRPr="006F6608">
        <w:rPr>
          <w:rFonts w:hint="cs"/>
          <w:sz w:val="24"/>
          <w:szCs w:val="24"/>
          <w:rtl/>
        </w:rPr>
        <w:t xml:space="preserve"> והריטב"א </w:t>
      </w:r>
      <w:r w:rsidRPr="006F6608">
        <w:rPr>
          <w:rFonts w:hint="cs"/>
          <w:sz w:val="20"/>
          <w:szCs w:val="20"/>
          <w:rtl/>
        </w:rPr>
        <w:t>[ב. ד"ה שבעת]</w:t>
      </w:r>
      <w:r w:rsidRPr="006F6608">
        <w:rPr>
          <w:rFonts w:hint="cs"/>
          <w:sz w:val="24"/>
          <w:szCs w:val="24"/>
          <w:rtl/>
        </w:rPr>
        <w:t xml:space="preserve"> </w:t>
      </w:r>
      <w:r w:rsidRPr="006F6608">
        <w:rPr>
          <w:sz w:val="24"/>
          <w:szCs w:val="24"/>
          <w:rtl/>
        </w:rPr>
        <w:t>נוקט</w:t>
      </w:r>
      <w:r w:rsidRPr="006F6608">
        <w:rPr>
          <w:rFonts w:hint="cs"/>
          <w:sz w:val="24"/>
          <w:szCs w:val="24"/>
          <w:rtl/>
        </w:rPr>
        <w:t>ים</w:t>
      </w:r>
      <w:r w:rsidRPr="006F6608">
        <w:rPr>
          <w:sz w:val="24"/>
          <w:szCs w:val="24"/>
          <w:rtl/>
        </w:rPr>
        <w:t xml:space="preserve"> כי </w:t>
      </w:r>
      <w:r w:rsidRPr="006F6608">
        <w:rPr>
          <w:rFonts w:hint="cs"/>
          <w:sz w:val="24"/>
          <w:szCs w:val="24"/>
          <w:rtl/>
        </w:rPr>
        <w:t xml:space="preserve">גם </w:t>
      </w:r>
      <w:r w:rsidRPr="006F6608">
        <w:rPr>
          <w:sz w:val="24"/>
          <w:szCs w:val="24"/>
          <w:rtl/>
        </w:rPr>
        <w:t xml:space="preserve">לשיטתו </w:t>
      </w:r>
      <w:r w:rsidRPr="006F6608">
        <w:rPr>
          <w:rFonts w:hint="cs"/>
          <w:sz w:val="24"/>
          <w:szCs w:val="24"/>
          <w:rtl/>
        </w:rPr>
        <w:t xml:space="preserve">הפרישה היא </w:t>
      </w:r>
      <w:r w:rsidRPr="006F6608">
        <w:rPr>
          <w:sz w:val="24"/>
          <w:szCs w:val="24"/>
          <w:rtl/>
        </w:rPr>
        <w:t>דין לכתחילה שאינו מעכב</w:t>
      </w:r>
      <w:r w:rsidRPr="006F6608">
        <w:rPr>
          <w:rFonts w:hint="cs"/>
          <w:sz w:val="24"/>
          <w:szCs w:val="24"/>
          <w:rtl/>
        </w:rPr>
        <w:t xml:space="preserve">. </w:t>
      </w:r>
    </w:p>
    <w:p w:rsidR="008F0ED9" w:rsidRPr="006F6608" w:rsidRDefault="008F0ED9" w:rsidP="008F0ED9">
      <w:pPr>
        <w:spacing w:line="276" w:lineRule="exact"/>
        <w:ind w:firstLine="227"/>
        <w:rPr>
          <w:sz w:val="24"/>
          <w:szCs w:val="24"/>
          <w:rtl/>
        </w:rPr>
      </w:pPr>
      <w:r w:rsidRPr="006F6608">
        <w:rPr>
          <w:rFonts w:hint="cs"/>
          <w:sz w:val="24"/>
          <w:szCs w:val="24"/>
          <w:rtl/>
        </w:rPr>
        <w:t xml:space="preserve">על פי השיטה שזהו דין לכתחילה בלבד, ניתן להציע הבנה שונה ביסוד דין פרישת הכהן: הפרישה לא נועדה כדי להקנות לו מעמד וקדושה, אלא זוהי 'מצוה בעלמא' </w:t>
      </w:r>
      <w:r w:rsidRPr="006F6608">
        <w:rPr>
          <w:sz w:val="24"/>
          <w:szCs w:val="24"/>
          <w:rtl/>
        </w:rPr>
        <w:t>–</w:t>
      </w:r>
      <w:r w:rsidRPr="006F6608">
        <w:rPr>
          <w:rFonts w:hint="cs"/>
          <w:sz w:val="24"/>
          <w:szCs w:val="24"/>
          <w:rtl/>
        </w:rPr>
        <w:t xml:space="preserve"> להכשירו מבחינה מעשית לעבודות הייחודיות של יום הכיפורים.</w:t>
      </w:r>
    </w:p>
    <w:p w:rsidR="008F0ED9" w:rsidRPr="006F6608" w:rsidRDefault="008F0ED9" w:rsidP="008F0ED9">
      <w:pPr>
        <w:spacing w:line="276" w:lineRule="exact"/>
        <w:ind w:firstLine="227"/>
        <w:rPr>
          <w:sz w:val="24"/>
          <w:szCs w:val="24"/>
          <w:rtl/>
        </w:rPr>
      </w:pPr>
      <w:r w:rsidRPr="006F6608">
        <w:rPr>
          <w:rFonts w:hint="cs"/>
          <w:sz w:val="24"/>
          <w:szCs w:val="24"/>
          <w:rtl/>
        </w:rPr>
        <w:t>הבנה זו משתמעת מלשון הברייתא המובאת בגמרא כסיעתא לשיטת רבי יוחנן:</w:t>
      </w:r>
    </w:p>
    <w:p w:rsidR="008F0ED9" w:rsidRPr="006F6608" w:rsidRDefault="008F0ED9" w:rsidP="008F0ED9">
      <w:pPr>
        <w:spacing w:line="276" w:lineRule="exact"/>
        <w:ind w:left="720"/>
        <w:rPr>
          <w:sz w:val="20"/>
          <w:szCs w:val="20"/>
          <w:rtl/>
        </w:rPr>
      </w:pPr>
      <w:r w:rsidRPr="006F6608">
        <w:rPr>
          <w:sz w:val="24"/>
          <w:szCs w:val="24"/>
          <w:rtl/>
        </w:rPr>
        <w:t>תניא כוותיה דרבי יוחנן</w:t>
      </w:r>
      <w:r w:rsidRPr="006F6608">
        <w:rPr>
          <w:rFonts w:hint="cs"/>
          <w:sz w:val="24"/>
          <w:szCs w:val="24"/>
          <w:rtl/>
        </w:rPr>
        <w:t>,</w:t>
      </w:r>
      <w:r w:rsidRPr="006F6608">
        <w:rPr>
          <w:sz w:val="24"/>
          <w:szCs w:val="24"/>
          <w:rtl/>
        </w:rPr>
        <w:t xml:space="preserve"> </w:t>
      </w:r>
      <w:r w:rsidRPr="006F6608">
        <w:rPr>
          <w:rFonts w:hint="cs"/>
          <w:sz w:val="24"/>
          <w:szCs w:val="24"/>
          <w:rtl/>
        </w:rPr>
        <w:t>'</w:t>
      </w:r>
      <w:r w:rsidRPr="006F6608">
        <w:rPr>
          <w:sz w:val="24"/>
          <w:szCs w:val="24"/>
          <w:rtl/>
        </w:rPr>
        <w:t>בזאת יבא אהרן אל הקדש</w:t>
      </w:r>
      <w:r w:rsidRPr="006F6608">
        <w:rPr>
          <w:rFonts w:hint="cs"/>
          <w:sz w:val="24"/>
          <w:szCs w:val="24"/>
          <w:rtl/>
        </w:rPr>
        <w:t xml:space="preserve">' </w:t>
      </w:r>
      <w:r w:rsidRPr="006F6608">
        <w:rPr>
          <w:sz w:val="24"/>
          <w:szCs w:val="24"/>
          <w:rtl/>
        </w:rPr>
        <w:t>– במה שאמור בענין</w:t>
      </w:r>
      <w:r w:rsidRPr="006F6608">
        <w:rPr>
          <w:rFonts w:hint="cs"/>
          <w:sz w:val="24"/>
          <w:szCs w:val="24"/>
          <w:rtl/>
        </w:rPr>
        <w:t>.</w:t>
      </w:r>
      <w:r w:rsidRPr="006F6608">
        <w:rPr>
          <w:sz w:val="24"/>
          <w:szCs w:val="24"/>
          <w:rtl/>
        </w:rPr>
        <w:t xml:space="preserve"> מאי היא</w:t>
      </w:r>
      <w:r w:rsidRPr="006F6608">
        <w:rPr>
          <w:rFonts w:hint="cs"/>
          <w:sz w:val="24"/>
          <w:szCs w:val="24"/>
          <w:rtl/>
        </w:rPr>
        <w:t>?</w:t>
      </w:r>
      <w:r w:rsidRPr="006F6608">
        <w:rPr>
          <w:sz w:val="24"/>
          <w:szCs w:val="24"/>
          <w:rtl/>
        </w:rPr>
        <w:t xml:space="preserve"> בענין דמלואים</w:t>
      </w:r>
      <w:r w:rsidRPr="006F6608">
        <w:rPr>
          <w:rFonts w:hint="cs"/>
          <w:sz w:val="24"/>
          <w:szCs w:val="24"/>
          <w:rtl/>
        </w:rPr>
        <w:t>.</w:t>
      </w:r>
      <w:r w:rsidRPr="006F6608">
        <w:rPr>
          <w:sz w:val="24"/>
          <w:szCs w:val="24"/>
          <w:rtl/>
        </w:rPr>
        <w:t xml:space="preserve"> ומה אמור בענין דמלואים</w:t>
      </w:r>
      <w:r w:rsidRPr="006F6608">
        <w:rPr>
          <w:rFonts w:hint="cs"/>
          <w:sz w:val="24"/>
          <w:szCs w:val="24"/>
          <w:rtl/>
        </w:rPr>
        <w:t>?</w:t>
      </w:r>
      <w:r w:rsidRPr="006F6608">
        <w:rPr>
          <w:sz w:val="24"/>
          <w:szCs w:val="24"/>
          <w:rtl/>
        </w:rPr>
        <w:t xml:space="preserve"> אהרן פירש שבעה ושמש יום אחד ומשה מסר לו כל שבעה כדי לחנכו בעבודה</w:t>
      </w:r>
      <w:r w:rsidRPr="006F6608">
        <w:rPr>
          <w:rFonts w:hint="cs"/>
          <w:sz w:val="24"/>
          <w:szCs w:val="24"/>
          <w:rtl/>
        </w:rPr>
        <w:t>,</w:t>
      </w:r>
      <w:r w:rsidRPr="006F6608">
        <w:rPr>
          <w:sz w:val="24"/>
          <w:szCs w:val="24"/>
          <w:rtl/>
        </w:rPr>
        <w:t xml:space="preserve"> ואף לדורות כהן גדול פורש שבעה ומשמש יום אחד</w:t>
      </w:r>
      <w:r w:rsidRPr="006F6608">
        <w:rPr>
          <w:rFonts w:hint="cs"/>
          <w:sz w:val="24"/>
          <w:szCs w:val="24"/>
          <w:rtl/>
        </w:rPr>
        <w:t>,</w:t>
      </w:r>
      <w:r w:rsidRPr="006F6608">
        <w:rPr>
          <w:sz w:val="24"/>
          <w:szCs w:val="24"/>
          <w:rtl/>
        </w:rPr>
        <w:t xml:space="preserve"> ושני תלמידי חכמים מתלמידיו של משה</w:t>
      </w:r>
      <w:r w:rsidRPr="006F6608">
        <w:rPr>
          <w:rFonts w:hint="cs"/>
          <w:sz w:val="24"/>
          <w:szCs w:val="24"/>
          <w:rtl/>
        </w:rPr>
        <w:t>,</w:t>
      </w:r>
      <w:r w:rsidRPr="006F6608">
        <w:rPr>
          <w:sz w:val="24"/>
          <w:szCs w:val="24"/>
          <w:rtl/>
        </w:rPr>
        <w:t xml:space="preserve"> לאפוקי צדוקין</w:t>
      </w:r>
      <w:r w:rsidRPr="006F6608">
        <w:rPr>
          <w:rFonts w:hint="cs"/>
          <w:sz w:val="24"/>
          <w:szCs w:val="24"/>
          <w:rtl/>
        </w:rPr>
        <w:t>,</w:t>
      </w:r>
      <w:r w:rsidRPr="006F6608">
        <w:rPr>
          <w:sz w:val="24"/>
          <w:szCs w:val="24"/>
          <w:rtl/>
        </w:rPr>
        <w:t xml:space="preserve"> מוסרין לו כל שבעה כדי לחנכו בעבודה</w:t>
      </w:r>
      <w:r w:rsidRPr="006F6608">
        <w:rPr>
          <w:rFonts w:hint="cs"/>
          <w:sz w:val="24"/>
          <w:szCs w:val="24"/>
          <w:rtl/>
        </w:rPr>
        <w:t>.</w:t>
      </w:r>
      <w:r w:rsidRPr="006F6608">
        <w:rPr>
          <w:sz w:val="24"/>
          <w:szCs w:val="24"/>
          <w:rtl/>
        </w:rPr>
        <w:t xml:space="preserve"> מכאן אמרו</w:t>
      </w:r>
      <w:r w:rsidRPr="006F6608">
        <w:rPr>
          <w:rFonts w:hint="cs"/>
          <w:sz w:val="24"/>
          <w:szCs w:val="24"/>
          <w:rtl/>
        </w:rPr>
        <w:t>:</w:t>
      </w:r>
      <w:r w:rsidRPr="006F6608">
        <w:rPr>
          <w:sz w:val="24"/>
          <w:szCs w:val="24"/>
          <w:rtl/>
        </w:rPr>
        <w:t xml:space="preserve"> שבעת ימים קודם יום הכיפורים מפרישין כהן גדול מביתו ללשכת פרהדרין</w:t>
      </w:r>
      <w:r w:rsidRPr="006F6608">
        <w:rPr>
          <w:rFonts w:hint="cs"/>
          <w:sz w:val="24"/>
          <w:szCs w:val="24"/>
          <w:rtl/>
        </w:rPr>
        <w:t>.</w:t>
      </w:r>
      <w:r w:rsidRPr="006F6608">
        <w:rPr>
          <w:sz w:val="24"/>
          <w:szCs w:val="24"/>
          <w:rtl/>
        </w:rPr>
        <w:t xml:space="preserve"> </w:t>
      </w:r>
      <w:r w:rsidRPr="006F6608">
        <w:rPr>
          <w:rFonts w:hint="cs"/>
          <w:sz w:val="20"/>
          <w:szCs w:val="20"/>
          <w:rtl/>
        </w:rPr>
        <w:t>[יומא ד.]</w:t>
      </w:r>
    </w:p>
    <w:p w:rsidR="008F0ED9" w:rsidRPr="006F6608" w:rsidRDefault="008F0ED9" w:rsidP="008F0ED9">
      <w:pPr>
        <w:spacing w:line="276" w:lineRule="exact"/>
        <w:ind w:firstLine="227"/>
        <w:rPr>
          <w:sz w:val="24"/>
          <w:szCs w:val="24"/>
          <w:rtl/>
        </w:rPr>
      </w:pPr>
      <w:r w:rsidRPr="006F6608">
        <w:rPr>
          <w:rFonts w:hint="cs"/>
          <w:sz w:val="24"/>
          <w:szCs w:val="24"/>
          <w:rtl/>
        </w:rPr>
        <w:t xml:space="preserve">הברייתא קושרת בין פרישת הכהן לבין החובה למסור לו שני תלמידי חכמים שילמדו אותו את סדר העבודה. נראה מכך, כי הפרשת הכהן אינה תנאי מקדים לעבודות הכפרה והחיטוי, אלא הפרשתו נועדה "כדי לחנכו בעבודה" </w:t>
      </w:r>
      <w:r w:rsidRPr="006F6608">
        <w:rPr>
          <w:sz w:val="24"/>
          <w:szCs w:val="24"/>
          <w:rtl/>
        </w:rPr>
        <w:t>–</w:t>
      </w:r>
      <w:r w:rsidRPr="006F6608">
        <w:rPr>
          <w:rFonts w:hint="cs"/>
          <w:sz w:val="24"/>
          <w:szCs w:val="24"/>
          <w:rtl/>
        </w:rPr>
        <w:t xml:space="preserve"> ללמדו כיצד לבצע את העבודות כיאות, על פי כל פרטי דיניהן ודקדוקיהן</w:t>
      </w:r>
      <w:r>
        <w:rPr>
          <w:rStyle w:val="a7"/>
          <w:sz w:val="24"/>
          <w:szCs w:val="24"/>
          <w:rtl/>
        </w:rPr>
        <w:footnoteReference w:id="5"/>
      </w:r>
      <w:r w:rsidRPr="006F6608">
        <w:rPr>
          <w:rFonts w:hint="cs"/>
          <w:sz w:val="24"/>
          <w:szCs w:val="24"/>
          <w:rtl/>
        </w:rPr>
        <w:t>.</w:t>
      </w:r>
    </w:p>
    <w:p w:rsidR="008F0ED9" w:rsidRPr="006F6608" w:rsidRDefault="008F0ED9" w:rsidP="008F0ED9">
      <w:pPr>
        <w:spacing w:line="276" w:lineRule="exact"/>
        <w:ind w:firstLine="227"/>
        <w:rPr>
          <w:sz w:val="24"/>
          <w:szCs w:val="24"/>
          <w:rtl/>
        </w:rPr>
      </w:pPr>
      <w:r w:rsidRPr="006F6608">
        <w:rPr>
          <w:rFonts w:hint="cs"/>
          <w:sz w:val="24"/>
          <w:szCs w:val="24"/>
          <w:rtl/>
        </w:rPr>
        <w:t>אמנם, האו</w:t>
      </w:r>
      <w:r>
        <w:rPr>
          <w:rFonts w:hint="cs"/>
          <w:sz w:val="24"/>
          <w:szCs w:val="24"/>
          <w:rtl/>
        </w:rPr>
        <w:t>ר שמח מבאר באופן שונה מדוע ההפרש</w:t>
      </w:r>
      <w:r w:rsidRPr="006F6608">
        <w:rPr>
          <w:rFonts w:hint="cs"/>
          <w:sz w:val="24"/>
          <w:szCs w:val="24"/>
          <w:rtl/>
        </w:rPr>
        <w:t>ה הנלמדת מ'המילואים' אינה מעכבת:</w:t>
      </w:r>
    </w:p>
    <w:p w:rsidR="008F0ED9" w:rsidRPr="006F6608" w:rsidRDefault="008F0ED9" w:rsidP="008F0ED9">
      <w:pPr>
        <w:spacing w:line="276" w:lineRule="exact"/>
        <w:ind w:left="720"/>
        <w:rPr>
          <w:sz w:val="20"/>
          <w:szCs w:val="20"/>
          <w:rtl/>
        </w:rPr>
      </w:pPr>
      <w:r w:rsidRPr="006F6608">
        <w:rPr>
          <w:sz w:val="24"/>
          <w:szCs w:val="24"/>
          <w:rtl/>
        </w:rPr>
        <w:t>והנה פרישה לכ</w:t>
      </w:r>
      <w:r w:rsidRPr="006F6608">
        <w:rPr>
          <w:rFonts w:hint="cs"/>
          <w:sz w:val="24"/>
          <w:szCs w:val="24"/>
          <w:rtl/>
        </w:rPr>
        <w:t>הן הגדול</w:t>
      </w:r>
      <w:r w:rsidRPr="006F6608">
        <w:rPr>
          <w:sz w:val="24"/>
          <w:szCs w:val="24"/>
          <w:rtl/>
        </w:rPr>
        <w:t xml:space="preserve"> הוי דומיא דקידוש ידים ורגלים, וקידוש ידים ורגלים קי</w:t>
      </w:r>
      <w:r w:rsidRPr="006F6608">
        <w:rPr>
          <w:rFonts w:hint="cs"/>
          <w:sz w:val="24"/>
          <w:szCs w:val="24"/>
          <w:rtl/>
        </w:rPr>
        <w:t>ימא לן</w:t>
      </w:r>
      <w:r w:rsidRPr="006F6608">
        <w:rPr>
          <w:sz w:val="24"/>
          <w:szCs w:val="24"/>
          <w:rtl/>
        </w:rPr>
        <w:t xml:space="preserve"> דאם לא קידש ידיו ורגליו שחרית לצורך עבודה חלל עבודתו, וכה</w:t>
      </w:r>
      <w:r w:rsidRPr="006F6608">
        <w:rPr>
          <w:rFonts w:hint="cs"/>
          <w:sz w:val="24"/>
          <w:szCs w:val="24"/>
          <w:rtl/>
        </w:rPr>
        <w:t>אי גוונא</w:t>
      </w:r>
      <w:r w:rsidRPr="006F6608">
        <w:rPr>
          <w:sz w:val="24"/>
          <w:szCs w:val="24"/>
          <w:rtl/>
        </w:rPr>
        <w:t xml:space="preserve"> אף דצריך לקדש ידיו ורגליו בין עבודת בגדי זהב לעבודת בגדי לבן א</w:t>
      </w:r>
      <w:r w:rsidRPr="006F6608">
        <w:rPr>
          <w:rFonts w:hint="cs"/>
          <w:sz w:val="24"/>
          <w:szCs w:val="24"/>
          <w:rtl/>
        </w:rPr>
        <w:t>ף על פי</w:t>
      </w:r>
      <w:r w:rsidRPr="006F6608">
        <w:rPr>
          <w:sz w:val="24"/>
          <w:szCs w:val="24"/>
          <w:rtl/>
        </w:rPr>
        <w:t xml:space="preserve"> כן אם לא קידש לא נתחללה עבודתו. וטעמא יליף בפ"ב דזבחים (י"ט ע"ב) מקראי, כן גבי פרישה, אף שבמלואים היו מעכבים</w:t>
      </w:r>
      <w:r w:rsidRPr="006F6608">
        <w:rPr>
          <w:rFonts w:hint="cs"/>
          <w:sz w:val="24"/>
          <w:szCs w:val="24"/>
          <w:rtl/>
        </w:rPr>
        <w:t>,</w:t>
      </w:r>
      <w:r w:rsidRPr="006F6608">
        <w:rPr>
          <w:sz w:val="24"/>
          <w:szCs w:val="24"/>
          <w:rtl/>
        </w:rPr>
        <w:t xml:space="preserve"> הוא משום שבפרישה דמלואים נתקדשו להיות ראוים לכהונה, ובלא זה לא היו ראוים לעבודה כלל, ולכן אם לא הופרשו אז היה עבודתם מחוללת, ולא נתקדשו בקדושת כהונה, דוגמא דאם לא קדשו ידיהם ורגליהם שחרית, שבלא הקידוש אינם ראוים אף לעבודת כהן הדיוט, שחללו עבודתם</w:t>
      </w:r>
      <w:r w:rsidRPr="006F6608">
        <w:rPr>
          <w:rFonts w:hint="cs"/>
          <w:sz w:val="24"/>
          <w:szCs w:val="24"/>
          <w:rtl/>
        </w:rPr>
        <w:t>.</w:t>
      </w:r>
      <w:r w:rsidRPr="006F6608">
        <w:rPr>
          <w:sz w:val="24"/>
          <w:szCs w:val="24"/>
          <w:rtl/>
        </w:rPr>
        <w:t xml:space="preserve"> אבל פרישה דכ</w:t>
      </w:r>
      <w:r w:rsidRPr="006F6608">
        <w:rPr>
          <w:rFonts w:hint="cs"/>
          <w:sz w:val="24"/>
          <w:szCs w:val="24"/>
          <w:rtl/>
        </w:rPr>
        <w:t>הן גדול ביום הכיפורים,</w:t>
      </w:r>
      <w:r w:rsidRPr="006F6608">
        <w:rPr>
          <w:sz w:val="24"/>
          <w:szCs w:val="24"/>
          <w:rtl/>
        </w:rPr>
        <w:t xml:space="preserve"> דבלא פרישה ראוים לעבודות של בגדי זהב, והראוים בכהן הדיוט, רק להיות ראוי לעבודות הצריך להם כה</w:t>
      </w:r>
      <w:r w:rsidRPr="006F6608">
        <w:rPr>
          <w:rFonts w:hint="cs"/>
          <w:sz w:val="24"/>
          <w:szCs w:val="24"/>
          <w:rtl/>
        </w:rPr>
        <w:t>ן גדול</w:t>
      </w:r>
      <w:r w:rsidRPr="006F6608">
        <w:rPr>
          <w:sz w:val="24"/>
          <w:szCs w:val="24"/>
          <w:rtl/>
        </w:rPr>
        <w:t xml:space="preserve"> בעי פרישה, א</w:t>
      </w:r>
      <w:r w:rsidRPr="006F6608">
        <w:rPr>
          <w:rFonts w:hint="cs"/>
          <w:sz w:val="24"/>
          <w:szCs w:val="24"/>
          <w:rtl/>
        </w:rPr>
        <w:t>ם כן</w:t>
      </w:r>
      <w:r w:rsidRPr="006F6608">
        <w:rPr>
          <w:sz w:val="24"/>
          <w:szCs w:val="24"/>
          <w:rtl/>
        </w:rPr>
        <w:t xml:space="preserve"> כמו דלא מעכבי ואינן מחללין עבודתם אם לא קדשו בין עבודת בגדי לבן לבגדי זהב ולבגדי זהב לבגד לבן, כן פרישה של מי שראוי לכהונה ולכל העבודות בלא הפרישה, רק ע</w:t>
      </w:r>
      <w:r w:rsidRPr="006F6608">
        <w:rPr>
          <w:rFonts w:hint="cs"/>
          <w:sz w:val="24"/>
          <w:szCs w:val="24"/>
          <w:rtl/>
        </w:rPr>
        <w:t>ל ידי</w:t>
      </w:r>
      <w:r w:rsidRPr="006F6608">
        <w:rPr>
          <w:sz w:val="24"/>
          <w:szCs w:val="24"/>
          <w:rtl/>
        </w:rPr>
        <w:t xml:space="preserve"> הפרישה הוא נעשה ראוי לעבודת יו</w:t>
      </w:r>
      <w:r w:rsidRPr="006F6608">
        <w:rPr>
          <w:rFonts w:hint="cs"/>
          <w:sz w:val="24"/>
          <w:szCs w:val="24"/>
          <w:rtl/>
        </w:rPr>
        <w:t>ם הכיפורים</w:t>
      </w:r>
      <w:r w:rsidRPr="006F6608">
        <w:rPr>
          <w:sz w:val="24"/>
          <w:szCs w:val="24"/>
          <w:rtl/>
        </w:rPr>
        <w:t>, אותה פרישה אינה מעכבת, ועבודתו כשירה בלא חלול</w:t>
      </w:r>
      <w:r w:rsidRPr="006F6608">
        <w:rPr>
          <w:rFonts w:hint="cs"/>
          <w:sz w:val="24"/>
          <w:szCs w:val="24"/>
          <w:rtl/>
        </w:rPr>
        <w:t>.</w:t>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[אור שמח הל' עבודת יום הכיפורים פ"א ה"ג]</w:t>
      </w:r>
    </w:p>
    <w:p w:rsidR="008F0ED9" w:rsidRPr="006F6608" w:rsidRDefault="008F0ED9" w:rsidP="008F0ED9">
      <w:pPr>
        <w:ind w:firstLine="266"/>
        <w:rPr>
          <w:sz w:val="24"/>
          <w:szCs w:val="24"/>
          <w:rtl/>
        </w:rPr>
      </w:pPr>
      <w:r>
        <w:rPr>
          <w:rFonts w:hint="cs"/>
          <w:sz w:val="24"/>
          <w:szCs w:val="24"/>
          <w:rtl/>
        </w:rPr>
        <w:t>לדברי האור שמח, אמנם ההפרש</w:t>
      </w:r>
      <w:r w:rsidRPr="006F6608">
        <w:rPr>
          <w:rFonts w:hint="cs"/>
          <w:sz w:val="24"/>
          <w:szCs w:val="24"/>
          <w:rtl/>
        </w:rPr>
        <w:t xml:space="preserve">ה נועדה להכשיר את הכהן הגדול לעבודות היום, אך הואיל והוא בלאו הכי נחשב לכהן כשר </w:t>
      </w:r>
      <w:r w:rsidRPr="006F6608">
        <w:rPr>
          <w:sz w:val="24"/>
          <w:szCs w:val="24"/>
          <w:rtl/>
        </w:rPr>
        <w:t>–</w:t>
      </w:r>
      <w:r w:rsidRPr="006F6608">
        <w:rPr>
          <w:rFonts w:hint="cs"/>
          <w:sz w:val="24"/>
          <w:szCs w:val="24"/>
          <w:rtl/>
        </w:rPr>
        <w:t xml:space="preserve"> 'עבודות המילואים' המיוחדות ליום הכיפורים אינן מעכבות. לעומת זאת, </w:t>
      </w:r>
      <w:r>
        <w:rPr>
          <w:rFonts w:hint="cs"/>
          <w:sz w:val="24"/>
          <w:szCs w:val="24"/>
          <w:rtl/>
        </w:rPr>
        <w:t>ב</w:t>
      </w:r>
      <w:r w:rsidRPr="006F6608">
        <w:rPr>
          <w:rFonts w:hint="cs"/>
          <w:sz w:val="24"/>
          <w:szCs w:val="24"/>
          <w:rtl/>
        </w:rPr>
        <w:t>שבעת ימי המילואים בשעת חנוכת המשכן, שהם העניקו לכהנים את מעמדם ואת ק</w:t>
      </w:r>
      <w:r>
        <w:rPr>
          <w:rFonts w:hint="cs"/>
          <w:sz w:val="24"/>
          <w:szCs w:val="24"/>
          <w:rtl/>
        </w:rPr>
        <w:t>דושתם ככהנים, ההפרשת היא לעיכובא</w:t>
      </w:r>
      <w:r w:rsidRPr="006F6608">
        <w:rPr>
          <w:rFonts w:hint="cs"/>
          <w:sz w:val="24"/>
          <w:szCs w:val="24"/>
          <w:rtl/>
        </w:rPr>
        <w:t xml:space="preserve">. </w:t>
      </w:r>
    </w:p>
    <w:p w:rsidR="008F0ED9" w:rsidRPr="006F6608" w:rsidRDefault="008F0ED9" w:rsidP="008F0ED9">
      <w:pPr>
        <w:ind w:firstLine="266"/>
        <w:rPr>
          <w:sz w:val="24"/>
          <w:szCs w:val="24"/>
          <w:rtl/>
        </w:rPr>
      </w:pPr>
    </w:p>
    <w:p w:rsidR="008F0ED9" w:rsidRPr="006F6608" w:rsidRDefault="008F0ED9" w:rsidP="008F0ED9">
      <w:pPr>
        <w:ind w:firstLine="266"/>
        <w:rPr>
          <w:sz w:val="24"/>
          <w:szCs w:val="24"/>
          <w:rtl/>
        </w:rPr>
      </w:pPr>
      <w:r w:rsidRPr="006F6608">
        <w:rPr>
          <w:rFonts w:hint="cs"/>
          <w:sz w:val="24"/>
          <w:szCs w:val="24"/>
          <w:rtl/>
        </w:rPr>
        <w:lastRenderedPageBreak/>
        <w:t>דברים אלו אמורים במסגרת שיטת רבי יוחנן וסיעתו, הלומדת את חובת ה</w:t>
      </w:r>
      <w:r>
        <w:rPr>
          <w:rFonts w:hint="cs"/>
          <w:sz w:val="24"/>
          <w:szCs w:val="24"/>
          <w:rtl/>
        </w:rPr>
        <w:t>הפר</w:t>
      </w:r>
      <w:r w:rsidRPr="006F6608">
        <w:rPr>
          <w:rFonts w:hint="cs"/>
          <w:sz w:val="24"/>
          <w:szCs w:val="24"/>
          <w:rtl/>
        </w:rPr>
        <w:t>שה משבעת ימי המילואים. אמנם, כאמור, ריש לקיש מקשה על מקור זה, והוא מביא לכך מקור אחר:</w:t>
      </w:r>
    </w:p>
    <w:p w:rsidR="008F0ED9" w:rsidRPr="006F6608" w:rsidRDefault="008F0ED9" w:rsidP="008F0ED9">
      <w:pPr>
        <w:spacing w:line="276" w:lineRule="exact"/>
        <w:ind w:left="720"/>
        <w:rPr>
          <w:sz w:val="24"/>
          <w:szCs w:val="24"/>
          <w:rtl/>
        </w:rPr>
      </w:pPr>
      <w:r w:rsidRPr="006F6608">
        <w:rPr>
          <w:sz w:val="24"/>
          <w:szCs w:val="24"/>
          <w:rtl/>
        </w:rPr>
        <w:t>אמר ליה</w:t>
      </w:r>
      <w:r w:rsidRPr="006F6608">
        <w:rPr>
          <w:rFonts w:hint="cs"/>
          <w:sz w:val="24"/>
          <w:szCs w:val="24"/>
          <w:rtl/>
        </w:rPr>
        <w:t>:</w:t>
      </w:r>
      <w:r w:rsidRPr="006F6608">
        <w:rPr>
          <w:sz w:val="24"/>
          <w:szCs w:val="24"/>
          <w:rtl/>
        </w:rPr>
        <w:t xml:space="preserve"> אלא מר מהיכא יליף לה</w:t>
      </w:r>
      <w:r w:rsidRPr="006F6608">
        <w:rPr>
          <w:rFonts w:hint="cs"/>
          <w:sz w:val="24"/>
          <w:szCs w:val="24"/>
          <w:rtl/>
        </w:rPr>
        <w:t>?</w:t>
      </w:r>
      <w:r w:rsidRPr="006F6608">
        <w:rPr>
          <w:sz w:val="24"/>
          <w:szCs w:val="24"/>
          <w:rtl/>
        </w:rPr>
        <w:t xml:space="preserve"> אמר</w:t>
      </w:r>
      <w:r w:rsidRPr="006F6608">
        <w:rPr>
          <w:rFonts w:hint="cs"/>
          <w:sz w:val="24"/>
          <w:szCs w:val="24"/>
          <w:rtl/>
        </w:rPr>
        <w:t>:</w:t>
      </w:r>
      <w:r w:rsidRPr="006F6608">
        <w:rPr>
          <w:sz w:val="24"/>
          <w:szCs w:val="24"/>
          <w:rtl/>
        </w:rPr>
        <w:t xml:space="preserve"> מסיני</w:t>
      </w:r>
      <w:r w:rsidRPr="006F6608">
        <w:rPr>
          <w:rFonts w:hint="cs"/>
          <w:sz w:val="24"/>
          <w:szCs w:val="24"/>
          <w:rtl/>
        </w:rPr>
        <w:t>,</w:t>
      </w:r>
      <w:r w:rsidRPr="006F6608">
        <w:rPr>
          <w:sz w:val="24"/>
          <w:szCs w:val="24"/>
          <w:rtl/>
        </w:rPr>
        <w:t xml:space="preserve"> דכתיב </w:t>
      </w:r>
      <w:r w:rsidRPr="006F6608">
        <w:rPr>
          <w:rFonts w:hint="cs"/>
          <w:sz w:val="24"/>
          <w:szCs w:val="24"/>
          <w:rtl/>
        </w:rPr>
        <w:t>'</w:t>
      </w:r>
      <w:r w:rsidRPr="006F6608">
        <w:rPr>
          <w:sz w:val="24"/>
          <w:szCs w:val="24"/>
          <w:rtl/>
        </w:rPr>
        <w:t>וישכן כבוד ה' על הר סיני ויכסהו הענן ששת ימים ויקרא אל משה ביום השביעי</w:t>
      </w:r>
      <w:r w:rsidRPr="006F6608">
        <w:rPr>
          <w:rFonts w:hint="cs"/>
          <w:sz w:val="24"/>
          <w:szCs w:val="24"/>
          <w:rtl/>
        </w:rPr>
        <w:t xml:space="preserve">' </w:t>
      </w:r>
      <w:r w:rsidRPr="006F6608">
        <w:rPr>
          <w:sz w:val="24"/>
          <w:szCs w:val="24"/>
          <w:rtl/>
        </w:rPr>
        <w:t xml:space="preserve">– מכדי כתיב </w:t>
      </w:r>
      <w:r w:rsidRPr="006F6608">
        <w:rPr>
          <w:rFonts w:hint="cs"/>
          <w:sz w:val="24"/>
          <w:szCs w:val="24"/>
          <w:rtl/>
        </w:rPr>
        <w:t>'</w:t>
      </w:r>
      <w:r w:rsidRPr="006F6608">
        <w:rPr>
          <w:sz w:val="24"/>
          <w:szCs w:val="24"/>
          <w:rtl/>
        </w:rPr>
        <w:t>ויקרא אל משה ביום השביעי</w:t>
      </w:r>
      <w:r w:rsidRPr="006F6608">
        <w:rPr>
          <w:rFonts w:hint="cs"/>
          <w:sz w:val="24"/>
          <w:szCs w:val="24"/>
          <w:rtl/>
        </w:rPr>
        <w:t>',</w:t>
      </w:r>
      <w:r w:rsidRPr="006F6608">
        <w:rPr>
          <w:sz w:val="24"/>
          <w:szCs w:val="24"/>
          <w:rtl/>
        </w:rPr>
        <w:t xml:space="preserve"> מאי </w:t>
      </w:r>
      <w:r w:rsidRPr="006F6608">
        <w:rPr>
          <w:rFonts w:hint="cs"/>
          <w:sz w:val="24"/>
          <w:szCs w:val="24"/>
          <w:rtl/>
        </w:rPr>
        <w:t>'</w:t>
      </w:r>
      <w:r w:rsidRPr="006F6608">
        <w:rPr>
          <w:sz w:val="24"/>
          <w:szCs w:val="24"/>
          <w:rtl/>
        </w:rPr>
        <w:t>ששת ימים</w:t>
      </w:r>
      <w:r w:rsidRPr="006F6608">
        <w:rPr>
          <w:rFonts w:hint="cs"/>
          <w:sz w:val="24"/>
          <w:szCs w:val="24"/>
          <w:rtl/>
        </w:rPr>
        <w:t>'?</w:t>
      </w:r>
      <w:r w:rsidRPr="006F6608">
        <w:rPr>
          <w:sz w:val="24"/>
          <w:szCs w:val="24"/>
          <w:rtl/>
        </w:rPr>
        <w:t xml:space="preserve"> זה בנה אב שכל הנכנס במחנה שכינה טעון פרישת ששה</w:t>
      </w:r>
      <w:r w:rsidRPr="006F6608">
        <w:rPr>
          <w:rFonts w:hint="cs"/>
          <w:sz w:val="24"/>
          <w:szCs w:val="24"/>
          <w:rtl/>
        </w:rPr>
        <w:t>.</w:t>
      </w:r>
      <w:r w:rsidRPr="006F6608">
        <w:rPr>
          <w:sz w:val="24"/>
          <w:szCs w:val="24"/>
          <w:rtl/>
        </w:rPr>
        <w:tab/>
      </w:r>
      <w:r w:rsidRPr="006F6608">
        <w:rPr>
          <w:rFonts w:hint="cs"/>
          <w:sz w:val="24"/>
          <w:szCs w:val="24"/>
          <w:rtl/>
        </w:rPr>
        <w:t xml:space="preserve">       </w:t>
      </w:r>
      <w:r w:rsidRPr="006F6608">
        <w:rPr>
          <w:rFonts w:hint="cs"/>
          <w:sz w:val="20"/>
          <w:szCs w:val="20"/>
          <w:rtl/>
        </w:rPr>
        <w:t>[יומא ג:]</w:t>
      </w:r>
    </w:p>
    <w:p w:rsidR="008F0ED9" w:rsidRPr="006F6608" w:rsidRDefault="008F0ED9" w:rsidP="008F0ED9">
      <w:pPr>
        <w:spacing w:line="276" w:lineRule="exact"/>
        <w:ind w:firstLine="227"/>
        <w:rPr>
          <w:sz w:val="24"/>
          <w:szCs w:val="24"/>
          <w:rtl/>
        </w:rPr>
      </w:pPr>
      <w:r w:rsidRPr="006F6608">
        <w:rPr>
          <w:rFonts w:hint="cs"/>
          <w:sz w:val="24"/>
          <w:szCs w:val="24"/>
          <w:rtl/>
        </w:rPr>
        <w:t xml:space="preserve">לשיטתו, מקור חובת </w:t>
      </w:r>
      <w:r>
        <w:rPr>
          <w:rFonts w:hint="cs"/>
          <w:sz w:val="24"/>
          <w:szCs w:val="24"/>
          <w:rtl/>
        </w:rPr>
        <w:t>הפר</w:t>
      </w:r>
      <w:r w:rsidRPr="006F6608">
        <w:rPr>
          <w:rFonts w:hint="cs"/>
          <w:sz w:val="24"/>
          <w:szCs w:val="24"/>
          <w:rtl/>
        </w:rPr>
        <w:t xml:space="preserve">שת הכהן הוא מסיני: כשם שמשה פרש שישה ימים לפני כניסתו למחנה שכינה, כך הכהן הגדול צריך לפרוש שישה ימים לפני כניסתו לקודש הקדשים </w:t>
      </w:r>
      <w:r w:rsidRPr="006F6608">
        <w:rPr>
          <w:sz w:val="24"/>
          <w:szCs w:val="24"/>
          <w:rtl/>
        </w:rPr>
        <w:t>–</w:t>
      </w:r>
      <w:r w:rsidRPr="006F6608">
        <w:rPr>
          <w:rFonts w:hint="cs"/>
          <w:sz w:val="24"/>
          <w:szCs w:val="24"/>
          <w:rtl/>
        </w:rPr>
        <w:t xml:space="preserve"> המקום בו שורה השכינה.</w:t>
      </w:r>
    </w:p>
    <w:p w:rsidR="008F0ED9" w:rsidRPr="006F6608" w:rsidRDefault="008F0ED9" w:rsidP="008F0ED9">
      <w:pPr>
        <w:spacing w:line="276" w:lineRule="exact"/>
        <w:ind w:firstLine="227"/>
        <w:rPr>
          <w:sz w:val="24"/>
          <w:szCs w:val="24"/>
          <w:rtl/>
        </w:rPr>
      </w:pPr>
      <w:r>
        <w:rPr>
          <w:rFonts w:hint="cs"/>
          <w:sz w:val="24"/>
          <w:szCs w:val="24"/>
          <w:rtl/>
        </w:rPr>
        <w:t xml:space="preserve">משיטתו עולה כי </w:t>
      </w:r>
      <w:r w:rsidRPr="006F6608">
        <w:rPr>
          <w:rFonts w:hint="cs"/>
          <w:sz w:val="24"/>
          <w:szCs w:val="24"/>
          <w:rtl/>
        </w:rPr>
        <w:t xml:space="preserve">חובת הפרשת הכהן השורף את הפרה שונה במהותה מחובת הפרשת הכהן הגדול לפני יום הכיפורים: הפרשת הכהן הגדול היא דין תורה, מחמת כניסתו למחנה שכינה; הפרשת הכהן השורף את הפרה, לעומת זאת, היא 'מעלה בעלמא', כחלק מההקפדה היתרה על טהרתו. </w:t>
      </w:r>
    </w:p>
    <w:p w:rsidR="008F0ED9" w:rsidRPr="006F6608" w:rsidRDefault="008F0ED9" w:rsidP="008F0ED9">
      <w:pPr>
        <w:spacing w:line="276" w:lineRule="exact"/>
        <w:ind w:firstLine="227"/>
        <w:rPr>
          <w:sz w:val="24"/>
          <w:szCs w:val="24"/>
          <w:rtl/>
        </w:rPr>
      </w:pPr>
      <w:r w:rsidRPr="006F6608">
        <w:rPr>
          <w:rFonts w:hint="cs"/>
          <w:sz w:val="24"/>
          <w:szCs w:val="24"/>
          <w:rtl/>
        </w:rPr>
        <w:t>על פי האמור נראה כי מחלוקת רבי יוחנן וריש לקיש אינה רק במקור חובת הפרישה, אלא גם בהבנת יסוד החיוב בפרישה: לפי רבי יוחנן, עבודות הכפרה והחיטוי הן המחייבות את הפרישה. לעומת זאת, לפי ריש לקיש, הכניסה למחנה שכינה היא המחייבת את הפרישה.</w:t>
      </w:r>
    </w:p>
    <w:p w:rsidR="008F0ED9" w:rsidRPr="006F6608" w:rsidRDefault="008F0ED9" w:rsidP="008F0ED9">
      <w:pPr>
        <w:spacing w:line="276" w:lineRule="exact"/>
        <w:ind w:firstLine="227"/>
        <w:rPr>
          <w:sz w:val="24"/>
          <w:szCs w:val="24"/>
          <w:rtl/>
        </w:rPr>
      </w:pPr>
      <w:r w:rsidRPr="006F6608">
        <w:rPr>
          <w:rFonts w:hint="cs"/>
          <w:sz w:val="24"/>
          <w:szCs w:val="24"/>
          <w:rtl/>
        </w:rPr>
        <w:t xml:space="preserve">תתכן נפקא מינה בין </w:t>
      </w:r>
      <w:r>
        <w:rPr>
          <w:rFonts w:hint="cs"/>
          <w:sz w:val="24"/>
          <w:szCs w:val="24"/>
          <w:rtl/>
        </w:rPr>
        <w:t>ה</w:t>
      </w:r>
      <w:r w:rsidRPr="006F6608">
        <w:rPr>
          <w:rFonts w:hint="cs"/>
          <w:sz w:val="24"/>
          <w:szCs w:val="24"/>
          <w:rtl/>
        </w:rPr>
        <w:t xml:space="preserve">שיטות על פי שיטתו של הגר"א </w:t>
      </w:r>
      <w:r w:rsidRPr="006F6608">
        <w:rPr>
          <w:sz w:val="24"/>
          <w:szCs w:val="24"/>
          <w:rtl/>
        </w:rPr>
        <w:t>–</w:t>
      </w:r>
      <w:r w:rsidRPr="006F6608">
        <w:rPr>
          <w:rFonts w:hint="cs"/>
          <w:sz w:val="24"/>
          <w:szCs w:val="24"/>
          <w:rtl/>
        </w:rPr>
        <w:t xml:space="preserve"> שהובאה בשיעור הקודם </w:t>
      </w:r>
      <w:r w:rsidRPr="006F6608">
        <w:rPr>
          <w:sz w:val="24"/>
          <w:szCs w:val="24"/>
          <w:rtl/>
        </w:rPr>
        <w:t>–</w:t>
      </w:r>
      <w:r w:rsidRPr="006F6608">
        <w:rPr>
          <w:rFonts w:hint="cs"/>
          <w:sz w:val="24"/>
          <w:szCs w:val="24"/>
          <w:rtl/>
        </w:rPr>
        <w:t xml:space="preserve"> שלאהרן הכהן היה מותר להיכנס לקודש הקדשים בכל שעה, גם שלא ביום הכיפורים. כניסה זו למקום השראת השכינה אינה נעשית לשם כפרה, ולכן לפי שיטתו של רבי יוחנן מסתבר שכניסה זו מותרת גם ללא פרישה. לעומת זאת, לפי שיטת ריש לקיש, "שכל הנכנס במחנה שכינה טעון פרישת שישה", מסתבר שאהרן הכהן היה מחויב בפרישה לפני כל כניסה אל קודש הקדשים</w:t>
      </w:r>
      <w:r w:rsidRPr="006F6608">
        <w:rPr>
          <w:rStyle w:val="a7"/>
          <w:sz w:val="24"/>
          <w:szCs w:val="24"/>
          <w:rtl/>
        </w:rPr>
        <w:footnoteReference w:id="6"/>
      </w:r>
      <w:r w:rsidRPr="006F6608">
        <w:rPr>
          <w:rFonts w:hint="cs"/>
          <w:sz w:val="24"/>
          <w:szCs w:val="24"/>
          <w:rtl/>
        </w:rPr>
        <w:t>.</w:t>
      </w:r>
    </w:p>
    <w:p w:rsidR="008F0ED9" w:rsidRPr="006F6608" w:rsidRDefault="008F0ED9" w:rsidP="008F0ED9">
      <w:pPr>
        <w:spacing w:line="276" w:lineRule="exact"/>
        <w:ind w:firstLine="227"/>
        <w:rPr>
          <w:sz w:val="24"/>
          <w:szCs w:val="24"/>
          <w:rtl/>
        </w:rPr>
      </w:pPr>
    </w:p>
    <w:p w:rsidR="008F0ED9" w:rsidRPr="006F6608" w:rsidRDefault="008F0ED9" w:rsidP="008F0ED9">
      <w:pPr>
        <w:spacing w:line="276" w:lineRule="exact"/>
        <w:ind w:firstLine="227"/>
        <w:rPr>
          <w:sz w:val="24"/>
          <w:szCs w:val="24"/>
          <w:rtl/>
        </w:rPr>
      </w:pPr>
      <w:r w:rsidRPr="006F6608">
        <w:rPr>
          <w:rFonts w:hint="cs"/>
          <w:sz w:val="24"/>
          <w:szCs w:val="24"/>
          <w:rtl/>
        </w:rPr>
        <w:t xml:space="preserve">בשולי הדברים נעיר כי מסוגיית הגמרא נראה כי לכל השיטות חובת פרישת הכהן הגדול </w:t>
      </w:r>
      <w:r>
        <w:rPr>
          <w:rFonts w:hint="cs"/>
          <w:sz w:val="24"/>
          <w:szCs w:val="24"/>
          <w:rtl/>
        </w:rPr>
        <w:t xml:space="preserve">ביום הכיפורים </w:t>
      </w:r>
      <w:r w:rsidRPr="006F6608">
        <w:rPr>
          <w:rFonts w:hint="cs"/>
          <w:sz w:val="24"/>
          <w:szCs w:val="24"/>
          <w:rtl/>
        </w:rPr>
        <w:t xml:space="preserve">היא מדאורייתא, אמנם תוספות נוקטים לא כך. תוספות אומרים זאת ביחס לדברי הגמרא </w:t>
      </w:r>
      <w:r w:rsidRPr="006F6608">
        <w:rPr>
          <w:rFonts w:hint="cs"/>
          <w:sz w:val="20"/>
          <w:szCs w:val="20"/>
          <w:rtl/>
        </w:rPr>
        <w:t>[ד.]</w:t>
      </w:r>
      <w:r w:rsidRPr="006F6608">
        <w:rPr>
          <w:rFonts w:hint="cs"/>
          <w:sz w:val="24"/>
          <w:szCs w:val="24"/>
          <w:rtl/>
        </w:rPr>
        <w:t xml:space="preserve"> שאת הזאות הדם על הכהנים בשבעת ימי המילואים החליפו ההזאות ממי אפר הפרה: "ואם תאמר במילואים דם הכא מים, אמרת נכנסו מים תחת דם". מכך מסיקים תוספות כי הדרשה הלומדת את חובת פרישת הכהן משבעת ימי המילואים היא אסמכתא:</w:t>
      </w:r>
    </w:p>
    <w:p w:rsidR="008F0ED9" w:rsidRPr="006F6608" w:rsidRDefault="008F0ED9" w:rsidP="008F0ED9">
      <w:pPr>
        <w:spacing w:line="276" w:lineRule="exact"/>
        <w:ind w:left="720"/>
        <w:rPr>
          <w:sz w:val="20"/>
          <w:szCs w:val="20"/>
          <w:rtl/>
        </w:rPr>
      </w:pPr>
      <w:r w:rsidRPr="006F6608">
        <w:rPr>
          <w:rFonts w:hint="cs"/>
          <w:sz w:val="24"/>
          <w:szCs w:val="24"/>
          <w:rtl/>
        </w:rPr>
        <w:t xml:space="preserve">דלאו </w:t>
      </w:r>
      <w:r w:rsidRPr="006F6608">
        <w:rPr>
          <w:sz w:val="24"/>
          <w:szCs w:val="24"/>
          <w:rtl/>
        </w:rPr>
        <w:t>לגמרי דרשה גמורה היא הא דגמרי ממלואים אלא אסמכתא בעלמא</w:t>
      </w:r>
      <w:r w:rsidRPr="006F6608">
        <w:rPr>
          <w:rFonts w:hint="cs"/>
          <w:sz w:val="24"/>
          <w:szCs w:val="24"/>
          <w:rtl/>
        </w:rPr>
        <w:t>,</w:t>
      </w:r>
      <w:r w:rsidRPr="006F6608">
        <w:rPr>
          <w:sz w:val="24"/>
          <w:szCs w:val="24"/>
          <w:rtl/>
        </w:rPr>
        <w:t xml:space="preserve"> דעיקר קרא ד</w:t>
      </w:r>
      <w:r w:rsidRPr="006F6608">
        <w:rPr>
          <w:rFonts w:hint="cs"/>
          <w:sz w:val="24"/>
          <w:szCs w:val="24"/>
          <w:rtl/>
        </w:rPr>
        <w:t>'</w:t>
      </w:r>
      <w:r w:rsidRPr="006F6608">
        <w:rPr>
          <w:sz w:val="24"/>
          <w:szCs w:val="24"/>
          <w:rtl/>
        </w:rPr>
        <w:t>כאשר עשה ביום הזה</w:t>
      </w:r>
      <w:r w:rsidRPr="006F6608">
        <w:rPr>
          <w:rFonts w:hint="cs"/>
          <w:sz w:val="24"/>
          <w:szCs w:val="24"/>
          <w:rtl/>
        </w:rPr>
        <w:t>'</w:t>
      </w:r>
      <w:r w:rsidRPr="006F6608">
        <w:rPr>
          <w:sz w:val="24"/>
          <w:szCs w:val="24"/>
          <w:rtl/>
        </w:rPr>
        <w:t xml:space="preserve"> יש לפרש</w:t>
      </w:r>
      <w:r w:rsidRPr="006F6608">
        <w:rPr>
          <w:rFonts w:hint="cs"/>
          <w:sz w:val="24"/>
          <w:szCs w:val="24"/>
          <w:rtl/>
        </w:rPr>
        <w:t>,</w:t>
      </w:r>
      <w:r w:rsidRPr="006F6608">
        <w:rPr>
          <w:sz w:val="24"/>
          <w:szCs w:val="24"/>
          <w:rtl/>
        </w:rPr>
        <w:t xml:space="preserve"> דביום ראשון של ז' ימי המלואים אמר להם</w:t>
      </w:r>
      <w:r w:rsidRPr="006F6608">
        <w:rPr>
          <w:rFonts w:hint="cs"/>
          <w:sz w:val="24"/>
          <w:szCs w:val="24"/>
          <w:rtl/>
        </w:rPr>
        <w:t>:</w:t>
      </w:r>
      <w:r w:rsidRPr="006F6608">
        <w:rPr>
          <w:sz w:val="24"/>
          <w:szCs w:val="24"/>
          <w:rtl/>
        </w:rPr>
        <w:t xml:space="preserve"> כאשר עשה ביום הזה צוה ה' לעשות כל ז' ימי המלואים</w:t>
      </w:r>
      <w:r w:rsidRPr="006F6608">
        <w:rPr>
          <w:rFonts w:hint="cs"/>
          <w:sz w:val="24"/>
          <w:szCs w:val="24"/>
          <w:rtl/>
        </w:rPr>
        <w:t>...</w:t>
      </w:r>
      <w:r w:rsidRPr="006F6608">
        <w:rPr>
          <w:sz w:val="24"/>
          <w:szCs w:val="24"/>
          <w:rtl/>
        </w:rPr>
        <w:t xml:space="preserve"> וכיון דאסמכתא בעלמא הוא אין לחוש אי אמרינן נכנסו מים תחת דם.</w:t>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sz w:val="24"/>
          <w:szCs w:val="24"/>
          <w:rtl/>
        </w:rPr>
        <w:tab/>
      </w:r>
      <w:r w:rsidRPr="006F6608">
        <w:rPr>
          <w:rFonts w:hint="cs"/>
          <w:sz w:val="24"/>
          <w:szCs w:val="24"/>
          <w:rtl/>
        </w:rPr>
        <w:t xml:space="preserve">       </w:t>
      </w:r>
      <w:r w:rsidRPr="006F6608">
        <w:rPr>
          <w:rFonts w:hint="cs"/>
          <w:sz w:val="20"/>
          <w:szCs w:val="20"/>
          <w:rtl/>
        </w:rPr>
        <w:t>[תוס' ד. ד"ה נכנסו]</w:t>
      </w:r>
    </w:p>
    <w:p w:rsidR="008F0ED9" w:rsidRPr="006F6608" w:rsidRDefault="008F0ED9" w:rsidP="008F0ED9">
      <w:pPr>
        <w:spacing w:line="276" w:lineRule="exact"/>
        <w:ind w:firstLine="227"/>
        <w:rPr>
          <w:sz w:val="24"/>
          <w:szCs w:val="24"/>
          <w:rtl/>
        </w:rPr>
      </w:pPr>
      <w:r w:rsidRPr="006F6608">
        <w:rPr>
          <w:rFonts w:hint="cs"/>
          <w:sz w:val="24"/>
          <w:szCs w:val="24"/>
          <w:rtl/>
        </w:rPr>
        <w:t xml:space="preserve">האחרונים </w:t>
      </w:r>
      <w:r w:rsidRPr="006F6608">
        <w:rPr>
          <w:rFonts w:hint="cs"/>
          <w:sz w:val="20"/>
          <w:szCs w:val="20"/>
          <w:rtl/>
        </w:rPr>
        <w:t xml:space="preserve">[גבורת ארי, שם; </w:t>
      </w:r>
      <w:r>
        <w:rPr>
          <w:rFonts w:hint="cs"/>
          <w:sz w:val="20"/>
          <w:szCs w:val="20"/>
          <w:rtl/>
        </w:rPr>
        <w:t xml:space="preserve">מים חיים הל' עבודת יוה"כ פ"א ה"ג; </w:t>
      </w:r>
      <w:r w:rsidRPr="006F6608">
        <w:rPr>
          <w:rFonts w:hint="cs"/>
          <w:sz w:val="20"/>
          <w:szCs w:val="20"/>
          <w:rtl/>
        </w:rPr>
        <w:t>ליקוטי הלכות - זבח תודה בתחילת המסכת, ד"ה אמר קרא; חזון איש סי' קכו ס"ק ב]</w:t>
      </w:r>
      <w:r w:rsidRPr="006F6608">
        <w:rPr>
          <w:rFonts w:hint="cs"/>
          <w:sz w:val="24"/>
          <w:szCs w:val="24"/>
          <w:rtl/>
        </w:rPr>
        <w:t xml:space="preserve"> מקשים על דברי תוספות, שסוגיית הגמרא מוכיחה שזהו דין תורה. בשל כך, יש הטוענים שיש לבאר את כוונת תוספות באופן אחר. החזון איש </w:t>
      </w:r>
      <w:r w:rsidRPr="006F6608">
        <w:rPr>
          <w:rFonts w:hint="cs"/>
          <w:sz w:val="20"/>
          <w:szCs w:val="20"/>
          <w:rtl/>
        </w:rPr>
        <w:t>[שם]</w:t>
      </w:r>
      <w:r w:rsidRPr="006F6608">
        <w:rPr>
          <w:rFonts w:hint="cs"/>
          <w:sz w:val="24"/>
          <w:szCs w:val="24"/>
          <w:rtl/>
        </w:rPr>
        <w:t xml:space="preserve"> מציע כי גם לדבריהם הדין ביסודו הוא מדאורייתא, אלא המקור לכך בדרשת הפסוקים הוא אסמכתא. בספר 'שערי היכל' </w:t>
      </w:r>
      <w:r w:rsidRPr="006F6608">
        <w:rPr>
          <w:rFonts w:hint="cs"/>
          <w:sz w:val="20"/>
          <w:szCs w:val="20"/>
          <w:rtl/>
        </w:rPr>
        <w:t>[מערכה א]</w:t>
      </w:r>
      <w:r w:rsidRPr="006F6608">
        <w:rPr>
          <w:rFonts w:hint="cs"/>
          <w:sz w:val="24"/>
          <w:szCs w:val="24"/>
          <w:rtl/>
        </w:rPr>
        <w:t xml:space="preserve"> מובאת דרך נוספת בביאור שיטתם, כי אין כוונתם שזהו דין דרבנן גמור, אלא האסמכתא מלמדת שיש עניין לתקן כך, אלא שהתורה לא הטילה זאת כחובה. בשל כך, חכמים הם הקובעים זאת לחובה, ולכן ביכולתם לשנות את גדרי הדין על פי הצורך והסברה. </w:t>
      </w:r>
    </w:p>
    <w:p w:rsidR="008F0ED9" w:rsidRPr="006F6608" w:rsidRDefault="008F0ED9" w:rsidP="008F0ED9">
      <w:pPr>
        <w:spacing w:line="276" w:lineRule="exact"/>
        <w:ind w:firstLine="227"/>
        <w:rPr>
          <w:sz w:val="24"/>
          <w:szCs w:val="24"/>
          <w:rtl/>
        </w:rPr>
      </w:pPr>
    </w:p>
    <w:p w:rsidR="008F0ED9" w:rsidRPr="006F6608" w:rsidRDefault="008F0ED9" w:rsidP="008F0ED9">
      <w:pPr>
        <w:spacing w:line="276" w:lineRule="exact"/>
        <w:ind w:firstLine="227"/>
        <w:jc w:val="right"/>
        <w:rPr>
          <w:sz w:val="24"/>
          <w:szCs w:val="24"/>
        </w:rPr>
      </w:pPr>
      <w:r w:rsidRPr="006F6608">
        <w:rPr>
          <w:rFonts w:hint="cs"/>
          <w:sz w:val="24"/>
          <w:szCs w:val="24"/>
          <w:u w:val="single"/>
          <w:rtl/>
        </w:rPr>
        <w:t>להערות ולתגובות</w:t>
      </w:r>
      <w:r w:rsidRPr="006F6608">
        <w:rPr>
          <w:rFonts w:hint="cs"/>
          <w:sz w:val="24"/>
          <w:szCs w:val="24"/>
          <w:rtl/>
        </w:rPr>
        <w:t>: שלמה ליפשיץ</w:t>
      </w:r>
    </w:p>
    <w:p w:rsidR="001877B4" w:rsidRDefault="008F0ED9" w:rsidP="008F0ED9">
      <w:pPr>
        <w:spacing w:line="276" w:lineRule="exact"/>
        <w:ind w:firstLine="227"/>
        <w:jc w:val="right"/>
      </w:pPr>
      <w:hyperlink r:id="rId6" w:history="1">
        <w:r w:rsidRPr="006F6608">
          <w:rPr>
            <w:rStyle w:val="Hyperlink"/>
            <w:sz w:val="24"/>
            <w:szCs w:val="24"/>
          </w:rPr>
          <w:t>lshlomo26@gmail.com</w:t>
        </w:r>
      </w:hyperlink>
    </w:p>
    <w:sectPr w:rsidR="001877B4" w:rsidSect="00A81AC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8D" w:rsidRDefault="0086728D" w:rsidP="008F0ED9">
      <w:pPr>
        <w:spacing w:after="0" w:line="240" w:lineRule="auto"/>
      </w:pPr>
      <w:r>
        <w:separator/>
      </w:r>
    </w:p>
  </w:endnote>
  <w:endnote w:type="continuationSeparator" w:id="0">
    <w:p w:rsidR="0086728D" w:rsidRDefault="0086728D" w:rsidP="008F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D9" w:rsidRDefault="008F0ED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249138"/>
      <w:docPartObj>
        <w:docPartGallery w:val="Page Numbers (Bottom of Page)"/>
        <w:docPartUnique/>
      </w:docPartObj>
    </w:sdtPr>
    <w:sdtEndPr>
      <w:rPr>
        <w:cs/>
      </w:rPr>
    </w:sdtEndPr>
    <w:sdtContent>
      <w:p w:rsidR="00A81AC9" w:rsidRDefault="008F0ED9">
        <w:pPr>
          <w:pStyle w:val="aa"/>
          <w:jc w:val="center"/>
          <w:rPr>
            <w:rtl/>
            <w:cs/>
          </w:rPr>
        </w:pPr>
        <w:r w:rsidRPr="00081C69">
          <w:rPr>
            <w:rFonts w:hint="cs"/>
            <w:rtl/>
          </w:rPr>
          <w:t>לקבלת השיעורים במייל</w:t>
        </w:r>
        <w:r w:rsidRPr="00081C69">
          <w:rPr>
            <w:rFonts w:hint="cs"/>
            <w:sz w:val="16"/>
            <w:szCs w:val="16"/>
            <w:rtl/>
          </w:rPr>
          <w:t xml:space="preserve">: </w:t>
        </w:r>
        <w:hyperlink r:id="rId1" w:history="1">
          <w:r w:rsidRPr="00081C69">
            <w:rPr>
              <w:rStyle w:val="Hyperlink"/>
              <w:sz w:val="16"/>
              <w:szCs w:val="16"/>
            </w:rPr>
            <w:t>yesodot.eruvin@gmail.com</w:t>
          </w:r>
        </w:hyperlink>
        <w:r w:rsidRPr="00081C69">
          <w:rPr>
            <w:rFonts w:hint="cs"/>
            <w:sz w:val="16"/>
            <w:szCs w:val="16"/>
            <w:rtl/>
          </w:rPr>
          <w:t xml:space="preserve"> </w:t>
        </w:r>
        <w:r>
          <w:rPr>
            <w:rFonts w:hint="cs"/>
            <w:sz w:val="20"/>
            <w:szCs w:val="20"/>
            <w:rtl/>
          </w:rPr>
          <w:t>ובווטסאפ:</w:t>
        </w:r>
        <w:r w:rsidRPr="00081C69">
          <w:rPr>
            <w:rFonts w:hint="cs"/>
            <w:sz w:val="16"/>
            <w:szCs w:val="16"/>
            <w:rtl/>
          </w:rPr>
          <w:t xml:space="preserve"> </w:t>
        </w:r>
        <w:hyperlink r:id="rId2" w:history="1">
          <w:r w:rsidRPr="00081C69">
            <w:rPr>
              <w:rStyle w:val="Hyperlink"/>
              <w:sz w:val="16"/>
              <w:szCs w:val="16"/>
            </w:rPr>
            <w:t>https://chat.whatsapp.com/JIeMBCaAu4f5azSRls02za</w:t>
          </w:r>
        </w:hyperlink>
        <w:r w:rsidR="0086728D">
          <w:fldChar w:fldCharType="begin"/>
        </w:r>
        <w:r w:rsidR="0086728D">
          <w:rPr>
            <w:rtl/>
            <w:cs/>
          </w:rPr>
          <w:instrText>PAGE   \* MERGEFORMAT</w:instrText>
        </w:r>
        <w:r w:rsidR="0086728D">
          <w:fldChar w:fldCharType="separate"/>
        </w:r>
        <w:r w:rsidRPr="008F0ED9">
          <w:rPr>
            <w:noProof/>
            <w:rtl/>
            <w:lang w:val="he-IL"/>
          </w:rPr>
          <w:t>1</w:t>
        </w:r>
        <w:r w:rsidR="0086728D">
          <w:fldChar w:fldCharType="end"/>
        </w:r>
      </w:p>
    </w:sdtContent>
  </w:sdt>
  <w:p w:rsidR="00A81AC9" w:rsidRDefault="0086728D">
    <w:pPr>
      <w:pStyle w:val="aa"/>
      <w:rPr>
        <w:rFonts w:hint="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D9" w:rsidRDefault="008F0E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8D" w:rsidRDefault="0086728D" w:rsidP="008F0ED9">
      <w:pPr>
        <w:spacing w:after="0" w:line="240" w:lineRule="auto"/>
      </w:pPr>
      <w:r>
        <w:separator/>
      </w:r>
    </w:p>
  </w:footnote>
  <w:footnote w:type="continuationSeparator" w:id="0">
    <w:p w:rsidR="0086728D" w:rsidRDefault="0086728D" w:rsidP="008F0ED9">
      <w:pPr>
        <w:spacing w:after="0" w:line="240" w:lineRule="auto"/>
      </w:pPr>
      <w:r>
        <w:continuationSeparator/>
      </w:r>
    </w:p>
  </w:footnote>
  <w:footnote w:id="1">
    <w:p w:rsidR="008F0ED9" w:rsidRPr="00CD5D76" w:rsidRDefault="008F0ED9" w:rsidP="008F0ED9">
      <w:pPr>
        <w:pStyle w:val="a5"/>
      </w:pPr>
      <w:r>
        <w:rPr>
          <w:rStyle w:val="a7"/>
        </w:rPr>
        <w:footnoteRef/>
      </w:r>
      <w:r>
        <w:rPr>
          <w:rtl/>
        </w:rPr>
        <w:t xml:space="preserve"> </w:t>
      </w:r>
      <w:r>
        <w:rPr>
          <w:rFonts w:hint="cs"/>
          <w:rtl/>
        </w:rPr>
        <w:t xml:space="preserve">עי' בהמשך דברי הרב יואל בן נון </w:t>
      </w:r>
      <w:r>
        <w:rPr>
          <w:rFonts w:hint="cs"/>
          <w:sz w:val="16"/>
          <w:szCs w:val="16"/>
          <w:rtl/>
        </w:rPr>
        <w:t>[שם, עמ' 222-227]</w:t>
      </w:r>
      <w:r>
        <w:rPr>
          <w:rFonts w:hint="cs"/>
          <w:rtl/>
        </w:rPr>
        <w:t xml:space="preserve"> המאריך להראות שלצד השוואה זו קיימים הבדלים מהותיים ביניהם, והוא מבאר אותם על פי דרכו.</w:t>
      </w:r>
    </w:p>
  </w:footnote>
  <w:footnote w:id="2">
    <w:p w:rsidR="008F0ED9" w:rsidRPr="00AC0F7A" w:rsidRDefault="008F0ED9" w:rsidP="008F0ED9">
      <w:pPr>
        <w:pStyle w:val="a5"/>
      </w:pPr>
      <w:r>
        <w:rPr>
          <w:rStyle w:val="a7"/>
        </w:rPr>
        <w:footnoteRef/>
      </w:r>
      <w:r>
        <w:rPr>
          <w:rtl/>
        </w:rPr>
        <w:t xml:space="preserve"> </w:t>
      </w:r>
      <w:r>
        <w:rPr>
          <w:rFonts w:hint="cs"/>
          <w:rtl/>
        </w:rPr>
        <w:t>"</w:t>
      </w:r>
      <w:r w:rsidRPr="00AC0F7A">
        <w:rPr>
          <w:rtl/>
        </w:rPr>
        <w:t>וכפר אהרן על קרנתיו אחת בשנה</w:t>
      </w:r>
      <w:r>
        <w:rPr>
          <w:rFonts w:hint="cs"/>
          <w:rtl/>
        </w:rPr>
        <w:t>,</w:t>
      </w:r>
      <w:r w:rsidRPr="00AC0F7A">
        <w:rPr>
          <w:rtl/>
        </w:rPr>
        <w:t xml:space="preserve"> מדם חטאת הכפרים אחת בשנה יכפר עליו לדרתיכם קדש קדשים הוא לה'</w:t>
      </w:r>
      <w:r>
        <w:rPr>
          <w:rFonts w:hint="cs"/>
          <w:rtl/>
        </w:rPr>
        <w:t xml:space="preserve">" </w:t>
      </w:r>
      <w:r>
        <w:rPr>
          <w:rFonts w:hint="cs"/>
          <w:sz w:val="16"/>
          <w:szCs w:val="16"/>
          <w:rtl/>
        </w:rPr>
        <w:t>[שמות ל, י]</w:t>
      </w:r>
      <w:r>
        <w:rPr>
          <w:rFonts w:hint="cs"/>
          <w:rtl/>
        </w:rPr>
        <w:t>;</w:t>
      </w:r>
      <w:r w:rsidRPr="00AC0F7A">
        <w:rPr>
          <w:rtl/>
        </w:rPr>
        <w:t xml:space="preserve"> </w:t>
      </w:r>
      <w:r>
        <w:rPr>
          <w:rFonts w:hint="cs"/>
          <w:rtl/>
        </w:rPr>
        <w:t>"</w:t>
      </w:r>
      <w:r w:rsidRPr="00AC0F7A">
        <w:rPr>
          <w:rtl/>
        </w:rPr>
        <w:t>וכפר על הקדש מטמאת בני ישראל ומפשעיהם לכל חטאתם</w:t>
      </w:r>
      <w:r>
        <w:rPr>
          <w:rFonts w:hint="cs"/>
          <w:rtl/>
        </w:rPr>
        <w:t>,</w:t>
      </w:r>
      <w:r w:rsidRPr="00AC0F7A">
        <w:rPr>
          <w:rtl/>
        </w:rPr>
        <w:t xml:space="preserve"> וכן יעשה לאהל מועד השכן אתם בתוך טמאתם</w:t>
      </w:r>
      <w:r>
        <w:rPr>
          <w:rFonts w:hint="cs"/>
          <w:rtl/>
        </w:rPr>
        <w:t xml:space="preserve">" </w:t>
      </w:r>
      <w:r>
        <w:rPr>
          <w:rFonts w:hint="cs"/>
          <w:sz w:val="16"/>
          <w:szCs w:val="16"/>
          <w:rtl/>
        </w:rPr>
        <w:t>[ויקרא טז, טז]</w:t>
      </w:r>
      <w:r>
        <w:rPr>
          <w:rFonts w:hint="cs"/>
          <w:rtl/>
        </w:rPr>
        <w:t>; "</w:t>
      </w:r>
      <w:r w:rsidRPr="00AC0F7A">
        <w:rPr>
          <w:rtl/>
        </w:rPr>
        <w:t>וכפר את מקדש הקדש ואת אהל מועד ואת המזבח יכפר</w:t>
      </w:r>
      <w:r>
        <w:rPr>
          <w:rFonts w:hint="cs"/>
          <w:rtl/>
        </w:rPr>
        <w:t>,</w:t>
      </w:r>
      <w:r w:rsidRPr="00AC0F7A">
        <w:rPr>
          <w:rtl/>
        </w:rPr>
        <w:t xml:space="preserve"> ועל הכהנים ועל כל עם הקהל יכפר</w:t>
      </w:r>
      <w:r>
        <w:rPr>
          <w:rFonts w:hint="cs"/>
          <w:rtl/>
        </w:rPr>
        <w:t xml:space="preserve">" </w:t>
      </w:r>
      <w:r>
        <w:rPr>
          <w:rFonts w:hint="cs"/>
          <w:sz w:val="16"/>
          <w:szCs w:val="16"/>
          <w:rtl/>
        </w:rPr>
        <w:t>[שם, לג]</w:t>
      </w:r>
      <w:r>
        <w:rPr>
          <w:rFonts w:hint="cs"/>
          <w:rtl/>
        </w:rPr>
        <w:t>.</w:t>
      </w:r>
    </w:p>
  </w:footnote>
  <w:footnote w:id="3">
    <w:p w:rsidR="008F0ED9" w:rsidRDefault="008F0ED9" w:rsidP="008F0ED9">
      <w:pPr>
        <w:pStyle w:val="a5"/>
        <w:rPr>
          <w:rtl/>
        </w:rPr>
      </w:pPr>
      <w:r>
        <w:rPr>
          <w:rStyle w:val="a7"/>
        </w:rPr>
        <w:footnoteRef/>
      </w:r>
      <w:r>
        <w:rPr>
          <w:rtl/>
        </w:rPr>
        <w:t xml:space="preserve"> </w:t>
      </w:r>
      <w:r>
        <w:rPr>
          <w:rFonts w:hint="cs"/>
          <w:rtl/>
        </w:rPr>
        <w:t>הגמרא מבארת כי דברי רבי יוחנן דלעיל הם נאמרו בשם רבו, אך רבי יוחנן עצמו סבור שדרשה זו אמורה ביחס ליום הכיפורים בלבד.</w:t>
      </w:r>
    </w:p>
  </w:footnote>
  <w:footnote w:id="4">
    <w:p w:rsidR="008F0ED9" w:rsidRPr="00A050C4" w:rsidRDefault="008F0ED9" w:rsidP="008F0ED9">
      <w:pPr>
        <w:pStyle w:val="a5"/>
        <w:rPr>
          <w:rtl/>
        </w:rPr>
      </w:pPr>
      <w:r>
        <w:rPr>
          <w:rStyle w:val="a7"/>
        </w:rPr>
        <w:footnoteRef/>
      </w:r>
      <w:r>
        <w:rPr>
          <w:rtl/>
        </w:rPr>
        <w:t xml:space="preserve"> </w:t>
      </w:r>
      <w:r>
        <w:rPr>
          <w:rFonts w:hint="cs"/>
          <w:rtl/>
        </w:rPr>
        <w:t>"</w:t>
      </w:r>
      <w:r w:rsidRPr="00A050C4">
        <w:rPr>
          <w:rtl/>
        </w:rPr>
        <w:t>ואסף איש טהור את אפר הפרה והניח מחוץ למחנה במקום טהור</w:t>
      </w:r>
      <w:r>
        <w:rPr>
          <w:rFonts w:hint="cs"/>
          <w:rtl/>
        </w:rPr>
        <w:t>,</w:t>
      </w:r>
      <w:r w:rsidRPr="00A050C4">
        <w:rPr>
          <w:rtl/>
        </w:rPr>
        <w:t xml:space="preserve"> והיתה לעדת בני  ישראל למשמרת למי נדה </w:t>
      </w:r>
      <w:r w:rsidRPr="00A050C4">
        <w:rPr>
          <w:b/>
          <w:bCs/>
          <w:rtl/>
        </w:rPr>
        <w:t>חטאת הוא</w:t>
      </w:r>
      <w:r>
        <w:rPr>
          <w:rFonts w:hint="cs"/>
          <w:rtl/>
        </w:rPr>
        <w:t xml:space="preserve">" </w:t>
      </w:r>
      <w:r>
        <w:rPr>
          <w:rFonts w:hint="cs"/>
          <w:sz w:val="16"/>
          <w:szCs w:val="16"/>
          <w:rtl/>
        </w:rPr>
        <w:t>[במדבר יט, ט]</w:t>
      </w:r>
      <w:r>
        <w:rPr>
          <w:rFonts w:hint="cs"/>
          <w:rtl/>
        </w:rPr>
        <w:t>.</w:t>
      </w:r>
    </w:p>
  </w:footnote>
  <w:footnote w:id="5">
    <w:p w:rsidR="008F0ED9" w:rsidRPr="008D64E2" w:rsidRDefault="008F0ED9" w:rsidP="008F0ED9">
      <w:pPr>
        <w:pStyle w:val="a5"/>
      </w:pPr>
      <w:r>
        <w:rPr>
          <w:rStyle w:val="a7"/>
        </w:rPr>
        <w:footnoteRef/>
      </w:r>
      <w:r>
        <w:rPr>
          <w:rtl/>
        </w:rPr>
        <w:t xml:space="preserve"> </w:t>
      </w:r>
      <w:r>
        <w:rPr>
          <w:rFonts w:hint="cs"/>
          <w:rtl/>
        </w:rPr>
        <w:t xml:space="preserve">כן טוען הרב שג"ר בספרו 'שיעורים בגמרא - יומא' </w:t>
      </w:r>
      <w:r>
        <w:rPr>
          <w:rFonts w:hint="cs"/>
          <w:sz w:val="16"/>
          <w:szCs w:val="16"/>
          <w:rtl/>
        </w:rPr>
        <w:t>[</w:t>
      </w:r>
      <w:r w:rsidRPr="008D64E2">
        <w:rPr>
          <w:rFonts w:hint="cs"/>
          <w:sz w:val="16"/>
          <w:szCs w:val="16"/>
          <w:rtl/>
        </w:rPr>
        <w:t>עמ' 59]</w:t>
      </w:r>
      <w:r>
        <w:rPr>
          <w:rFonts w:hint="cs"/>
          <w:rtl/>
        </w:rPr>
        <w:t>.</w:t>
      </w:r>
    </w:p>
  </w:footnote>
  <w:footnote w:id="6">
    <w:p w:rsidR="008F0ED9" w:rsidRPr="00EB5796" w:rsidRDefault="008F0ED9" w:rsidP="008F0ED9">
      <w:pPr>
        <w:pStyle w:val="a5"/>
        <w:rPr>
          <w:color w:val="FF0000"/>
        </w:rPr>
      </w:pPr>
      <w:r>
        <w:rPr>
          <w:rStyle w:val="a7"/>
        </w:rPr>
        <w:footnoteRef/>
      </w:r>
      <w:r>
        <w:rPr>
          <w:rtl/>
        </w:rPr>
        <w:t xml:space="preserve"> </w:t>
      </w:r>
      <w:r>
        <w:rPr>
          <w:rFonts w:hint="cs"/>
          <w:rtl/>
        </w:rPr>
        <w:t xml:space="preserve">בחדושי הגרמ"ז </w:t>
      </w:r>
      <w:r>
        <w:rPr>
          <w:rFonts w:hint="cs"/>
          <w:sz w:val="16"/>
          <w:szCs w:val="16"/>
          <w:rtl/>
        </w:rPr>
        <w:t>[סי' יג]</w:t>
      </w:r>
      <w:r>
        <w:rPr>
          <w:rFonts w:hint="cs"/>
          <w:rtl/>
        </w:rPr>
        <w:t xml:space="preserve"> מובא שרבי מנחם זמבא הי"ד דן בשאלה זו, אמנם שם מובאים צדדים שונים לספק: האם החיוב הוא מחמת קדושת המקום או מחמת קדושת היום; ועי' בספר 'מבית לפרוכת' </w:t>
      </w:r>
      <w:r>
        <w:rPr>
          <w:rFonts w:hint="cs"/>
          <w:sz w:val="16"/>
          <w:szCs w:val="16"/>
          <w:rtl/>
        </w:rPr>
        <w:t>[עמ' 29-30]</w:t>
      </w:r>
      <w:r>
        <w:rPr>
          <w:rFonts w:hint="cs"/>
          <w:rtl/>
        </w:rPr>
        <w:t xml:space="preserve"> הדן בדבריו.</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D9" w:rsidRDefault="008F0ED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C9" w:rsidRDefault="0086728D" w:rsidP="0069668C">
    <w:pPr>
      <w:pStyle w:val="a8"/>
      <w:jc w:val="right"/>
    </w:pPr>
    <w:bookmarkStart w:id="0" w:name="_GoBack"/>
    <w:r>
      <w:rPr>
        <w:rFonts w:hint="cs"/>
        <w:rtl/>
      </w:rPr>
      <w:t xml:space="preserve">יסודות יומא </w:t>
    </w:r>
    <w:r>
      <w:rPr>
        <w:rtl/>
      </w:rPr>
      <w:t>–</w:t>
    </w:r>
    <w:r>
      <w:rPr>
        <w:rFonts w:hint="cs"/>
        <w:rtl/>
      </w:rPr>
      <w:t xml:space="preserve"> שיעור 2</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D9" w:rsidRDefault="008F0E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D9"/>
    <w:rsid w:val="001877B4"/>
    <w:rsid w:val="00212E39"/>
    <w:rsid w:val="0086728D"/>
    <w:rsid w:val="008F0ED9"/>
    <w:rsid w:val="00BF712B"/>
    <w:rsid w:val="00E82B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BAAE9-5072-4D1C-AE92-92625B19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D9"/>
    <w:pPr>
      <w:spacing w:after="160" w:line="259" w:lineRule="auto"/>
    </w:pPr>
    <w:rPr>
      <w:rFonts w:cs="Narkisi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212E39"/>
    <w:pPr>
      <w:spacing w:before="120" w:after="120" w:line="276" w:lineRule="auto"/>
    </w:pPr>
    <w:rPr>
      <w:rFonts w:cs="FrankRuehl"/>
      <w:i/>
    </w:rPr>
  </w:style>
  <w:style w:type="character" w:customStyle="1" w:styleId="a4">
    <w:name w:val="ציטוט תו"/>
    <w:basedOn w:val="a0"/>
    <w:link w:val="a3"/>
    <w:uiPriority w:val="29"/>
    <w:rsid w:val="00212E39"/>
    <w:rPr>
      <w:rFonts w:cs="FrankRuehl"/>
      <w:i/>
      <w:szCs w:val="24"/>
    </w:rPr>
  </w:style>
  <w:style w:type="paragraph" w:styleId="a5">
    <w:name w:val="footnote text"/>
    <w:basedOn w:val="a"/>
    <w:link w:val="a6"/>
    <w:uiPriority w:val="99"/>
    <w:unhideWhenUsed/>
    <w:rsid w:val="008F0ED9"/>
    <w:pPr>
      <w:spacing w:after="0" w:line="240" w:lineRule="auto"/>
    </w:pPr>
    <w:rPr>
      <w:sz w:val="20"/>
      <w:szCs w:val="20"/>
    </w:rPr>
  </w:style>
  <w:style w:type="character" w:customStyle="1" w:styleId="a6">
    <w:name w:val="טקסט הערת שוליים תו"/>
    <w:basedOn w:val="a0"/>
    <w:link w:val="a5"/>
    <w:uiPriority w:val="99"/>
    <w:rsid w:val="008F0ED9"/>
    <w:rPr>
      <w:rFonts w:cs="Narkisim"/>
      <w:sz w:val="20"/>
      <w:szCs w:val="20"/>
    </w:rPr>
  </w:style>
  <w:style w:type="character" w:styleId="a7">
    <w:name w:val="footnote reference"/>
    <w:basedOn w:val="a0"/>
    <w:uiPriority w:val="99"/>
    <w:semiHidden/>
    <w:unhideWhenUsed/>
    <w:rsid w:val="008F0ED9"/>
    <w:rPr>
      <w:vertAlign w:val="superscript"/>
    </w:rPr>
  </w:style>
  <w:style w:type="character" w:styleId="Hyperlink">
    <w:name w:val="Hyperlink"/>
    <w:basedOn w:val="a0"/>
    <w:uiPriority w:val="99"/>
    <w:unhideWhenUsed/>
    <w:rsid w:val="008F0ED9"/>
    <w:rPr>
      <w:color w:val="0563C1" w:themeColor="hyperlink"/>
      <w:u w:val="single"/>
    </w:rPr>
  </w:style>
  <w:style w:type="paragraph" w:styleId="a8">
    <w:name w:val="header"/>
    <w:basedOn w:val="a"/>
    <w:link w:val="a9"/>
    <w:uiPriority w:val="99"/>
    <w:unhideWhenUsed/>
    <w:rsid w:val="008F0ED9"/>
    <w:pPr>
      <w:tabs>
        <w:tab w:val="center" w:pos="4153"/>
        <w:tab w:val="right" w:pos="8306"/>
      </w:tabs>
      <w:spacing w:after="0" w:line="240" w:lineRule="auto"/>
    </w:pPr>
  </w:style>
  <w:style w:type="character" w:customStyle="1" w:styleId="a9">
    <w:name w:val="כותרת עליונה תו"/>
    <w:basedOn w:val="a0"/>
    <w:link w:val="a8"/>
    <w:uiPriority w:val="99"/>
    <w:rsid w:val="008F0ED9"/>
    <w:rPr>
      <w:rFonts w:cs="Narkisim"/>
    </w:rPr>
  </w:style>
  <w:style w:type="paragraph" w:styleId="aa">
    <w:name w:val="footer"/>
    <w:basedOn w:val="a"/>
    <w:link w:val="ab"/>
    <w:uiPriority w:val="99"/>
    <w:unhideWhenUsed/>
    <w:rsid w:val="008F0ED9"/>
    <w:pPr>
      <w:tabs>
        <w:tab w:val="center" w:pos="4153"/>
        <w:tab w:val="right" w:pos="8306"/>
      </w:tabs>
      <w:spacing w:after="0" w:line="240" w:lineRule="auto"/>
    </w:pPr>
  </w:style>
  <w:style w:type="character" w:customStyle="1" w:styleId="ab">
    <w:name w:val="כותרת תחתונה תו"/>
    <w:basedOn w:val="a0"/>
    <w:link w:val="aa"/>
    <w:uiPriority w:val="99"/>
    <w:rsid w:val="008F0ED9"/>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hlomo26@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hat.whatsapp.com/JIeMBCaAu4f5azSRls02za" TargetMode="External"/><Relationship Id="rId1" Type="http://schemas.openxmlformats.org/officeDocument/2006/relationships/hyperlink" Target="mailto:yesodot.eruvin@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2193</Words>
  <Characters>10969</Characters>
  <Application>Microsoft Office Word</Application>
  <DocSecurity>0</DocSecurity>
  <Lines>91</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2021-04-19T18:28:00Z</dcterms:created>
  <dcterms:modified xsi:type="dcterms:W3CDTF">2021-04-19T18:30:00Z</dcterms:modified>
</cp:coreProperties>
</file>