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EDAC7" w14:textId="2D331876" w:rsidR="00BA1755" w:rsidRPr="00C75DD7" w:rsidRDefault="00BA1755" w:rsidP="00C75DD7">
      <w:pPr>
        <w:pStyle w:val="NormalWeb"/>
        <w:shd w:val="clear" w:color="auto" w:fill="FFFFFF"/>
        <w:bidi/>
        <w:spacing w:before="240" w:beforeAutospacing="0" w:after="0" w:afterAutospacing="0" w:line="360" w:lineRule="auto"/>
        <w:jc w:val="center"/>
        <w:rPr>
          <w:sz w:val="28"/>
          <w:szCs w:val="28"/>
        </w:rPr>
      </w:pPr>
      <w:r w:rsidRPr="00C75DD7">
        <w:rPr>
          <w:rFonts w:ascii="David" w:hAnsi="David" w:cs="David"/>
          <w:b/>
          <w:bCs/>
          <w:color w:val="000000"/>
          <w:sz w:val="28"/>
          <w:szCs w:val="28"/>
          <w:rtl/>
        </w:rPr>
        <w:t xml:space="preserve">דף י – האם לשכת </w:t>
      </w:r>
      <w:proofErr w:type="spellStart"/>
      <w:r w:rsidRPr="00C75DD7">
        <w:rPr>
          <w:rFonts w:ascii="David" w:hAnsi="David" w:cs="David"/>
          <w:b/>
          <w:bCs/>
          <w:color w:val="000000"/>
          <w:sz w:val="28"/>
          <w:szCs w:val="28"/>
          <w:rtl/>
        </w:rPr>
        <w:t>פרהדרין</w:t>
      </w:r>
      <w:proofErr w:type="spellEnd"/>
      <w:r w:rsidRPr="00C75DD7">
        <w:rPr>
          <w:rFonts w:ascii="David" w:hAnsi="David" w:cs="David"/>
          <w:b/>
          <w:bCs/>
          <w:color w:val="000000"/>
          <w:sz w:val="28"/>
          <w:szCs w:val="28"/>
          <w:rtl/>
        </w:rPr>
        <w:t xml:space="preserve"> חייבת במזוזה</w:t>
      </w:r>
    </w:p>
    <w:p w14:paraId="082D3DCB" w14:textId="6657BC88"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 xml:space="preserve">1.   </w:t>
      </w:r>
      <w:r>
        <w:rPr>
          <w:rFonts w:ascii="David" w:hAnsi="David" w:cs="David"/>
          <w:b/>
          <w:bCs/>
          <w:color w:val="000000"/>
          <w:rtl/>
        </w:rPr>
        <w:t xml:space="preserve">לדעת רבי יהודה ורבי: </w:t>
      </w:r>
      <w:r>
        <w:rPr>
          <w:rFonts w:ascii="David" w:hAnsi="David" w:cs="David"/>
          <w:color w:val="000000"/>
          <w:rtl/>
        </w:rPr>
        <w:t xml:space="preserve">עתידה רומי </w:t>
      </w:r>
      <w:proofErr w:type="spellStart"/>
      <w:r>
        <w:rPr>
          <w:rFonts w:ascii="David" w:hAnsi="David" w:cs="David"/>
          <w:color w:val="000000"/>
          <w:rtl/>
        </w:rPr>
        <w:t>שתפול</w:t>
      </w:r>
      <w:proofErr w:type="spellEnd"/>
      <w:r>
        <w:rPr>
          <w:rFonts w:ascii="David" w:hAnsi="David" w:cs="David"/>
          <w:color w:val="000000"/>
          <w:rtl/>
        </w:rPr>
        <w:t xml:space="preserve"> ביד פרס. </w:t>
      </w:r>
      <w:r>
        <w:rPr>
          <w:rFonts w:ascii="David" w:hAnsi="David" w:cs="David"/>
          <w:b/>
          <w:bCs/>
          <w:color w:val="000000"/>
          <w:rtl/>
        </w:rPr>
        <w:t>לדעת ברייתא אחרת ודעת רב</w:t>
      </w:r>
      <w:r>
        <w:rPr>
          <w:rFonts w:ascii="David" w:hAnsi="David" w:cs="David"/>
          <w:color w:val="000000"/>
          <w:rtl/>
        </w:rPr>
        <w:t>: פרס תיפול ביד רומי. אף שפרס בנו את המקדש ורומי הרסו את המקדש כך גזירת מלך. ועוד שהפרסים גם שרפו בתי כנסיות.</w:t>
      </w:r>
    </w:p>
    <w:p w14:paraId="4AA84D8B" w14:textId="49B7AA0B"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 xml:space="preserve">2.   </w:t>
      </w:r>
      <w:r>
        <w:rPr>
          <w:rFonts w:ascii="David" w:hAnsi="David" w:cs="David"/>
          <w:b/>
          <w:bCs/>
          <w:color w:val="000000"/>
          <w:rtl/>
        </w:rPr>
        <w:t>לדעת חכמים</w:t>
      </w:r>
      <w:r>
        <w:rPr>
          <w:rFonts w:ascii="David" w:hAnsi="David" w:cs="David"/>
          <w:color w:val="000000"/>
          <w:rtl/>
        </w:rPr>
        <w:t xml:space="preserve"> לשכת </w:t>
      </w:r>
      <w:proofErr w:type="spellStart"/>
      <w:r>
        <w:rPr>
          <w:rFonts w:ascii="David" w:hAnsi="David" w:cs="David"/>
          <w:color w:val="000000"/>
          <w:rtl/>
        </w:rPr>
        <w:t>פרהדרין</w:t>
      </w:r>
      <w:proofErr w:type="spellEnd"/>
      <w:r>
        <w:rPr>
          <w:rFonts w:ascii="David" w:hAnsi="David" w:cs="David"/>
          <w:color w:val="000000"/>
          <w:rtl/>
        </w:rPr>
        <w:t xml:space="preserve"> חייבת במזוזה </w:t>
      </w:r>
      <w:r>
        <w:rPr>
          <w:rFonts w:ascii="David" w:hAnsi="David" w:cs="David"/>
          <w:b/>
          <w:bCs/>
          <w:color w:val="000000"/>
          <w:rtl/>
        </w:rPr>
        <w:t>ולדעת רבי יהודה</w:t>
      </w:r>
      <w:r>
        <w:rPr>
          <w:rFonts w:ascii="David" w:hAnsi="David" w:cs="David"/>
          <w:color w:val="000000"/>
          <w:rtl/>
        </w:rPr>
        <w:t xml:space="preserve"> פטורה אלא שחכמים תקנו לשים בה מזוזה כדי שלא יאמרו שהכהן הגדול חבוש בבית האסורים. לגבי חיוב מזוזה בסוכה הדעות התחלפו, </w:t>
      </w:r>
      <w:r>
        <w:rPr>
          <w:rFonts w:ascii="David" w:hAnsi="David" w:cs="David"/>
          <w:b/>
          <w:bCs/>
          <w:color w:val="000000"/>
          <w:rtl/>
        </w:rPr>
        <w:t>ולדעת רבי יהודה</w:t>
      </w:r>
      <w:r>
        <w:rPr>
          <w:rFonts w:ascii="David" w:hAnsi="David" w:cs="David"/>
          <w:color w:val="000000"/>
          <w:rtl/>
        </w:rPr>
        <w:t xml:space="preserve"> סוכה חייבת במזוזה </w:t>
      </w:r>
      <w:r>
        <w:rPr>
          <w:rFonts w:ascii="David" w:hAnsi="David" w:cs="David"/>
          <w:b/>
          <w:bCs/>
          <w:color w:val="000000"/>
          <w:rtl/>
        </w:rPr>
        <w:t>ולדעת חכמים</w:t>
      </w:r>
      <w:r>
        <w:rPr>
          <w:rFonts w:ascii="David" w:hAnsi="David" w:cs="David"/>
          <w:color w:val="000000"/>
          <w:rtl/>
        </w:rPr>
        <w:t xml:space="preserve"> סוכה  פטורה ממזוזה.</w:t>
      </w:r>
    </w:p>
    <w:p w14:paraId="35B39B33" w14:textId="7A9611FC"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3.    </w:t>
      </w:r>
      <w:r>
        <w:rPr>
          <w:rFonts w:ascii="David" w:hAnsi="David" w:cs="David"/>
          <w:b/>
          <w:bCs/>
          <w:color w:val="000000"/>
          <w:rtl/>
        </w:rPr>
        <w:t>רבא</w:t>
      </w:r>
      <w:r>
        <w:rPr>
          <w:rFonts w:ascii="David" w:hAnsi="David" w:cs="David"/>
          <w:color w:val="000000"/>
          <w:rtl/>
        </w:rPr>
        <w:t xml:space="preserve"> ביאר את המחלוקות כך (וזה מסקנת </w:t>
      </w:r>
      <w:proofErr w:type="spellStart"/>
      <w:r>
        <w:rPr>
          <w:rFonts w:ascii="David" w:hAnsi="David" w:cs="David"/>
          <w:color w:val="000000"/>
          <w:rtl/>
        </w:rPr>
        <w:t>הסוגיא</w:t>
      </w:r>
      <w:proofErr w:type="spellEnd"/>
      <w:r>
        <w:rPr>
          <w:rFonts w:ascii="David" w:hAnsi="David" w:cs="David"/>
          <w:color w:val="000000"/>
          <w:rtl/>
        </w:rPr>
        <w:t xml:space="preserve">): </w:t>
      </w:r>
      <w:r>
        <w:rPr>
          <w:rFonts w:ascii="David" w:hAnsi="David" w:cs="David"/>
          <w:b/>
          <w:bCs/>
          <w:color w:val="000000"/>
          <w:rtl/>
        </w:rPr>
        <w:t>לדעת רבי יהודה</w:t>
      </w:r>
      <w:r>
        <w:rPr>
          <w:rFonts w:ascii="David" w:hAnsi="David" w:cs="David"/>
          <w:color w:val="000000"/>
          <w:rtl/>
        </w:rPr>
        <w:t xml:space="preserve"> סוכה חייבת במזוזה משום שדירת קבע בעינן. אולם לשכת </w:t>
      </w:r>
      <w:proofErr w:type="spellStart"/>
      <w:r>
        <w:rPr>
          <w:rFonts w:ascii="David" w:hAnsi="David" w:cs="David"/>
          <w:color w:val="000000"/>
          <w:rtl/>
        </w:rPr>
        <w:t>פרהדרין</w:t>
      </w:r>
      <w:proofErr w:type="spellEnd"/>
      <w:r>
        <w:rPr>
          <w:rFonts w:ascii="David" w:hAnsi="David" w:cs="David"/>
          <w:color w:val="000000"/>
          <w:rtl/>
        </w:rPr>
        <w:t xml:space="preserve"> </w:t>
      </w:r>
      <w:proofErr w:type="spellStart"/>
      <w:r>
        <w:rPr>
          <w:rFonts w:ascii="David" w:hAnsi="David" w:cs="David"/>
          <w:color w:val="000000"/>
          <w:rtl/>
        </w:rPr>
        <w:t>היתה</w:t>
      </w:r>
      <w:proofErr w:type="spellEnd"/>
      <w:r>
        <w:rPr>
          <w:rFonts w:ascii="David" w:hAnsi="David" w:cs="David"/>
          <w:color w:val="000000"/>
          <w:rtl/>
        </w:rPr>
        <w:t xml:space="preserve"> פטורה אפילו בשבעת הימים שנמצא בה הכהן הגדול משום שדירה בעל </w:t>
      </w:r>
      <w:proofErr w:type="spellStart"/>
      <w:r>
        <w:rPr>
          <w:rFonts w:ascii="David" w:hAnsi="David" w:cs="David"/>
          <w:color w:val="000000"/>
          <w:rtl/>
        </w:rPr>
        <w:t>כרחה</w:t>
      </w:r>
      <w:proofErr w:type="spellEnd"/>
      <w:r>
        <w:rPr>
          <w:rFonts w:ascii="David" w:hAnsi="David" w:cs="David"/>
          <w:color w:val="000000"/>
          <w:rtl/>
        </w:rPr>
        <w:t xml:space="preserve"> אין שמה דירה (אלא שחכמים תקנו לשים בה מזוזה כנ"ל). </w:t>
      </w:r>
      <w:r>
        <w:rPr>
          <w:rFonts w:ascii="David" w:hAnsi="David" w:cs="David"/>
          <w:b/>
          <w:bCs/>
          <w:color w:val="000000"/>
          <w:rtl/>
        </w:rPr>
        <w:t>לדעת חכמים</w:t>
      </w:r>
      <w:r>
        <w:rPr>
          <w:rFonts w:ascii="David" w:hAnsi="David" w:cs="David"/>
          <w:color w:val="000000"/>
          <w:rtl/>
        </w:rPr>
        <w:t xml:space="preserve"> סוכה פטורה ממזוזה שדירת ארעי בעינן. אולם לשכת </w:t>
      </w:r>
      <w:proofErr w:type="spellStart"/>
      <w:r>
        <w:rPr>
          <w:rFonts w:ascii="David" w:hAnsi="David" w:cs="David"/>
          <w:color w:val="000000"/>
          <w:rtl/>
        </w:rPr>
        <w:t>פרהרין</w:t>
      </w:r>
      <w:proofErr w:type="spellEnd"/>
      <w:r>
        <w:rPr>
          <w:rFonts w:ascii="David" w:hAnsi="David" w:cs="David"/>
          <w:color w:val="000000"/>
          <w:rtl/>
        </w:rPr>
        <w:t xml:space="preserve"> </w:t>
      </w:r>
      <w:proofErr w:type="spellStart"/>
      <w:r>
        <w:rPr>
          <w:rFonts w:ascii="David" w:hAnsi="David" w:cs="David"/>
          <w:color w:val="000000"/>
          <w:rtl/>
        </w:rPr>
        <w:t>היתה</w:t>
      </w:r>
      <w:proofErr w:type="spellEnd"/>
      <w:r>
        <w:rPr>
          <w:rFonts w:ascii="David" w:hAnsi="David" w:cs="David"/>
          <w:color w:val="000000"/>
          <w:rtl/>
        </w:rPr>
        <w:t xml:space="preserve"> חייבת משום שדירה בעל </w:t>
      </w:r>
      <w:proofErr w:type="spellStart"/>
      <w:r>
        <w:rPr>
          <w:rFonts w:ascii="David" w:hAnsi="David" w:cs="David"/>
          <w:color w:val="000000"/>
          <w:rtl/>
        </w:rPr>
        <w:t>כרחה</w:t>
      </w:r>
      <w:proofErr w:type="spellEnd"/>
      <w:r>
        <w:rPr>
          <w:rFonts w:ascii="David" w:hAnsi="David" w:cs="David"/>
          <w:color w:val="000000"/>
          <w:rtl/>
        </w:rPr>
        <w:t xml:space="preserve"> שמה דירה.</w:t>
      </w:r>
    </w:p>
    <w:p w14:paraId="6A3CFA56" w14:textId="77777777" w:rsidR="007579DA" w:rsidRDefault="007579DA" w:rsidP="00C75DD7">
      <w:pPr>
        <w:pStyle w:val="NormalWeb"/>
        <w:shd w:val="clear" w:color="auto" w:fill="FFFFFF"/>
        <w:bidi/>
        <w:spacing w:before="0" w:beforeAutospacing="0" w:after="0" w:afterAutospacing="0" w:line="360" w:lineRule="auto"/>
        <w:ind w:hanging="360"/>
        <w:rPr>
          <w:rtl/>
        </w:rPr>
      </w:pPr>
    </w:p>
    <w:p w14:paraId="4655B4DD" w14:textId="77777777" w:rsidR="00BA1755" w:rsidRPr="00C75DD7" w:rsidRDefault="00BA1755" w:rsidP="00C75DD7">
      <w:pPr>
        <w:pStyle w:val="NormalWeb"/>
        <w:shd w:val="clear" w:color="auto" w:fill="FFFFFF"/>
        <w:bidi/>
        <w:spacing w:before="0" w:beforeAutospacing="0" w:after="0" w:afterAutospacing="0" w:line="360" w:lineRule="auto"/>
        <w:jc w:val="center"/>
        <w:rPr>
          <w:sz w:val="28"/>
          <w:szCs w:val="28"/>
          <w:rtl/>
        </w:rPr>
      </w:pPr>
      <w:r w:rsidRPr="00C75DD7">
        <w:rPr>
          <w:rFonts w:ascii="David" w:hAnsi="David" w:cs="David"/>
          <w:b/>
          <w:bCs/>
          <w:color w:val="000000"/>
          <w:sz w:val="28"/>
          <w:szCs w:val="28"/>
          <w:rtl/>
        </w:rPr>
        <w:t>דף יא – הלכות מזוזה</w:t>
      </w:r>
    </w:p>
    <w:p w14:paraId="61086B1C"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 xml:space="preserve">1. </w:t>
      </w:r>
      <w:r>
        <w:rPr>
          <w:rStyle w:val="apple-tab-span"/>
          <w:rFonts w:ascii="David" w:hAnsi="David" w:cs="David"/>
          <w:color w:val="000000"/>
          <w:rtl/>
        </w:rPr>
        <w:tab/>
      </w:r>
      <w:r>
        <w:rPr>
          <w:rFonts w:ascii="David" w:hAnsi="David" w:cs="David"/>
          <w:color w:val="000000"/>
          <w:rtl/>
        </w:rPr>
        <w:t xml:space="preserve">אחד שערי בתים ואחד שערי </w:t>
      </w:r>
      <w:proofErr w:type="spellStart"/>
      <w:r>
        <w:rPr>
          <w:rFonts w:ascii="David" w:hAnsi="David" w:cs="David"/>
          <w:color w:val="000000"/>
          <w:rtl/>
        </w:rPr>
        <w:t>חצירות</w:t>
      </w:r>
      <w:proofErr w:type="spellEnd"/>
      <w:r>
        <w:rPr>
          <w:rFonts w:ascii="David" w:hAnsi="David" w:cs="David"/>
          <w:color w:val="000000"/>
          <w:rtl/>
        </w:rPr>
        <w:t xml:space="preserve"> ואחד שערי מדינות ואחד שערי עיירות חייבים במזוזה שנאמר 'וכתבתם על מזוזות ביתך ובשעריך'.</w:t>
      </w:r>
    </w:p>
    <w:p w14:paraId="1B01EF6F"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 xml:space="preserve">2. </w:t>
      </w:r>
      <w:r>
        <w:rPr>
          <w:rStyle w:val="apple-tab-span"/>
          <w:rFonts w:ascii="David" w:hAnsi="David" w:cs="David"/>
          <w:color w:val="000000"/>
          <w:rtl/>
        </w:rPr>
        <w:tab/>
      </w:r>
      <w:r>
        <w:rPr>
          <w:rFonts w:ascii="David" w:hAnsi="David" w:cs="David"/>
          <w:color w:val="000000"/>
          <w:rtl/>
        </w:rPr>
        <w:t xml:space="preserve">בשערי </w:t>
      </w:r>
      <w:proofErr w:type="spellStart"/>
      <w:r>
        <w:rPr>
          <w:rFonts w:ascii="David" w:hAnsi="David" w:cs="David"/>
          <w:color w:val="000000"/>
          <w:rtl/>
        </w:rPr>
        <w:t>מחוזא</w:t>
      </w:r>
      <w:proofErr w:type="spellEnd"/>
      <w:r>
        <w:rPr>
          <w:rFonts w:ascii="David" w:hAnsi="David" w:cs="David"/>
          <w:color w:val="000000"/>
          <w:rtl/>
        </w:rPr>
        <w:t xml:space="preserve"> אף שרוב תושביה יהודים לא עשו מזוזה משום שהיה חשש סכנה כי הגויים חשבו שהיהודים עושים כשפים. אף ששלוחי מצוה אינם </w:t>
      </w:r>
      <w:proofErr w:type="spellStart"/>
      <w:r>
        <w:rPr>
          <w:rFonts w:ascii="David" w:hAnsi="David" w:cs="David"/>
          <w:color w:val="000000"/>
          <w:rtl/>
        </w:rPr>
        <w:t>ניזוקין</w:t>
      </w:r>
      <w:proofErr w:type="spellEnd"/>
      <w:r>
        <w:rPr>
          <w:rFonts w:ascii="David" w:hAnsi="David" w:cs="David"/>
          <w:color w:val="000000"/>
          <w:rtl/>
        </w:rPr>
        <w:t xml:space="preserve"> אבל </w:t>
      </w:r>
      <w:proofErr w:type="spellStart"/>
      <w:r>
        <w:rPr>
          <w:rFonts w:ascii="David" w:hAnsi="David" w:cs="David"/>
          <w:color w:val="000000"/>
          <w:rtl/>
        </w:rPr>
        <w:t>בקביע</w:t>
      </w:r>
      <w:proofErr w:type="spellEnd"/>
      <w:r>
        <w:rPr>
          <w:rFonts w:ascii="David" w:hAnsi="David" w:cs="David"/>
          <w:color w:val="000000"/>
          <w:rtl/>
        </w:rPr>
        <w:t xml:space="preserve"> </w:t>
      </w:r>
      <w:proofErr w:type="spellStart"/>
      <w:r>
        <w:rPr>
          <w:rFonts w:ascii="David" w:hAnsi="David" w:cs="David"/>
          <w:color w:val="000000"/>
          <w:rtl/>
        </w:rPr>
        <w:t>היזקא</w:t>
      </w:r>
      <w:proofErr w:type="spellEnd"/>
      <w:r>
        <w:rPr>
          <w:rFonts w:ascii="David" w:hAnsi="David" w:cs="David"/>
          <w:color w:val="000000"/>
          <w:rtl/>
        </w:rPr>
        <w:t xml:space="preserve"> שאני.@</w:t>
      </w:r>
      <w:r>
        <w:rPr>
          <w:rFonts w:ascii="David" w:hAnsi="David" w:cs="David"/>
          <w:color w:val="000000"/>
        </w:rPr>
        <w:t>ZQZ</w:t>
      </w:r>
    </w:p>
    <w:p w14:paraId="344B3C22"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 xml:space="preserve">3. </w:t>
      </w:r>
      <w:r>
        <w:rPr>
          <w:rStyle w:val="apple-tab-span"/>
          <w:rFonts w:ascii="David" w:hAnsi="David" w:cs="David"/>
          <w:color w:val="000000"/>
          <w:rtl/>
        </w:rPr>
        <w:tab/>
      </w:r>
      <w:r>
        <w:rPr>
          <w:rFonts w:ascii="David" w:hAnsi="David" w:cs="David"/>
          <w:b/>
          <w:bCs/>
          <w:color w:val="000000"/>
          <w:rtl/>
        </w:rPr>
        <w:t>לדעת רב כהנא:</w:t>
      </w:r>
      <w:r>
        <w:rPr>
          <w:rFonts w:ascii="David" w:hAnsi="David" w:cs="David"/>
          <w:color w:val="000000"/>
          <w:rtl/>
        </w:rPr>
        <w:t xml:space="preserve"> נחלקו </w:t>
      </w:r>
      <w:proofErr w:type="spellStart"/>
      <w:r>
        <w:rPr>
          <w:rFonts w:ascii="David" w:hAnsi="David" w:cs="David"/>
          <w:color w:val="000000"/>
          <w:rtl/>
        </w:rPr>
        <w:t>הברייתות</w:t>
      </w:r>
      <w:proofErr w:type="spellEnd"/>
      <w:r>
        <w:rPr>
          <w:rFonts w:ascii="David" w:hAnsi="David" w:cs="David"/>
          <w:color w:val="000000"/>
          <w:rtl/>
        </w:rPr>
        <w:t xml:space="preserve"> אם בית התבן בית הבקר בית העצים ובית האוצרות חייבים במזוזה. אם נשים מתקשטות בהם לכולי עלמא חייבים במזוזה. אם נשים מתרחצות בהם לכולי עלמא הם פטורים.   </w:t>
      </w:r>
    </w:p>
    <w:p w14:paraId="454EB0C7"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 xml:space="preserve">4. </w:t>
      </w:r>
      <w:r>
        <w:rPr>
          <w:rStyle w:val="apple-tab-span"/>
          <w:rFonts w:ascii="David" w:hAnsi="David" w:cs="David"/>
          <w:color w:val="000000"/>
          <w:rtl/>
        </w:rPr>
        <w:tab/>
      </w:r>
      <w:r>
        <w:rPr>
          <w:rFonts w:ascii="David" w:hAnsi="David" w:cs="David"/>
          <w:b/>
          <w:bCs/>
          <w:color w:val="000000"/>
          <w:rtl/>
        </w:rPr>
        <w:t>לדעת רב יהודה:</w:t>
      </w:r>
      <w:r>
        <w:rPr>
          <w:rFonts w:ascii="David" w:hAnsi="David" w:cs="David"/>
          <w:color w:val="000000"/>
          <w:rtl/>
        </w:rPr>
        <w:t xml:space="preserve"> בית התבן בית הבקר בית העצים ובית האוצרות פטורים ממזוזה. אם נשים מתקשטות בהם נחלקו </w:t>
      </w:r>
      <w:proofErr w:type="spellStart"/>
      <w:r>
        <w:rPr>
          <w:rFonts w:ascii="David" w:hAnsi="David" w:cs="David"/>
          <w:color w:val="000000"/>
          <w:rtl/>
        </w:rPr>
        <w:t>הברייתות</w:t>
      </w:r>
      <w:proofErr w:type="spellEnd"/>
      <w:r>
        <w:rPr>
          <w:rFonts w:ascii="David" w:hAnsi="David" w:cs="David"/>
          <w:color w:val="000000"/>
          <w:rtl/>
        </w:rPr>
        <w:t xml:space="preserve"> אם חייבים במזוזה. מקומות מטונפים כמו בית המרחץ פטורים גם אם נשים מתקשטות בהם.</w:t>
      </w:r>
    </w:p>
    <w:p w14:paraId="76E0A69E"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 xml:space="preserve">5. </w:t>
      </w:r>
      <w:r>
        <w:rPr>
          <w:rStyle w:val="apple-tab-span"/>
          <w:rFonts w:ascii="David" w:hAnsi="David" w:cs="David"/>
          <w:color w:val="000000"/>
          <w:rtl/>
        </w:rPr>
        <w:tab/>
      </w:r>
      <w:r>
        <w:rPr>
          <w:rFonts w:ascii="David" w:hAnsi="David" w:cs="David"/>
          <w:color w:val="000000"/>
          <w:rtl/>
        </w:rPr>
        <w:t xml:space="preserve">בית </w:t>
      </w:r>
      <w:proofErr w:type="spellStart"/>
      <w:r>
        <w:rPr>
          <w:rFonts w:ascii="David" w:hAnsi="David" w:cs="David"/>
          <w:color w:val="000000"/>
          <w:rtl/>
        </w:rPr>
        <w:t>הכסא</w:t>
      </w:r>
      <w:proofErr w:type="spellEnd"/>
      <w:r>
        <w:rPr>
          <w:rFonts w:ascii="David" w:hAnsi="David" w:cs="David"/>
          <w:color w:val="000000"/>
          <w:rtl/>
        </w:rPr>
        <w:t xml:space="preserve"> ובית הבורסקי ובית המרחץ ובית הטבילה פטורים ממזוזה משום שנאמר 'ביתך', ומכאן שרק מקום העשוי לכבוד כמו בית חייב במזוזה.</w:t>
      </w:r>
    </w:p>
    <w:p w14:paraId="236503EB"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 xml:space="preserve">6. </w:t>
      </w:r>
      <w:r>
        <w:rPr>
          <w:rStyle w:val="apple-tab-span"/>
          <w:rFonts w:ascii="David" w:hAnsi="David" w:cs="David"/>
          <w:color w:val="000000"/>
          <w:rtl/>
        </w:rPr>
        <w:tab/>
      </w:r>
      <w:r>
        <w:rPr>
          <w:rFonts w:ascii="David" w:hAnsi="David" w:cs="David"/>
          <w:color w:val="000000"/>
          <w:rtl/>
        </w:rPr>
        <w:t>מוכח כשיטת רב כהנא שיש דעה בתנאים שמחייבת מזוזה בכל אלו בסתם, אף כאשר לא מתקשטים בהם.</w:t>
      </w:r>
    </w:p>
    <w:p w14:paraId="75542669"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 xml:space="preserve">7. </w:t>
      </w:r>
      <w:r>
        <w:rPr>
          <w:rStyle w:val="apple-tab-span"/>
          <w:rFonts w:ascii="David" w:hAnsi="David" w:cs="David"/>
          <w:color w:val="000000"/>
          <w:rtl/>
        </w:rPr>
        <w:tab/>
      </w:r>
      <w:r>
        <w:rPr>
          <w:rFonts w:ascii="David" w:hAnsi="David" w:cs="David"/>
          <w:color w:val="000000"/>
          <w:rtl/>
        </w:rPr>
        <w:t>הר הבית הלשכות והעזרות פטורים משום שהם קודש ורק מקום שהוא חול כמו 'בית' חייב.</w:t>
      </w:r>
    </w:p>
    <w:p w14:paraId="38527465"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 xml:space="preserve">8. </w:t>
      </w:r>
      <w:r>
        <w:rPr>
          <w:rStyle w:val="apple-tab-span"/>
          <w:rFonts w:ascii="David" w:hAnsi="David" w:cs="David"/>
          <w:color w:val="000000"/>
          <w:rtl/>
        </w:rPr>
        <w:tab/>
      </w:r>
      <w:r>
        <w:rPr>
          <w:rFonts w:ascii="David" w:hAnsi="David" w:cs="David"/>
          <w:color w:val="000000"/>
          <w:rtl/>
        </w:rPr>
        <w:t>שער שפרוץ למעלה בלי כיסוי פטור ממזוזה.</w:t>
      </w:r>
    </w:p>
    <w:p w14:paraId="4E48100C"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 xml:space="preserve">9. </w:t>
      </w:r>
      <w:r>
        <w:rPr>
          <w:rStyle w:val="apple-tab-span"/>
          <w:rFonts w:ascii="David" w:hAnsi="David" w:cs="David"/>
          <w:color w:val="000000"/>
          <w:rtl/>
        </w:rPr>
        <w:tab/>
      </w:r>
      <w:r>
        <w:rPr>
          <w:rFonts w:ascii="David" w:hAnsi="David" w:cs="David"/>
          <w:b/>
          <w:bCs/>
          <w:color w:val="000000"/>
          <w:rtl/>
        </w:rPr>
        <w:t xml:space="preserve">שער שעשוי כקשת: א. </w:t>
      </w:r>
      <w:r>
        <w:rPr>
          <w:rFonts w:ascii="David" w:hAnsi="David" w:cs="David"/>
          <w:color w:val="000000"/>
          <w:rtl/>
        </w:rPr>
        <w:t xml:space="preserve">אם יש גובה עשרה טפחים ורוחב ארבעה לפני שמתעגל לכולי עלמא חייב במזוזה. </w:t>
      </w:r>
      <w:r>
        <w:rPr>
          <w:rFonts w:ascii="David" w:hAnsi="David" w:cs="David"/>
          <w:b/>
          <w:bCs/>
          <w:color w:val="000000"/>
          <w:rtl/>
        </w:rPr>
        <w:t xml:space="preserve">ב. </w:t>
      </w:r>
      <w:r>
        <w:rPr>
          <w:rFonts w:ascii="David" w:hAnsi="David" w:cs="David"/>
          <w:color w:val="000000"/>
          <w:rtl/>
        </w:rPr>
        <w:t xml:space="preserve">אם אין לה גובה עשרה טפחים, או שאין עד גובה שלשה טפחים רוחב ארבעה טפחים לכולי עלמא פטורה. </w:t>
      </w:r>
      <w:r>
        <w:rPr>
          <w:rFonts w:ascii="David" w:hAnsi="David" w:cs="David"/>
          <w:b/>
          <w:bCs/>
          <w:color w:val="000000"/>
          <w:rtl/>
        </w:rPr>
        <w:t xml:space="preserve">ג. </w:t>
      </w:r>
      <w:r>
        <w:rPr>
          <w:rFonts w:ascii="David" w:hAnsi="David" w:cs="David"/>
          <w:color w:val="000000"/>
          <w:rtl/>
        </w:rPr>
        <w:t xml:space="preserve">אם יש לה גובה עשרה טפחים ועד גובה שלשה טפחים יש בה רוחב ארבעה טפחים לפני שמתחילה להתעגל: </w:t>
      </w:r>
      <w:r>
        <w:rPr>
          <w:rFonts w:ascii="David" w:hAnsi="David" w:cs="David"/>
          <w:b/>
          <w:bCs/>
          <w:color w:val="000000"/>
          <w:rtl/>
        </w:rPr>
        <w:t>לדעת רבי מאיר</w:t>
      </w:r>
      <w:r>
        <w:rPr>
          <w:rFonts w:ascii="David" w:hAnsi="David" w:cs="David"/>
          <w:color w:val="000000"/>
          <w:rtl/>
        </w:rPr>
        <w:t xml:space="preserve"> חייב במזוזה </w:t>
      </w:r>
      <w:proofErr w:type="spellStart"/>
      <w:r>
        <w:rPr>
          <w:rFonts w:ascii="David" w:hAnsi="David" w:cs="David"/>
          <w:color w:val="000000"/>
          <w:rtl/>
        </w:rPr>
        <w:t>שחוקקין</w:t>
      </w:r>
      <w:proofErr w:type="spellEnd"/>
      <w:r>
        <w:rPr>
          <w:rFonts w:ascii="David" w:hAnsi="David" w:cs="David"/>
          <w:color w:val="000000"/>
          <w:rtl/>
        </w:rPr>
        <w:t xml:space="preserve"> להשלים. </w:t>
      </w:r>
      <w:r>
        <w:rPr>
          <w:rFonts w:ascii="David" w:hAnsi="David" w:cs="David"/>
          <w:b/>
          <w:bCs/>
          <w:color w:val="000000"/>
          <w:rtl/>
        </w:rPr>
        <w:t>לדעת חכמים</w:t>
      </w:r>
      <w:r>
        <w:rPr>
          <w:rFonts w:ascii="David" w:hAnsi="David" w:cs="David"/>
          <w:color w:val="000000"/>
          <w:rtl/>
        </w:rPr>
        <w:t xml:space="preserve"> פטורה משום שאין חוקקין להשלים.</w:t>
      </w:r>
    </w:p>
    <w:p w14:paraId="3D9C6F88"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10.  המזוזה צריכה להיות בצד ימין של הנכנס שנאמר 'ביתך' - דרך ביאתך לבית, ואדם עוקר רגל ימין לפני רגל שמאל.</w:t>
      </w:r>
    </w:p>
    <w:p w14:paraId="356F7FB6"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 xml:space="preserve">11.  בית </w:t>
      </w:r>
      <w:proofErr w:type="spellStart"/>
      <w:r>
        <w:rPr>
          <w:rFonts w:ascii="David" w:hAnsi="David" w:cs="David"/>
          <w:color w:val="000000"/>
          <w:rtl/>
        </w:rPr>
        <w:t>האשה</w:t>
      </w:r>
      <w:proofErr w:type="spellEnd"/>
      <w:r>
        <w:rPr>
          <w:rFonts w:ascii="David" w:hAnsi="David" w:cs="David"/>
          <w:color w:val="000000"/>
          <w:rtl/>
        </w:rPr>
        <w:t xml:space="preserve"> ובית </w:t>
      </w:r>
      <w:proofErr w:type="spellStart"/>
      <w:r>
        <w:rPr>
          <w:rFonts w:ascii="David" w:hAnsi="David" w:cs="David"/>
          <w:color w:val="000000"/>
          <w:rtl/>
        </w:rPr>
        <w:t>השותפין</w:t>
      </w:r>
      <w:proofErr w:type="spellEnd"/>
      <w:r>
        <w:rPr>
          <w:rFonts w:ascii="David" w:hAnsi="David" w:cs="David"/>
          <w:color w:val="000000"/>
          <w:rtl/>
        </w:rPr>
        <w:t xml:space="preserve"> חייבים במזוזה.</w:t>
      </w:r>
    </w:p>
    <w:p w14:paraId="118331A7"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lastRenderedPageBreak/>
        <w:t xml:space="preserve">12.  </w:t>
      </w:r>
      <w:r>
        <w:rPr>
          <w:rFonts w:ascii="David" w:hAnsi="David" w:cs="David"/>
          <w:b/>
          <w:bCs/>
          <w:color w:val="000000"/>
          <w:rtl/>
        </w:rPr>
        <w:t>בית הכנסת:</w:t>
      </w:r>
      <w:r>
        <w:rPr>
          <w:rFonts w:ascii="David" w:hAnsi="David" w:cs="David"/>
          <w:color w:val="000000"/>
          <w:rtl/>
        </w:rPr>
        <w:t xml:space="preserve"> אם יש בה בית דירה לחזן - לכולי עלמא חייבת במזוזה. אם אין בה בית דירה - </w:t>
      </w:r>
      <w:r>
        <w:rPr>
          <w:rFonts w:ascii="David" w:hAnsi="David" w:cs="David"/>
          <w:b/>
          <w:bCs/>
          <w:color w:val="000000"/>
          <w:rtl/>
        </w:rPr>
        <w:t>רבי מאיר</w:t>
      </w:r>
      <w:r>
        <w:rPr>
          <w:rFonts w:ascii="David" w:hAnsi="David" w:cs="David"/>
          <w:color w:val="000000"/>
          <w:rtl/>
        </w:rPr>
        <w:t xml:space="preserve"> מחייב </w:t>
      </w:r>
      <w:r>
        <w:rPr>
          <w:rFonts w:ascii="David" w:hAnsi="David" w:cs="David"/>
          <w:b/>
          <w:bCs/>
          <w:color w:val="000000"/>
          <w:rtl/>
        </w:rPr>
        <w:t>וחכמים</w:t>
      </w:r>
      <w:r>
        <w:rPr>
          <w:rFonts w:ascii="David" w:hAnsi="David" w:cs="David"/>
          <w:color w:val="000000"/>
          <w:rtl/>
        </w:rPr>
        <w:t xml:space="preserve"> </w:t>
      </w:r>
      <w:proofErr w:type="spellStart"/>
      <w:r>
        <w:rPr>
          <w:rFonts w:ascii="David" w:hAnsi="David" w:cs="David"/>
          <w:color w:val="000000"/>
          <w:rtl/>
        </w:rPr>
        <w:t>פוטרין</w:t>
      </w:r>
      <w:proofErr w:type="spellEnd"/>
      <w:r>
        <w:rPr>
          <w:rFonts w:ascii="David" w:hAnsi="David" w:cs="David"/>
          <w:color w:val="000000"/>
          <w:rtl/>
        </w:rPr>
        <w:t>. </w:t>
      </w:r>
    </w:p>
    <w:p w14:paraId="7114808C" w14:textId="77777777" w:rsidR="00BA1755" w:rsidRPr="00C75DD7" w:rsidRDefault="00BA1755" w:rsidP="00C75DD7">
      <w:pPr>
        <w:pStyle w:val="NormalWeb"/>
        <w:shd w:val="clear" w:color="auto" w:fill="FFFFFF"/>
        <w:bidi/>
        <w:spacing w:before="0" w:beforeAutospacing="0" w:after="0" w:afterAutospacing="0" w:line="360" w:lineRule="auto"/>
        <w:jc w:val="center"/>
        <w:rPr>
          <w:sz w:val="28"/>
          <w:szCs w:val="28"/>
          <w:rtl/>
        </w:rPr>
      </w:pPr>
      <w:r w:rsidRPr="00C75DD7">
        <w:rPr>
          <w:rFonts w:ascii="David" w:hAnsi="David" w:cs="David"/>
          <w:b/>
          <w:bCs/>
          <w:color w:val="000000"/>
          <w:sz w:val="28"/>
          <w:szCs w:val="28"/>
          <w:rtl/>
        </w:rPr>
        <w:t xml:space="preserve">דף </w:t>
      </w:r>
      <w:proofErr w:type="spellStart"/>
      <w:r w:rsidRPr="00C75DD7">
        <w:rPr>
          <w:rFonts w:ascii="David" w:hAnsi="David" w:cs="David"/>
          <w:b/>
          <w:bCs/>
          <w:color w:val="000000"/>
          <w:sz w:val="28"/>
          <w:szCs w:val="28"/>
          <w:rtl/>
        </w:rPr>
        <w:t>יב</w:t>
      </w:r>
      <w:proofErr w:type="spellEnd"/>
      <w:r w:rsidRPr="00C75DD7">
        <w:rPr>
          <w:rFonts w:ascii="David" w:hAnsi="David" w:cs="David"/>
          <w:b/>
          <w:bCs/>
          <w:color w:val="000000"/>
          <w:sz w:val="28"/>
          <w:szCs w:val="28"/>
          <w:rtl/>
        </w:rPr>
        <w:t xml:space="preserve"> – הכהן הגדול המחליף</w:t>
      </w:r>
    </w:p>
    <w:p w14:paraId="3A94737F"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 xml:space="preserve">1.     נחלקו התנאים אם ירושלים </w:t>
      </w:r>
      <w:proofErr w:type="spellStart"/>
      <w:r>
        <w:rPr>
          <w:rFonts w:ascii="David" w:hAnsi="David" w:cs="David"/>
          <w:color w:val="000000"/>
          <w:rtl/>
        </w:rPr>
        <w:t>נתחלקה</w:t>
      </w:r>
      <w:proofErr w:type="spellEnd"/>
      <w:r>
        <w:rPr>
          <w:rFonts w:ascii="David" w:hAnsi="David" w:cs="David"/>
          <w:color w:val="000000"/>
          <w:rtl/>
        </w:rPr>
        <w:t xml:space="preserve"> לשבט יהודה ובנימין או שלא </w:t>
      </w:r>
      <w:proofErr w:type="spellStart"/>
      <w:r>
        <w:rPr>
          <w:rFonts w:ascii="David" w:hAnsi="David" w:cs="David"/>
          <w:color w:val="000000"/>
          <w:rtl/>
        </w:rPr>
        <w:t>נתחלקה</w:t>
      </w:r>
      <w:proofErr w:type="spellEnd"/>
      <w:r>
        <w:rPr>
          <w:rFonts w:ascii="David" w:hAnsi="David" w:cs="David"/>
          <w:color w:val="000000"/>
          <w:rtl/>
        </w:rPr>
        <w:t xml:space="preserve"> לשבטים, ושייכת לכל ישראל. אם ירושלים לא </w:t>
      </w:r>
      <w:proofErr w:type="spellStart"/>
      <w:r>
        <w:rPr>
          <w:rFonts w:ascii="David" w:hAnsi="David" w:cs="David"/>
          <w:color w:val="000000"/>
          <w:rtl/>
        </w:rPr>
        <w:t>נתחלקה</w:t>
      </w:r>
      <w:proofErr w:type="spellEnd"/>
      <w:r>
        <w:rPr>
          <w:rFonts w:ascii="David" w:hAnsi="David" w:cs="David"/>
          <w:color w:val="000000"/>
          <w:rtl/>
        </w:rPr>
        <w:t xml:space="preserve"> לשבטים אזי אסור להשכיר בה בתים.  </w:t>
      </w:r>
    </w:p>
    <w:p w14:paraId="6C1F93B2"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 xml:space="preserve">2.     אם אירע פסול לכהן גדול ונכנס כהן גדול אחר במקומו, במה </w:t>
      </w:r>
      <w:proofErr w:type="spellStart"/>
      <w:r>
        <w:rPr>
          <w:rFonts w:ascii="David" w:hAnsi="David" w:cs="David"/>
          <w:color w:val="000000"/>
          <w:rtl/>
        </w:rPr>
        <w:t>מחנכין</w:t>
      </w:r>
      <w:proofErr w:type="spellEnd"/>
      <w:r>
        <w:rPr>
          <w:rFonts w:ascii="David" w:hAnsi="David" w:cs="David"/>
          <w:color w:val="000000"/>
          <w:rtl/>
        </w:rPr>
        <w:t xml:space="preserve"> אותו? (רש"י - הרי עבודת כהן גדול בארבעה בגדים כמו כהן הדיוט ובמה ניכר שהוא כהן גדול). אם הוא מקריב את התמיד בשמונה בגדים אז כך חינוכו. אם כבר הקריבו את התמיד אז נאמרו </w:t>
      </w:r>
      <w:r>
        <w:rPr>
          <w:rFonts w:ascii="David" w:hAnsi="David" w:cs="David"/>
          <w:b/>
          <w:bCs/>
          <w:color w:val="000000"/>
          <w:rtl/>
        </w:rPr>
        <w:t>שלש אפשרויות:</w:t>
      </w:r>
      <w:r>
        <w:rPr>
          <w:rFonts w:ascii="David" w:hAnsi="David" w:cs="David"/>
          <w:color w:val="000000"/>
          <w:rtl/>
        </w:rPr>
        <w:t xml:space="preserve"> </w:t>
      </w:r>
      <w:r>
        <w:rPr>
          <w:rFonts w:ascii="David" w:hAnsi="David" w:cs="David"/>
          <w:b/>
          <w:bCs/>
          <w:color w:val="000000"/>
          <w:rtl/>
        </w:rPr>
        <w:t>א.</w:t>
      </w:r>
      <w:r>
        <w:rPr>
          <w:rFonts w:ascii="David" w:hAnsi="David" w:cs="David"/>
          <w:color w:val="000000"/>
          <w:rtl/>
        </w:rPr>
        <w:t xml:space="preserve"> באבנט של הכהן הגדול (אבנטו של כהן גדול ביום כיפור עשוי מבוץ ולשיטה זאת אבנטו של כהן הדיוט עשוי מכלאים). </w:t>
      </w:r>
      <w:r>
        <w:rPr>
          <w:rFonts w:ascii="David" w:hAnsi="David" w:cs="David"/>
          <w:b/>
          <w:bCs/>
          <w:color w:val="000000"/>
          <w:rtl/>
        </w:rPr>
        <w:t>ב.</w:t>
      </w:r>
      <w:r>
        <w:rPr>
          <w:rFonts w:ascii="David" w:hAnsi="David" w:cs="David"/>
          <w:color w:val="000000"/>
          <w:rtl/>
        </w:rPr>
        <w:t xml:space="preserve"> לובש שמונה בגדים ומהפך </w:t>
      </w:r>
      <w:proofErr w:type="spellStart"/>
      <w:r>
        <w:rPr>
          <w:rFonts w:ascii="David" w:hAnsi="David" w:cs="David"/>
          <w:color w:val="000000"/>
          <w:rtl/>
        </w:rPr>
        <w:t>בצינורא</w:t>
      </w:r>
      <w:proofErr w:type="spellEnd"/>
      <w:r>
        <w:rPr>
          <w:rFonts w:ascii="David" w:hAnsi="David" w:cs="David"/>
          <w:color w:val="000000"/>
          <w:rtl/>
        </w:rPr>
        <w:t xml:space="preserve"> באחד מאברי קרבן התמיד (שקירוב עבודה נחשב כעבודה). </w:t>
      </w:r>
      <w:r>
        <w:rPr>
          <w:rFonts w:ascii="David" w:hAnsi="David" w:cs="David"/>
          <w:b/>
          <w:bCs/>
          <w:color w:val="000000"/>
          <w:rtl/>
        </w:rPr>
        <w:t>ג.</w:t>
      </w:r>
      <w:r>
        <w:rPr>
          <w:rFonts w:ascii="David" w:hAnsi="David" w:cs="David"/>
          <w:color w:val="000000"/>
          <w:rtl/>
        </w:rPr>
        <w:t xml:space="preserve"> עבודתו מחנכתו.    </w:t>
      </w:r>
    </w:p>
    <w:p w14:paraId="1271F539"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 xml:space="preserve">3.     </w:t>
      </w:r>
      <w:r>
        <w:rPr>
          <w:rFonts w:ascii="David" w:hAnsi="David" w:cs="David"/>
          <w:b/>
          <w:bCs/>
          <w:color w:val="000000"/>
          <w:rtl/>
        </w:rPr>
        <w:t>אבנטו של כהן גדול:</w:t>
      </w:r>
      <w:r>
        <w:rPr>
          <w:rFonts w:ascii="David" w:hAnsi="David" w:cs="David"/>
          <w:color w:val="000000"/>
          <w:rtl/>
        </w:rPr>
        <w:t xml:space="preserve"> בשאר ימות השנה - כלאיים. ביום כיפור - בוץ. </w:t>
      </w:r>
      <w:r>
        <w:rPr>
          <w:rFonts w:ascii="David" w:hAnsi="David" w:cs="David"/>
          <w:b/>
          <w:bCs/>
          <w:color w:val="000000"/>
          <w:rtl/>
        </w:rPr>
        <w:t>של כהן הדיוט</w:t>
      </w:r>
      <w:r>
        <w:rPr>
          <w:rFonts w:ascii="David" w:hAnsi="David" w:cs="David"/>
          <w:color w:val="000000"/>
          <w:rtl/>
        </w:rPr>
        <w:t>: ביום כיפור ובשאר השנה: לדעת רבי - בוץ. לדעת רבי אלעזר ברבי שמעון – כלאים.</w:t>
      </w:r>
    </w:p>
    <w:p w14:paraId="38D9525D" w14:textId="77777777" w:rsidR="00BA1755" w:rsidRPr="00C75DD7" w:rsidRDefault="00BA1755" w:rsidP="00C75DD7">
      <w:pPr>
        <w:pStyle w:val="NormalWeb"/>
        <w:shd w:val="clear" w:color="auto" w:fill="FFFFFF"/>
        <w:bidi/>
        <w:spacing w:before="0" w:beforeAutospacing="0" w:after="0" w:afterAutospacing="0" w:line="360" w:lineRule="auto"/>
        <w:ind w:hanging="360"/>
        <w:rPr>
          <w:sz w:val="28"/>
          <w:szCs w:val="28"/>
          <w:rtl/>
        </w:rPr>
      </w:pPr>
      <w:r>
        <w:rPr>
          <w:rFonts w:ascii="David" w:hAnsi="David" w:cs="David"/>
          <w:color w:val="000000"/>
          <w:rtl/>
        </w:rPr>
        <w:t xml:space="preserve">4.     אם אירע פסול בכהן גדול ומינו אחר תחתיו : </w:t>
      </w:r>
      <w:r>
        <w:rPr>
          <w:rFonts w:ascii="David" w:hAnsi="David" w:cs="David"/>
          <w:b/>
          <w:bCs/>
          <w:color w:val="000000"/>
          <w:rtl/>
        </w:rPr>
        <w:t xml:space="preserve">ראשון - </w:t>
      </w:r>
      <w:r>
        <w:rPr>
          <w:rFonts w:ascii="David" w:hAnsi="David" w:cs="David"/>
          <w:color w:val="000000"/>
          <w:rtl/>
        </w:rPr>
        <w:t xml:space="preserve">חוזר לעבודתו. </w:t>
      </w:r>
      <w:r>
        <w:rPr>
          <w:rFonts w:ascii="David" w:hAnsi="David" w:cs="David"/>
          <w:b/>
          <w:bCs/>
          <w:color w:val="000000"/>
          <w:rtl/>
        </w:rPr>
        <w:t>והשני -</w:t>
      </w:r>
      <w:r>
        <w:rPr>
          <w:rFonts w:ascii="David" w:hAnsi="David" w:cs="David"/>
          <w:color w:val="000000"/>
          <w:rtl/>
        </w:rPr>
        <w:t xml:space="preserve"> רבי מאיר אומר: כל מצות כהונה גדול עליו. רבי יוסי אומר: אינו משמש ככהן גדול משום איבה, ולא ככהן הדיוט </w:t>
      </w:r>
      <w:r w:rsidRPr="00C75DD7">
        <w:rPr>
          <w:rFonts w:ascii="David" w:hAnsi="David" w:cs="David"/>
          <w:color w:val="000000"/>
          <w:rtl/>
        </w:rPr>
        <w:t xml:space="preserve">משום </w:t>
      </w:r>
      <w:proofErr w:type="spellStart"/>
      <w:r w:rsidRPr="00C75DD7">
        <w:rPr>
          <w:rFonts w:ascii="David" w:hAnsi="David" w:cs="David"/>
          <w:color w:val="000000"/>
          <w:rtl/>
        </w:rPr>
        <w:t>שמעלין</w:t>
      </w:r>
      <w:proofErr w:type="spellEnd"/>
      <w:r w:rsidRPr="00C75DD7">
        <w:rPr>
          <w:rFonts w:ascii="David" w:hAnsi="David" w:cs="David"/>
          <w:color w:val="000000"/>
          <w:rtl/>
        </w:rPr>
        <w:t xml:space="preserve"> בקודש ואין מורידין. הלכה כרבי יוסי. מודה רבי יוסי שאם מת הראשון, חוזר השני לעבודתו.</w:t>
      </w:r>
      <w:r w:rsidRPr="00C75DD7">
        <w:rPr>
          <w:rFonts w:ascii="David" w:hAnsi="David" w:cs="David"/>
          <w:color w:val="000000"/>
          <w:sz w:val="28"/>
          <w:szCs w:val="28"/>
          <w:rtl/>
        </w:rPr>
        <w:t>  </w:t>
      </w:r>
    </w:p>
    <w:p w14:paraId="04399EA5" w14:textId="77777777" w:rsidR="00BA1755" w:rsidRPr="00C75DD7" w:rsidRDefault="00BA1755" w:rsidP="00C75DD7">
      <w:pPr>
        <w:pStyle w:val="NormalWeb"/>
        <w:shd w:val="clear" w:color="auto" w:fill="FFFFFF"/>
        <w:bidi/>
        <w:spacing w:before="0" w:beforeAutospacing="0" w:after="0" w:afterAutospacing="0" w:line="360" w:lineRule="auto"/>
        <w:jc w:val="center"/>
        <w:rPr>
          <w:sz w:val="28"/>
          <w:szCs w:val="28"/>
          <w:rtl/>
        </w:rPr>
      </w:pPr>
      <w:r w:rsidRPr="00C75DD7">
        <w:rPr>
          <w:rFonts w:ascii="David" w:hAnsi="David" w:cs="David"/>
          <w:b/>
          <w:bCs/>
          <w:color w:val="000000"/>
          <w:sz w:val="28"/>
          <w:szCs w:val="28"/>
          <w:rtl/>
        </w:rPr>
        <w:t xml:space="preserve">דף </w:t>
      </w:r>
      <w:proofErr w:type="spellStart"/>
      <w:r w:rsidRPr="00C75DD7">
        <w:rPr>
          <w:rFonts w:ascii="David" w:hAnsi="David" w:cs="David"/>
          <w:b/>
          <w:bCs/>
          <w:color w:val="000000"/>
          <w:sz w:val="28"/>
          <w:szCs w:val="28"/>
          <w:rtl/>
        </w:rPr>
        <w:t>יג</w:t>
      </w:r>
      <w:proofErr w:type="spellEnd"/>
      <w:r w:rsidRPr="00C75DD7">
        <w:rPr>
          <w:rFonts w:ascii="David" w:hAnsi="David" w:cs="David"/>
          <w:b/>
          <w:bCs/>
          <w:color w:val="000000"/>
          <w:sz w:val="28"/>
          <w:szCs w:val="28"/>
          <w:rtl/>
        </w:rPr>
        <w:t xml:space="preserve"> – התקנת </w:t>
      </w:r>
      <w:proofErr w:type="spellStart"/>
      <w:r w:rsidRPr="00C75DD7">
        <w:rPr>
          <w:rFonts w:ascii="David" w:hAnsi="David" w:cs="David"/>
          <w:b/>
          <w:bCs/>
          <w:color w:val="000000"/>
          <w:sz w:val="28"/>
          <w:szCs w:val="28"/>
          <w:rtl/>
        </w:rPr>
        <w:t>אשה</w:t>
      </w:r>
      <w:proofErr w:type="spellEnd"/>
      <w:r w:rsidRPr="00C75DD7">
        <w:rPr>
          <w:rFonts w:ascii="David" w:hAnsi="David" w:cs="David"/>
          <w:b/>
          <w:bCs/>
          <w:color w:val="000000"/>
          <w:sz w:val="28"/>
          <w:szCs w:val="28"/>
          <w:rtl/>
        </w:rPr>
        <w:t xml:space="preserve"> אחרת לדעת רבי יהודה</w:t>
      </w:r>
    </w:p>
    <w:p w14:paraId="3187BFCA"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000000"/>
          <w:rtl/>
        </w:rPr>
        <w:t xml:space="preserve">1. </w:t>
      </w:r>
      <w:r>
        <w:rPr>
          <w:rStyle w:val="apple-tab-span"/>
          <w:rFonts w:ascii="David" w:hAnsi="David" w:cs="David"/>
          <w:color w:val="000000"/>
          <w:rtl/>
        </w:rPr>
        <w:tab/>
      </w:r>
      <w:r>
        <w:rPr>
          <w:rFonts w:ascii="David" w:hAnsi="David" w:cs="David"/>
          <w:color w:val="000000"/>
          <w:rtl/>
        </w:rPr>
        <w:t xml:space="preserve">לדעת חכמים במשנה מפרישים כהן גדול אחר שמא יטמא הראשון, ולדעת רבי יהודה אף </w:t>
      </w:r>
      <w:proofErr w:type="spellStart"/>
      <w:r>
        <w:rPr>
          <w:rFonts w:ascii="David" w:hAnsi="David" w:cs="David"/>
          <w:color w:val="000000"/>
          <w:rtl/>
        </w:rPr>
        <w:t>מתקינין</w:t>
      </w:r>
      <w:proofErr w:type="spellEnd"/>
      <w:r>
        <w:rPr>
          <w:rFonts w:ascii="David" w:hAnsi="David" w:cs="David"/>
          <w:color w:val="000000"/>
          <w:rtl/>
        </w:rPr>
        <w:t xml:space="preserve"> לו </w:t>
      </w:r>
      <w:proofErr w:type="spellStart"/>
      <w:r>
        <w:rPr>
          <w:rFonts w:ascii="David" w:hAnsi="David" w:cs="David"/>
          <w:color w:val="000000"/>
          <w:rtl/>
        </w:rPr>
        <w:t>אשה</w:t>
      </w:r>
      <w:proofErr w:type="spellEnd"/>
      <w:r>
        <w:rPr>
          <w:rFonts w:ascii="David" w:hAnsi="David" w:cs="David"/>
          <w:color w:val="000000"/>
          <w:rtl/>
        </w:rPr>
        <w:t xml:space="preserve"> אחרת שמא תמות אשתו. חכמים לא חוששים שמא תמות אשתו שמיתה לא </w:t>
      </w:r>
      <w:proofErr w:type="spellStart"/>
      <w:r>
        <w:rPr>
          <w:rFonts w:ascii="David" w:hAnsi="David" w:cs="David"/>
          <w:color w:val="000000"/>
          <w:rtl/>
        </w:rPr>
        <w:t>שכיחא</w:t>
      </w:r>
      <w:proofErr w:type="spellEnd"/>
      <w:r>
        <w:rPr>
          <w:rFonts w:ascii="David" w:hAnsi="David" w:cs="David"/>
          <w:color w:val="000000"/>
          <w:rtl/>
        </w:rPr>
        <w:t xml:space="preserve">, ורק טומאה </w:t>
      </w:r>
      <w:proofErr w:type="spellStart"/>
      <w:r>
        <w:rPr>
          <w:rFonts w:ascii="David" w:hAnsi="David" w:cs="David"/>
          <w:color w:val="000000"/>
          <w:rtl/>
        </w:rPr>
        <w:t>שכיחא</w:t>
      </w:r>
      <w:proofErr w:type="spellEnd"/>
      <w:r>
        <w:rPr>
          <w:rFonts w:ascii="David" w:hAnsi="David" w:cs="David"/>
          <w:color w:val="000000"/>
          <w:rtl/>
        </w:rPr>
        <w:t>. רבי יהודה מסתפק באשה אחת שלא חוששים שמא ימותו שתי נשותיו.</w:t>
      </w:r>
    </w:p>
    <w:p w14:paraId="3FD5636D" w14:textId="77777777" w:rsidR="00BA1755" w:rsidRDefault="00BA1755" w:rsidP="00C75DD7">
      <w:pPr>
        <w:pStyle w:val="NormalWeb"/>
        <w:shd w:val="clear" w:color="auto" w:fill="FFFFFF"/>
        <w:bidi/>
        <w:spacing w:before="0" w:beforeAutospacing="0" w:after="240" w:afterAutospacing="0" w:line="360" w:lineRule="auto"/>
        <w:ind w:hanging="360"/>
        <w:rPr>
          <w:rtl/>
        </w:rPr>
      </w:pPr>
      <w:r>
        <w:rPr>
          <w:rFonts w:ascii="David" w:hAnsi="David" w:cs="David"/>
          <w:color w:val="000000"/>
          <w:rtl/>
        </w:rPr>
        <w:t xml:space="preserve">2. </w:t>
      </w:r>
      <w:r>
        <w:rPr>
          <w:rStyle w:val="apple-tab-span"/>
          <w:rFonts w:ascii="David" w:hAnsi="David" w:cs="David"/>
          <w:color w:val="000000"/>
          <w:rtl/>
        </w:rPr>
        <w:tab/>
      </w:r>
      <w:r>
        <w:rPr>
          <w:rFonts w:ascii="David" w:hAnsi="David" w:cs="David"/>
          <w:color w:val="000000"/>
          <w:rtl/>
        </w:rPr>
        <w:t xml:space="preserve">לדעת רבי יהודה הכהן הגדול חייב לכנוס את </w:t>
      </w:r>
      <w:proofErr w:type="spellStart"/>
      <w:r>
        <w:rPr>
          <w:rFonts w:ascii="David" w:hAnsi="David" w:cs="David"/>
          <w:color w:val="000000"/>
          <w:rtl/>
        </w:rPr>
        <w:t>האשה</w:t>
      </w:r>
      <w:proofErr w:type="spellEnd"/>
      <w:r>
        <w:rPr>
          <w:rFonts w:ascii="David" w:hAnsi="David" w:cs="David"/>
          <w:color w:val="000000"/>
          <w:rtl/>
        </w:rPr>
        <w:t xml:space="preserve"> הנוספת משום שנאמר 'ביתו' (ואם תמות הראשונה צריך שיהיה לו בית). מצד שני אי אפשר שיהיו לו שתי נשים שנאמר 'ביתו' – ולא שני בתים. הפתרון הוא שמגרש לאחת על מנת שלא תמות חברתה. לאחרת מגרש על מנת שייכנס הכהן הגדול לבית הכנסת. (אם הראשונה תמות יש לו את השנייה ולא יכנס לבית הכנסת. אם תמות השנייה יש לו את הראשונה. אם הוא רואה שהשנייה עומדת למות ואם תמות באמצע היום ייווצר מצב שיהיו לו שני בתים עד פטירת השנייה, הפתרון הוא שיכנס לבית הכנסת וכך השנייה תהיה מגורשת).</w:t>
      </w:r>
    </w:p>
    <w:p w14:paraId="78542B87" w14:textId="77777777" w:rsidR="00BA1755" w:rsidRPr="00C75DD7" w:rsidRDefault="00BA1755" w:rsidP="00C75DD7">
      <w:pPr>
        <w:pStyle w:val="NormalWeb"/>
        <w:shd w:val="clear" w:color="auto" w:fill="FFFFFF"/>
        <w:bidi/>
        <w:spacing w:before="240" w:beforeAutospacing="0" w:after="0" w:afterAutospacing="0" w:line="360" w:lineRule="auto"/>
        <w:ind w:right="720"/>
        <w:jc w:val="center"/>
        <w:rPr>
          <w:sz w:val="28"/>
          <w:szCs w:val="28"/>
          <w:rtl/>
        </w:rPr>
      </w:pPr>
      <w:r w:rsidRPr="00C75DD7">
        <w:rPr>
          <w:rFonts w:ascii="David" w:hAnsi="David" w:cs="David"/>
          <w:b/>
          <w:bCs/>
          <w:color w:val="000000"/>
          <w:sz w:val="28"/>
          <w:szCs w:val="28"/>
          <w:rtl/>
        </w:rPr>
        <w:t>דף יד – כל שבעת ימי הפרישה הכהן הגדול מתרגל את העבודה במקדש</w:t>
      </w:r>
    </w:p>
    <w:p w14:paraId="5016DF91" w14:textId="77777777" w:rsidR="00BA1755" w:rsidRDefault="00BA1755" w:rsidP="00C75DD7">
      <w:pPr>
        <w:pStyle w:val="NormalWeb"/>
        <w:shd w:val="clear" w:color="auto" w:fill="FFFFFF"/>
        <w:bidi/>
        <w:spacing w:before="0" w:beforeAutospacing="0" w:after="0" w:afterAutospacing="0" w:line="360" w:lineRule="auto"/>
        <w:ind w:right="720" w:hanging="360"/>
        <w:rPr>
          <w:rtl/>
        </w:rPr>
      </w:pPr>
      <w:r>
        <w:rPr>
          <w:rFonts w:ascii="David" w:hAnsi="David" w:cs="David"/>
          <w:color w:val="202122"/>
          <w:rtl/>
        </w:rPr>
        <w:t xml:space="preserve">1.    </w:t>
      </w:r>
      <w:r>
        <w:rPr>
          <w:rFonts w:ascii="David" w:hAnsi="David" w:cs="David"/>
          <w:b/>
          <w:bCs/>
          <w:color w:val="202122"/>
          <w:rtl/>
        </w:rPr>
        <w:t>משנה:</w:t>
      </w:r>
      <w:r>
        <w:rPr>
          <w:rFonts w:ascii="David" w:hAnsi="David" w:cs="David"/>
          <w:color w:val="202122"/>
          <w:rtl/>
        </w:rPr>
        <w:t xml:space="preserve"> כל שבעת הימים הוא זורק את הדם ומקטיר את הקטורת ומיטיב את הנרות ומקריב את הראש ואת הרגל. ושאר כל הימים, אם רצה להקריב, מקריב, שכהן גדול מקריב חלק בראש ונוטל חלק בראש .</w:t>
      </w:r>
    </w:p>
    <w:p w14:paraId="188B8B87" w14:textId="77777777" w:rsidR="00BA1755" w:rsidRDefault="00BA1755" w:rsidP="00C75DD7">
      <w:pPr>
        <w:pStyle w:val="NormalWeb"/>
        <w:shd w:val="clear" w:color="auto" w:fill="FFFFFF"/>
        <w:bidi/>
        <w:spacing w:before="0" w:beforeAutospacing="0" w:after="0" w:afterAutospacing="0" w:line="360" w:lineRule="auto"/>
        <w:ind w:right="720" w:hanging="360"/>
        <w:rPr>
          <w:rtl/>
        </w:rPr>
      </w:pPr>
      <w:r>
        <w:rPr>
          <w:rFonts w:ascii="David" w:hAnsi="David" w:cs="David"/>
          <w:color w:val="202122"/>
          <w:rtl/>
        </w:rPr>
        <w:t xml:space="preserve">2.    לדעת רבי עקיבא טהור שמזים עליו מי אפר פרה נהיה טמא. לכן סבור </w:t>
      </w:r>
      <w:r>
        <w:rPr>
          <w:rFonts w:ascii="David" w:hAnsi="David" w:cs="David"/>
          <w:b/>
          <w:bCs/>
          <w:color w:val="202122"/>
          <w:rtl/>
        </w:rPr>
        <w:t xml:space="preserve">רב </w:t>
      </w:r>
      <w:proofErr w:type="spellStart"/>
      <w:r>
        <w:rPr>
          <w:rFonts w:ascii="David" w:hAnsi="David" w:cs="David"/>
          <w:b/>
          <w:bCs/>
          <w:color w:val="202122"/>
          <w:rtl/>
        </w:rPr>
        <w:t>חסדא</w:t>
      </w:r>
      <w:proofErr w:type="spellEnd"/>
      <w:r>
        <w:rPr>
          <w:rFonts w:ascii="David" w:hAnsi="David" w:cs="David"/>
          <w:color w:val="202122"/>
          <w:rtl/>
        </w:rPr>
        <w:t xml:space="preserve"> שמשנתנו שסבורה שמזים על הכהן הגדול כל שבעת ימי הפרישה מי אפר פרה אינה כרבי עקיבא, כי אם הכהן הגדול נטמא הוא לא יכול לעבוד עבודה. לדעת </w:t>
      </w:r>
      <w:proofErr w:type="spellStart"/>
      <w:r>
        <w:rPr>
          <w:rFonts w:ascii="David" w:hAnsi="David" w:cs="David"/>
          <w:b/>
          <w:bCs/>
          <w:color w:val="202122"/>
          <w:rtl/>
        </w:rPr>
        <w:t>אביי</w:t>
      </w:r>
      <w:proofErr w:type="spellEnd"/>
      <w:r>
        <w:rPr>
          <w:rFonts w:ascii="David" w:hAnsi="David" w:cs="David"/>
          <w:b/>
          <w:bCs/>
          <w:color w:val="202122"/>
          <w:rtl/>
        </w:rPr>
        <w:t xml:space="preserve"> </w:t>
      </w:r>
      <w:r>
        <w:rPr>
          <w:rFonts w:ascii="David" w:hAnsi="David" w:cs="David"/>
          <w:color w:val="202122"/>
          <w:rtl/>
        </w:rPr>
        <w:t>המשנה יכולה להיות כרבי עקיבא משום שהכהן הגדול יכול לעבוד כל היום ויזו עליו לקראת הערב ואז הוא יטבול ויעריב שמשו ויטהר.  </w:t>
      </w:r>
    </w:p>
    <w:p w14:paraId="3C748951" w14:textId="77777777" w:rsidR="00BA1755" w:rsidRDefault="00BA1755" w:rsidP="00C75DD7">
      <w:pPr>
        <w:pStyle w:val="NormalWeb"/>
        <w:shd w:val="clear" w:color="auto" w:fill="FFFFFF"/>
        <w:bidi/>
        <w:spacing w:before="0" w:beforeAutospacing="0" w:after="120" w:afterAutospacing="0" w:line="360" w:lineRule="auto"/>
        <w:ind w:right="720" w:hanging="360"/>
        <w:rPr>
          <w:rtl/>
        </w:rPr>
      </w:pPr>
      <w:r>
        <w:rPr>
          <w:rFonts w:ascii="David" w:hAnsi="David" w:cs="David"/>
          <w:color w:val="202122"/>
          <w:rtl/>
        </w:rPr>
        <w:lastRenderedPageBreak/>
        <w:t>3.    שלמה המלך לא הצליח להבין את טעמיה של מצוות פרה אדומה. לרבי עקיבא הוא לא הבין למה כשמזים על הטמא הוא נטהר ואילו כשמזים על הטהור הוא נטמא. לדעת חכמים כשמזים על הטהור אין הוא נטמא. לדעתם מה ששלמה לא הבין הוא מדוע המזה ומי שהזו עליו טהורים ואילו הנוגע והנושא את מי אפר הפרה טמא.</w:t>
      </w:r>
    </w:p>
    <w:p w14:paraId="5DC4C902" w14:textId="77777777" w:rsidR="00BA1755" w:rsidRPr="00C75DD7" w:rsidRDefault="00BA1755" w:rsidP="00C75DD7">
      <w:pPr>
        <w:pStyle w:val="NormalWeb"/>
        <w:shd w:val="clear" w:color="auto" w:fill="FFFFFF"/>
        <w:bidi/>
        <w:spacing w:before="240" w:beforeAutospacing="0" w:after="0" w:afterAutospacing="0" w:line="360" w:lineRule="auto"/>
        <w:jc w:val="center"/>
        <w:rPr>
          <w:sz w:val="28"/>
          <w:szCs w:val="28"/>
          <w:rtl/>
        </w:rPr>
      </w:pPr>
      <w:r w:rsidRPr="00C75DD7">
        <w:rPr>
          <w:rFonts w:ascii="David" w:hAnsi="David" w:cs="David"/>
          <w:b/>
          <w:bCs/>
          <w:color w:val="202122"/>
          <w:sz w:val="28"/>
          <w:szCs w:val="28"/>
          <w:rtl/>
        </w:rPr>
        <w:t>דף טו - סדר הקטורת והטבת הנרות, זריקת דם התמיד</w:t>
      </w:r>
    </w:p>
    <w:p w14:paraId="616030BC"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202122"/>
          <w:rtl/>
        </w:rPr>
        <w:t xml:space="preserve">1. </w:t>
      </w:r>
      <w:r>
        <w:rPr>
          <w:rStyle w:val="apple-tab-span"/>
          <w:rFonts w:ascii="David" w:hAnsi="David" w:cs="David"/>
          <w:color w:val="202122"/>
          <w:rtl/>
        </w:rPr>
        <w:tab/>
      </w:r>
      <w:r>
        <w:rPr>
          <w:rFonts w:ascii="David" w:hAnsi="David" w:cs="David"/>
          <w:color w:val="202122"/>
          <w:rtl/>
        </w:rPr>
        <w:t xml:space="preserve">לא מטיבים את הנרות בבית המקדש כולם בבת אחת אלא קודם מטיבים את חמישה הנרות הראשונים מפסיקים בעבודה אחרת ולאחר מכן מטיבים את השניים האחרונים. </w:t>
      </w:r>
      <w:r>
        <w:rPr>
          <w:rFonts w:ascii="David" w:hAnsi="David" w:cs="David"/>
          <w:b/>
          <w:bCs/>
          <w:color w:val="202122"/>
          <w:rtl/>
        </w:rPr>
        <w:t>לדעת אבא שאול</w:t>
      </w:r>
      <w:r>
        <w:rPr>
          <w:rFonts w:ascii="David" w:hAnsi="David" w:cs="David"/>
          <w:color w:val="202122"/>
          <w:rtl/>
        </w:rPr>
        <w:t xml:space="preserve"> מפסיקים בין הטבת חמשה הנרות להבת שני הנרות בזריקת דם התמיד, ורק אחרי הטבת כל הנרות מקטירים את הקטורת. </w:t>
      </w:r>
      <w:r>
        <w:rPr>
          <w:rFonts w:ascii="David" w:hAnsi="David" w:cs="David"/>
          <w:b/>
          <w:bCs/>
          <w:color w:val="202122"/>
          <w:rtl/>
        </w:rPr>
        <w:t>לדעת חכמים</w:t>
      </w:r>
      <w:r>
        <w:rPr>
          <w:rFonts w:ascii="David" w:hAnsi="David" w:cs="David"/>
          <w:color w:val="202122"/>
          <w:rtl/>
        </w:rPr>
        <w:t xml:space="preserve"> מפסיקים בין הטבת חמשה הנרות להטבת שני הנרות בהקטרת הקטורת.</w:t>
      </w:r>
    </w:p>
    <w:p w14:paraId="423A826D" w14:textId="77777777"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202122"/>
          <w:rtl/>
        </w:rPr>
        <w:t xml:space="preserve">2. </w:t>
      </w:r>
      <w:r>
        <w:rPr>
          <w:rStyle w:val="apple-tab-span"/>
          <w:rFonts w:ascii="David" w:hAnsi="David" w:cs="David"/>
          <w:color w:val="202122"/>
          <w:rtl/>
        </w:rPr>
        <w:tab/>
      </w:r>
      <w:r>
        <w:rPr>
          <w:rFonts w:ascii="David" w:hAnsi="David" w:cs="David"/>
          <w:color w:val="202122"/>
          <w:rtl/>
        </w:rPr>
        <w:t xml:space="preserve">יש סתירה בין המשניות במסכת אם הטבת הנרות קודמות </w:t>
      </w:r>
      <w:proofErr w:type="spellStart"/>
      <w:r>
        <w:rPr>
          <w:rFonts w:ascii="David" w:hAnsi="David" w:cs="David"/>
          <w:color w:val="202122"/>
          <w:rtl/>
        </w:rPr>
        <w:t>לקטרת</w:t>
      </w:r>
      <w:proofErr w:type="spellEnd"/>
      <w:r>
        <w:rPr>
          <w:rFonts w:ascii="David" w:hAnsi="David" w:cs="David"/>
          <w:color w:val="202122"/>
          <w:rtl/>
        </w:rPr>
        <w:t xml:space="preserve"> או להפך. </w:t>
      </w:r>
      <w:r>
        <w:rPr>
          <w:rFonts w:ascii="David" w:hAnsi="David" w:cs="David"/>
          <w:b/>
          <w:bCs/>
          <w:color w:val="202122"/>
          <w:rtl/>
        </w:rPr>
        <w:t xml:space="preserve">לדעת </w:t>
      </w:r>
      <w:proofErr w:type="spellStart"/>
      <w:r>
        <w:rPr>
          <w:rFonts w:ascii="David" w:hAnsi="David" w:cs="David"/>
          <w:b/>
          <w:bCs/>
          <w:color w:val="202122"/>
          <w:rtl/>
        </w:rPr>
        <w:t>אביי</w:t>
      </w:r>
      <w:proofErr w:type="spellEnd"/>
      <w:r>
        <w:rPr>
          <w:rFonts w:ascii="David" w:hAnsi="David" w:cs="David"/>
          <w:color w:val="202122"/>
          <w:rtl/>
        </w:rPr>
        <w:t xml:space="preserve"> המשניות הם </w:t>
      </w:r>
      <w:r>
        <w:rPr>
          <w:rFonts w:ascii="David" w:hAnsi="David" w:cs="David"/>
          <w:b/>
          <w:bCs/>
          <w:color w:val="202122"/>
          <w:rtl/>
        </w:rPr>
        <w:t>כשיטת חכמים</w:t>
      </w:r>
      <w:r>
        <w:rPr>
          <w:rFonts w:ascii="David" w:hAnsi="David" w:cs="David"/>
          <w:color w:val="202122"/>
          <w:rtl/>
        </w:rPr>
        <w:t xml:space="preserve"> ומה שמוזכר שהנרות הם לפני הקטרת מדובר על חמשה הנרות הראשונים. </w:t>
      </w:r>
      <w:r>
        <w:rPr>
          <w:rFonts w:ascii="David" w:hAnsi="David" w:cs="David"/>
          <w:b/>
          <w:bCs/>
          <w:color w:val="202122"/>
          <w:rtl/>
        </w:rPr>
        <w:t xml:space="preserve">לרב </w:t>
      </w:r>
      <w:proofErr w:type="spellStart"/>
      <w:r>
        <w:rPr>
          <w:rFonts w:ascii="David" w:hAnsi="David" w:cs="David"/>
          <w:b/>
          <w:bCs/>
          <w:color w:val="202122"/>
          <w:rtl/>
        </w:rPr>
        <w:t>פפא</w:t>
      </w:r>
      <w:proofErr w:type="spellEnd"/>
      <w:r>
        <w:rPr>
          <w:rFonts w:ascii="David" w:hAnsi="David" w:cs="David"/>
          <w:b/>
          <w:bCs/>
          <w:color w:val="202122"/>
          <w:rtl/>
        </w:rPr>
        <w:t xml:space="preserve"> </w:t>
      </w:r>
      <w:r>
        <w:rPr>
          <w:rFonts w:ascii="David" w:hAnsi="David" w:cs="David"/>
          <w:color w:val="202122"/>
          <w:rtl/>
        </w:rPr>
        <w:t xml:space="preserve">המשניות חלוקות, </w:t>
      </w:r>
      <w:r>
        <w:rPr>
          <w:rFonts w:ascii="David" w:hAnsi="David" w:cs="David"/>
          <w:b/>
          <w:bCs/>
          <w:color w:val="202122"/>
          <w:rtl/>
        </w:rPr>
        <w:t>זה כאבא שאול וזה כחכמים</w:t>
      </w:r>
      <w:r>
        <w:rPr>
          <w:rFonts w:ascii="David" w:hAnsi="David" w:cs="David"/>
          <w:color w:val="202122"/>
          <w:rtl/>
        </w:rPr>
        <w:t>. </w:t>
      </w:r>
    </w:p>
    <w:p w14:paraId="4CD0388B" w14:textId="77777777" w:rsidR="00BA1755" w:rsidRDefault="00BA1755" w:rsidP="00C75DD7">
      <w:pPr>
        <w:pStyle w:val="NormalWeb"/>
        <w:shd w:val="clear" w:color="auto" w:fill="FFFFFF"/>
        <w:bidi/>
        <w:spacing w:before="0" w:beforeAutospacing="0" w:after="0" w:afterAutospacing="0" w:line="360" w:lineRule="auto"/>
        <w:ind w:hanging="360"/>
        <w:rPr>
          <w:rFonts w:ascii="David" w:hAnsi="David" w:cs="David"/>
          <w:color w:val="202122"/>
          <w:rtl/>
        </w:rPr>
      </w:pPr>
      <w:r>
        <w:rPr>
          <w:rFonts w:ascii="David" w:hAnsi="David" w:cs="David"/>
          <w:color w:val="202122"/>
          <w:rtl/>
        </w:rPr>
        <w:t xml:space="preserve">3. </w:t>
      </w:r>
      <w:r>
        <w:rPr>
          <w:rStyle w:val="apple-tab-span"/>
          <w:rFonts w:ascii="David" w:hAnsi="David" w:cs="David"/>
          <w:color w:val="202122"/>
          <w:rtl/>
        </w:rPr>
        <w:tab/>
      </w:r>
      <w:r>
        <w:rPr>
          <w:rFonts w:ascii="David" w:hAnsi="David" w:cs="David"/>
          <w:b/>
          <w:bCs/>
          <w:color w:val="202122"/>
          <w:rtl/>
        </w:rPr>
        <w:t>לדעת חכמים</w:t>
      </w:r>
      <w:r>
        <w:rPr>
          <w:rFonts w:ascii="David" w:hAnsi="David" w:cs="David"/>
          <w:color w:val="202122"/>
          <w:rtl/>
        </w:rPr>
        <w:t xml:space="preserve"> בקרבן התמיד היה זורק את הדם כמו בשאר </w:t>
      </w:r>
      <w:proofErr w:type="spellStart"/>
      <w:r>
        <w:rPr>
          <w:rFonts w:ascii="David" w:hAnsi="David" w:cs="David"/>
          <w:color w:val="202122"/>
          <w:rtl/>
        </w:rPr>
        <w:t>קרבנות</w:t>
      </w:r>
      <w:proofErr w:type="spellEnd"/>
      <w:r>
        <w:rPr>
          <w:rFonts w:ascii="David" w:hAnsi="David" w:cs="David"/>
          <w:color w:val="202122"/>
          <w:rtl/>
        </w:rPr>
        <w:t xml:space="preserve"> עולה שנותן שתים שהם ארבע, על קרן מזרחית צפונית ואחר כך על מערבית דרומית. </w:t>
      </w:r>
      <w:r>
        <w:rPr>
          <w:rFonts w:ascii="David" w:hAnsi="David" w:cs="David"/>
          <w:b/>
          <w:bCs/>
          <w:color w:val="202122"/>
          <w:rtl/>
        </w:rPr>
        <w:t>לדעת רבי שמעון איש המצפה</w:t>
      </w:r>
      <w:r>
        <w:rPr>
          <w:rFonts w:ascii="David" w:hAnsi="David" w:cs="David"/>
          <w:color w:val="202122"/>
          <w:rtl/>
        </w:rPr>
        <w:t xml:space="preserve"> היה נותן בתחילה אחת שהיא שתים על קרן מזרחית צפונית כעולה, ואחר כך היה נותן שתים שהם שתיים אחת מערבה ואחר כך דרומה כחטאת. טעמו של רבי שמעון איש המצפה הוא שנאמר בפסוק "לחטאת לה' על </w:t>
      </w:r>
      <w:proofErr w:type="spellStart"/>
      <w:r>
        <w:rPr>
          <w:rFonts w:ascii="David" w:hAnsi="David" w:cs="David"/>
          <w:color w:val="202122"/>
          <w:rtl/>
        </w:rPr>
        <w:t>עלת</w:t>
      </w:r>
      <w:proofErr w:type="spellEnd"/>
      <w:r>
        <w:rPr>
          <w:rFonts w:ascii="David" w:hAnsi="David" w:cs="David"/>
          <w:color w:val="202122"/>
          <w:rtl/>
        </w:rPr>
        <w:t xml:space="preserve"> התמיד...". מכאן שיש לתת חלק מדיני החטאת על עולת התמיד. </w:t>
      </w:r>
    </w:p>
    <w:p w14:paraId="59AA592D" w14:textId="1928C9BE" w:rsidR="00BA1755" w:rsidRDefault="00BA1755" w:rsidP="00C75DD7">
      <w:pPr>
        <w:pStyle w:val="NormalWeb"/>
        <w:shd w:val="clear" w:color="auto" w:fill="FFFFFF"/>
        <w:bidi/>
        <w:spacing w:before="0" w:beforeAutospacing="0" w:after="0" w:afterAutospacing="0" w:line="360" w:lineRule="auto"/>
        <w:ind w:hanging="360"/>
        <w:rPr>
          <w:rtl/>
        </w:rPr>
      </w:pPr>
      <w:r>
        <w:rPr>
          <w:rFonts w:ascii="David" w:hAnsi="David" w:cs="David"/>
          <w:color w:val="202122"/>
          <w:rtl/>
        </w:rPr>
        <w:t>     </w:t>
      </w:r>
    </w:p>
    <w:p w14:paraId="772BFB6C" w14:textId="77777777" w:rsidR="00BA1755" w:rsidRPr="00C75DD7" w:rsidRDefault="00BA1755" w:rsidP="00C75DD7">
      <w:pPr>
        <w:pStyle w:val="NormalWeb"/>
        <w:shd w:val="clear" w:color="auto" w:fill="FFFFFF"/>
        <w:bidi/>
        <w:spacing w:before="0" w:beforeAutospacing="0" w:after="0" w:afterAutospacing="0" w:line="360" w:lineRule="auto"/>
        <w:jc w:val="center"/>
        <w:rPr>
          <w:sz w:val="28"/>
          <w:szCs w:val="28"/>
          <w:rtl/>
        </w:rPr>
      </w:pPr>
      <w:r w:rsidRPr="00C75DD7">
        <w:rPr>
          <w:rFonts w:ascii="David" w:hAnsi="David" w:cs="David"/>
          <w:b/>
          <w:bCs/>
          <w:color w:val="202122"/>
          <w:sz w:val="28"/>
          <w:szCs w:val="28"/>
          <w:rtl/>
        </w:rPr>
        <w:t xml:space="preserve">דף </w:t>
      </w:r>
      <w:proofErr w:type="spellStart"/>
      <w:r w:rsidRPr="00C75DD7">
        <w:rPr>
          <w:rFonts w:ascii="David" w:hAnsi="David" w:cs="David"/>
          <w:b/>
          <w:bCs/>
          <w:color w:val="202122"/>
          <w:sz w:val="28"/>
          <w:szCs w:val="28"/>
          <w:rtl/>
        </w:rPr>
        <w:t>טז</w:t>
      </w:r>
      <w:proofErr w:type="spellEnd"/>
      <w:r w:rsidRPr="00C75DD7">
        <w:rPr>
          <w:rFonts w:ascii="David" w:hAnsi="David" w:cs="David"/>
          <w:b/>
          <w:bCs/>
          <w:color w:val="202122"/>
          <w:sz w:val="28"/>
          <w:szCs w:val="28"/>
          <w:rtl/>
        </w:rPr>
        <w:t xml:space="preserve"> – סתם מסכת מידות רבי אליעזר בן יעקב</w:t>
      </w:r>
    </w:p>
    <w:p w14:paraId="4631CC19" w14:textId="7F6FA63B" w:rsidR="00BA1755" w:rsidRDefault="00BA1755" w:rsidP="00C75DD7">
      <w:pPr>
        <w:pStyle w:val="NormalWeb"/>
        <w:numPr>
          <w:ilvl w:val="0"/>
          <w:numId w:val="4"/>
        </w:numPr>
        <w:shd w:val="clear" w:color="auto" w:fill="FFFFFF"/>
        <w:bidi/>
        <w:spacing w:before="0" w:beforeAutospacing="0" w:after="0" w:afterAutospacing="0" w:line="360" w:lineRule="auto"/>
        <w:rPr>
          <w:rFonts w:ascii="David" w:hAnsi="David" w:cs="David"/>
          <w:color w:val="202122"/>
          <w:rtl/>
        </w:rPr>
      </w:pPr>
      <w:r>
        <w:rPr>
          <w:rFonts w:ascii="David" w:hAnsi="David" w:cs="David"/>
          <w:color w:val="202122"/>
          <w:rtl/>
        </w:rPr>
        <w:t xml:space="preserve">במשנה </w:t>
      </w:r>
      <w:r>
        <w:rPr>
          <w:rFonts w:ascii="David" w:hAnsi="David" w:cs="David"/>
          <w:b/>
          <w:bCs/>
          <w:color w:val="202122"/>
          <w:rtl/>
        </w:rPr>
        <w:t>במסכת תמיד</w:t>
      </w:r>
      <w:r>
        <w:rPr>
          <w:rFonts w:ascii="David" w:hAnsi="David" w:cs="David"/>
          <w:color w:val="202122"/>
          <w:rtl/>
        </w:rPr>
        <w:t xml:space="preserve"> נאמר שלשכת הטלאים הייתה בפינה צפונית מערבית. </w:t>
      </w:r>
      <w:r>
        <w:rPr>
          <w:rFonts w:ascii="David" w:hAnsi="David" w:cs="David"/>
          <w:b/>
          <w:bCs/>
          <w:color w:val="202122"/>
          <w:rtl/>
        </w:rPr>
        <w:t>במסכת מידות</w:t>
      </w:r>
      <w:r>
        <w:rPr>
          <w:rFonts w:ascii="David" w:hAnsi="David" w:cs="David"/>
          <w:color w:val="202122"/>
          <w:rtl/>
        </w:rPr>
        <w:t xml:space="preserve"> נאמר שלשכת הטלאים הייתה בפינה מערבית דרומית. </w:t>
      </w:r>
      <w:r>
        <w:rPr>
          <w:rFonts w:ascii="David" w:hAnsi="David" w:cs="David"/>
          <w:b/>
          <w:bCs/>
          <w:color w:val="202122"/>
          <w:rtl/>
        </w:rPr>
        <w:t xml:space="preserve">רב </w:t>
      </w:r>
      <w:proofErr w:type="spellStart"/>
      <w:r>
        <w:rPr>
          <w:rFonts w:ascii="David" w:hAnsi="David" w:cs="David"/>
          <w:b/>
          <w:bCs/>
          <w:color w:val="202122"/>
          <w:rtl/>
        </w:rPr>
        <w:t>הונא</w:t>
      </w:r>
      <w:proofErr w:type="spellEnd"/>
      <w:r>
        <w:rPr>
          <w:rFonts w:ascii="David" w:hAnsi="David" w:cs="David"/>
          <w:color w:val="202122"/>
          <w:rtl/>
        </w:rPr>
        <w:t xml:space="preserve"> מיישב שמסכת מידות נשנתה על ידי רבי אליעזר בן יעקב. (כך משמע מדברי סתם משנה במידות שמסיימת "אמר רבי אליעזר בן יעקב. וכן משמע ממשנה במידות שהכותל המזרחי היה נמוך יותר מעשרים אמה על מנת שיוכל הכהן השורף את הפרה האדומה כשעומד בהר המשחה לראות את פתחו של היכל בשעת הזאת הדם. לשיטת רבי אליעזר בן יעקב שסבור שמעלה הייתה בעזרת ישראל גבוה אמה ודוכן של לווים נתון עליה ובו שלש מעלות של חצי חצי אמה, החישוב יוצא מדויק).  </w:t>
      </w:r>
    </w:p>
    <w:p w14:paraId="6D594389" w14:textId="6B160103" w:rsidR="00BA1755" w:rsidRPr="00C75DD7" w:rsidRDefault="00BA1755" w:rsidP="00C75DD7">
      <w:pPr>
        <w:pStyle w:val="NormalWeb"/>
        <w:shd w:val="clear" w:color="auto" w:fill="FFFFFF"/>
        <w:bidi/>
        <w:spacing w:before="0" w:beforeAutospacing="0" w:after="0" w:afterAutospacing="0" w:line="360" w:lineRule="auto"/>
        <w:rPr>
          <w:sz w:val="28"/>
          <w:szCs w:val="28"/>
          <w:rtl/>
        </w:rPr>
      </w:pPr>
      <w:r w:rsidRPr="00C75DD7">
        <w:rPr>
          <w:rFonts w:ascii="David" w:hAnsi="David" w:cs="David"/>
          <w:color w:val="202122"/>
          <w:sz w:val="28"/>
          <w:szCs w:val="28"/>
          <w:rtl/>
        </w:rPr>
        <w:t> </w:t>
      </w:r>
    </w:p>
    <w:p w14:paraId="1480CECA" w14:textId="77777777" w:rsidR="00BA1755" w:rsidRPr="00C75DD7" w:rsidRDefault="00BA1755" w:rsidP="00C75DD7">
      <w:pPr>
        <w:pStyle w:val="NormalWeb"/>
        <w:shd w:val="clear" w:color="auto" w:fill="FFFFFF"/>
        <w:bidi/>
        <w:spacing w:before="0" w:beforeAutospacing="0" w:after="240" w:afterAutospacing="0" w:line="360" w:lineRule="auto"/>
        <w:ind w:hanging="360"/>
        <w:jc w:val="center"/>
        <w:rPr>
          <w:sz w:val="28"/>
          <w:szCs w:val="28"/>
          <w:rtl/>
        </w:rPr>
      </w:pPr>
      <w:r w:rsidRPr="00C75DD7">
        <w:rPr>
          <w:rFonts w:ascii="David" w:hAnsi="David" w:cs="David"/>
          <w:b/>
          <w:bCs/>
          <w:color w:val="202122"/>
          <w:sz w:val="28"/>
          <w:szCs w:val="28"/>
          <w:rtl/>
        </w:rPr>
        <w:t xml:space="preserve">דף </w:t>
      </w:r>
      <w:proofErr w:type="spellStart"/>
      <w:r w:rsidRPr="00C75DD7">
        <w:rPr>
          <w:rFonts w:ascii="David" w:hAnsi="David" w:cs="David"/>
          <w:b/>
          <w:bCs/>
          <w:color w:val="202122"/>
          <w:sz w:val="28"/>
          <w:szCs w:val="28"/>
          <w:rtl/>
        </w:rPr>
        <w:t>יז</w:t>
      </w:r>
      <w:proofErr w:type="spellEnd"/>
      <w:r w:rsidRPr="00C75DD7">
        <w:rPr>
          <w:rFonts w:ascii="David" w:hAnsi="David" w:cs="David"/>
          <w:b/>
          <w:bCs/>
          <w:color w:val="202122"/>
          <w:sz w:val="28"/>
          <w:szCs w:val="28"/>
          <w:rtl/>
        </w:rPr>
        <w:t xml:space="preserve"> - מקום לשכת הטלאים, כהן גדול נוטל ואוכל חלק בראש</w:t>
      </w:r>
    </w:p>
    <w:p w14:paraId="2C89E424" w14:textId="77777777" w:rsidR="00BA1755" w:rsidRDefault="00BA1755" w:rsidP="00C75DD7">
      <w:pPr>
        <w:pStyle w:val="NormalWeb"/>
        <w:numPr>
          <w:ilvl w:val="0"/>
          <w:numId w:val="3"/>
        </w:numPr>
        <w:shd w:val="clear" w:color="auto" w:fill="FFFFFF"/>
        <w:bidi/>
        <w:spacing w:before="240" w:beforeAutospacing="0" w:after="0" w:afterAutospacing="0" w:line="360" w:lineRule="auto"/>
        <w:jc w:val="both"/>
        <w:textAlignment w:val="baseline"/>
        <w:rPr>
          <w:rFonts w:ascii="Arial" w:hAnsi="Arial" w:cs="Arial"/>
          <w:color w:val="202122"/>
          <w:rtl/>
        </w:rPr>
      </w:pPr>
      <w:r>
        <w:rPr>
          <w:rFonts w:ascii="David" w:hAnsi="David" w:cs="David"/>
          <w:color w:val="202122"/>
          <w:rtl/>
        </w:rPr>
        <w:t xml:space="preserve">בדף הקודם למדנו על סתירה במיקומה של לשכת הטלאים, ורב </w:t>
      </w:r>
      <w:proofErr w:type="spellStart"/>
      <w:r>
        <w:rPr>
          <w:rFonts w:ascii="David" w:hAnsi="David" w:cs="David"/>
          <w:color w:val="202122"/>
          <w:rtl/>
        </w:rPr>
        <w:t>הונא</w:t>
      </w:r>
      <w:proofErr w:type="spellEnd"/>
      <w:r>
        <w:rPr>
          <w:rFonts w:ascii="David" w:hAnsi="David" w:cs="David"/>
          <w:color w:val="202122"/>
          <w:rtl/>
        </w:rPr>
        <w:t xml:space="preserve"> סבור שזה מחלוקת בין התנא של מסכת מידות לתנא של מסכת תמיד. </w:t>
      </w:r>
      <w:r>
        <w:rPr>
          <w:rFonts w:ascii="David" w:hAnsi="David" w:cs="David"/>
          <w:b/>
          <w:bCs/>
          <w:color w:val="202122"/>
          <w:rtl/>
        </w:rPr>
        <w:t xml:space="preserve">רב </w:t>
      </w:r>
      <w:proofErr w:type="spellStart"/>
      <w:r>
        <w:rPr>
          <w:rFonts w:ascii="David" w:hAnsi="David" w:cs="David"/>
          <w:b/>
          <w:bCs/>
          <w:color w:val="202122"/>
          <w:rtl/>
        </w:rPr>
        <w:t>אדא</w:t>
      </w:r>
      <w:proofErr w:type="spellEnd"/>
      <w:r>
        <w:rPr>
          <w:rFonts w:ascii="David" w:hAnsi="David" w:cs="David"/>
          <w:b/>
          <w:bCs/>
          <w:color w:val="202122"/>
          <w:rtl/>
        </w:rPr>
        <w:t xml:space="preserve"> בריה </w:t>
      </w:r>
      <w:proofErr w:type="spellStart"/>
      <w:r>
        <w:rPr>
          <w:rFonts w:ascii="David" w:hAnsi="David" w:cs="David"/>
          <w:b/>
          <w:bCs/>
          <w:color w:val="202122"/>
          <w:rtl/>
        </w:rPr>
        <w:t>דרב</w:t>
      </w:r>
      <w:proofErr w:type="spellEnd"/>
      <w:r>
        <w:rPr>
          <w:rFonts w:ascii="David" w:hAnsi="David" w:cs="David"/>
          <w:b/>
          <w:bCs/>
          <w:color w:val="202122"/>
          <w:rtl/>
        </w:rPr>
        <w:t xml:space="preserve"> יצחק</w:t>
      </w:r>
      <w:r>
        <w:rPr>
          <w:rFonts w:ascii="David" w:hAnsi="David" w:cs="David"/>
          <w:color w:val="202122"/>
          <w:rtl/>
        </w:rPr>
        <w:t xml:space="preserve"> סבור שאין סתירה ולשכת הטלאים עמדה על צד מערב </w:t>
      </w:r>
      <w:proofErr w:type="spellStart"/>
      <w:r>
        <w:rPr>
          <w:rFonts w:ascii="David" w:hAnsi="David" w:cs="David"/>
          <w:color w:val="202122"/>
          <w:rtl/>
        </w:rPr>
        <w:t>והיתה</w:t>
      </w:r>
      <w:proofErr w:type="spellEnd"/>
      <w:r>
        <w:rPr>
          <w:rFonts w:ascii="David" w:hAnsi="David" w:cs="David"/>
          <w:color w:val="202122"/>
          <w:rtl/>
        </w:rPr>
        <w:t xml:space="preserve"> ארוכה והגיעה קרוב לפינות של צד צפון ודרום. ומכל צד שבאו היא נראתה שהיא שייכת יותר לצד השני. באמת היא </w:t>
      </w:r>
      <w:proofErr w:type="spellStart"/>
      <w:r>
        <w:rPr>
          <w:rFonts w:ascii="David" w:hAnsi="David" w:cs="David"/>
          <w:color w:val="202122"/>
          <w:rtl/>
        </w:rPr>
        <w:t>היתה</w:t>
      </w:r>
      <w:proofErr w:type="spellEnd"/>
      <w:r>
        <w:rPr>
          <w:rFonts w:ascii="David" w:hAnsi="David" w:cs="David"/>
          <w:color w:val="202122"/>
          <w:rtl/>
        </w:rPr>
        <w:t xml:space="preserve"> יותר קרובה לכיוון דרום מערב. </w:t>
      </w:r>
    </w:p>
    <w:p w14:paraId="4101FADE" w14:textId="77777777" w:rsidR="00BA1755" w:rsidRDefault="00BA1755" w:rsidP="00C75DD7">
      <w:pPr>
        <w:pStyle w:val="NormalWeb"/>
        <w:numPr>
          <w:ilvl w:val="0"/>
          <w:numId w:val="3"/>
        </w:numPr>
        <w:shd w:val="clear" w:color="auto" w:fill="FFFFFF"/>
        <w:bidi/>
        <w:spacing w:before="0" w:beforeAutospacing="0" w:after="0" w:afterAutospacing="0" w:line="360" w:lineRule="auto"/>
        <w:textAlignment w:val="baseline"/>
        <w:rPr>
          <w:rFonts w:ascii="Arial" w:hAnsi="Arial" w:cs="Arial"/>
          <w:color w:val="202122"/>
          <w:rtl/>
        </w:rPr>
      </w:pPr>
      <w:r>
        <w:rPr>
          <w:rFonts w:ascii="David" w:hAnsi="David" w:cs="David"/>
          <w:b/>
          <w:bCs/>
          <w:color w:val="202122"/>
          <w:rtl/>
        </w:rPr>
        <w:t>התנא של מסכת מידות</w:t>
      </w:r>
      <w:r>
        <w:rPr>
          <w:rFonts w:ascii="David" w:hAnsi="David" w:cs="David"/>
          <w:color w:val="202122"/>
          <w:rtl/>
        </w:rPr>
        <w:t xml:space="preserve"> מנה את הלשכות דרך ימין, </w:t>
      </w:r>
      <w:r>
        <w:rPr>
          <w:rFonts w:ascii="David" w:hAnsi="David" w:cs="David"/>
          <w:b/>
          <w:bCs/>
          <w:color w:val="202122"/>
          <w:rtl/>
        </w:rPr>
        <w:t>והתנא של מסכת תמיד</w:t>
      </w:r>
      <w:r>
        <w:rPr>
          <w:rFonts w:ascii="David" w:hAnsi="David" w:cs="David"/>
          <w:color w:val="202122"/>
          <w:rtl/>
        </w:rPr>
        <w:t xml:space="preserve"> מנה את הלשכות דרך שמאל, (אף שככלל יש לפנות לימין, כאן שזה חישוב בעלמא אין </w:t>
      </w:r>
      <w:proofErr w:type="spellStart"/>
      <w:r>
        <w:rPr>
          <w:rFonts w:ascii="David" w:hAnsi="David" w:cs="David"/>
          <w:color w:val="202122"/>
          <w:rtl/>
        </w:rPr>
        <w:t>קפידא</w:t>
      </w:r>
      <w:proofErr w:type="spellEnd"/>
      <w:r>
        <w:rPr>
          <w:rFonts w:ascii="David" w:hAnsi="David" w:cs="David"/>
          <w:color w:val="202122"/>
          <w:rtl/>
        </w:rPr>
        <w:t>). </w:t>
      </w:r>
    </w:p>
    <w:p w14:paraId="0401DC8F" w14:textId="77777777" w:rsidR="00BA1755" w:rsidRDefault="00BA1755" w:rsidP="00C75DD7">
      <w:pPr>
        <w:pStyle w:val="NormalWeb"/>
        <w:numPr>
          <w:ilvl w:val="0"/>
          <w:numId w:val="3"/>
        </w:numPr>
        <w:shd w:val="clear" w:color="auto" w:fill="FFFFFF"/>
        <w:bidi/>
        <w:spacing w:before="0" w:beforeAutospacing="0" w:after="240" w:afterAutospacing="0" w:line="360" w:lineRule="auto"/>
        <w:textAlignment w:val="baseline"/>
        <w:rPr>
          <w:rFonts w:ascii="Arial" w:hAnsi="Arial" w:cs="Arial"/>
          <w:color w:val="202122"/>
          <w:rtl/>
        </w:rPr>
      </w:pPr>
      <w:r>
        <w:rPr>
          <w:rFonts w:ascii="David" w:hAnsi="David" w:cs="David"/>
          <w:color w:val="202122"/>
          <w:rtl/>
        </w:rPr>
        <w:lastRenderedPageBreak/>
        <w:t xml:space="preserve">למדנו במשנה שאם רוצה הכהן הגדול הוא מקריב חלק בראש ונוטל חלק בראש. </w:t>
      </w:r>
      <w:r>
        <w:rPr>
          <w:rFonts w:ascii="David" w:hAnsi="David" w:cs="David"/>
          <w:b/>
          <w:bCs/>
          <w:color w:val="202122"/>
          <w:rtl/>
        </w:rPr>
        <w:t xml:space="preserve">לדעת רבי </w:t>
      </w:r>
      <w:r>
        <w:rPr>
          <w:rFonts w:ascii="David" w:hAnsi="David" w:cs="David"/>
          <w:color w:val="202122"/>
          <w:rtl/>
        </w:rPr>
        <w:t>הכהן הגדול נוטל מחצה שנאמר '</w:t>
      </w:r>
      <w:proofErr w:type="spellStart"/>
      <w:r>
        <w:rPr>
          <w:rFonts w:ascii="David" w:hAnsi="David" w:cs="David"/>
          <w:color w:val="202122"/>
          <w:rtl/>
        </w:rPr>
        <w:t>והיתה</w:t>
      </w:r>
      <w:proofErr w:type="spellEnd"/>
      <w:r>
        <w:rPr>
          <w:rFonts w:ascii="David" w:hAnsi="David" w:cs="David"/>
          <w:color w:val="202122"/>
          <w:rtl/>
        </w:rPr>
        <w:t xml:space="preserve"> לאהרן ולבניו' - מחצה לאהרן ומחצה לבניו. </w:t>
      </w:r>
      <w:r>
        <w:rPr>
          <w:rFonts w:ascii="David" w:hAnsi="David" w:cs="David"/>
          <w:b/>
          <w:bCs/>
          <w:color w:val="202122"/>
          <w:rtl/>
        </w:rPr>
        <w:t>לדעת חכמים</w:t>
      </w:r>
      <w:r>
        <w:rPr>
          <w:rFonts w:ascii="David" w:hAnsi="David" w:cs="David"/>
          <w:color w:val="202122"/>
          <w:rtl/>
        </w:rPr>
        <w:t xml:space="preserve"> אין הכהן הגדול נוטל חלק בראש אלא מעט פחות מזה, למשל מתוך שתים עשרה חלות של לחם הפנים הוא אינו נוטל ששה אלא חמישה. אמנם </w:t>
      </w:r>
      <w:r>
        <w:rPr>
          <w:rFonts w:ascii="David" w:hAnsi="David" w:cs="David"/>
          <w:b/>
          <w:bCs/>
          <w:color w:val="202122"/>
          <w:rtl/>
        </w:rPr>
        <w:t>חכמים מודים</w:t>
      </w:r>
      <w:r>
        <w:rPr>
          <w:rFonts w:ascii="David" w:hAnsi="David" w:cs="David"/>
          <w:color w:val="202122"/>
          <w:rtl/>
        </w:rPr>
        <w:t xml:space="preserve"> שבשתי הלחם של שבועות נוטל הכהן הגדול מחצה, כלומר אחד מתוך שניים משום שאינו דרך ארץ לתת לכהן הגדול פרוסה. (כך ביאר </w:t>
      </w:r>
      <w:proofErr w:type="spellStart"/>
      <w:r>
        <w:rPr>
          <w:rFonts w:ascii="David" w:hAnsi="David" w:cs="David"/>
          <w:color w:val="202122"/>
          <w:rtl/>
        </w:rPr>
        <w:t>אביי</w:t>
      </w:r>
      <w:proofErr w:type="spellEnd"/>
      <w:r>
        <w:rPr>
          <w:rFonts w:ascii="David" w:hAnsi="David" w:cs="David"/>
          <w:color w:val="202122"/>
          <w:rtl/>
        </w:rPr>
        <w:t xml:space="preserve"> ומשמע שזאת מסקנת הגמרא).</w:t>
      </w:r>
    </w:p>
    <w:p w14:paraId="56771F7B" w14:textId="77777777" w:rsidR="00BA1755" w:rsidRPr="00C75DD7" w:rsidRDefault="00BA1755" w:rsidP="00C75DD7">
      <w:pPr>
        <w:pStyle w:val="NormalWeb"/>
        <w:shd w:val="clear" w:color="auto" w:fill="FFFFFF"/>
        <w:bidi/>
        <w:spacing w:before="240" w:beforeAutospacing="0" w:after="0" w:afterAutospacing="0" w:line="360" w:lineRule="auto"/>
        <w:rPr>
          <w:sz w:val="28"/>
          <w:szCs w:val="28"/>
          <w:rtl/>
        </w:rPr>
      </w:pPr>
      <w:r>
        <w:rPr>
          <w:rtl/>
        </w:rPr>
        <w:t> </w:t>
      </w:r>
    </w:p>
    <w:p w14:paraId="32FFA11A" w14:textId="77777777" w:rsidR="00BA1755" w:rsidRPr="00C75DD7" w:rsidRDefault="00BA1755" w:rsidP="00C75DD7">
      <w:pPr>
        <w:pStyle w:val="NormalWeb"/>
        <w:shd w:val="clear" w:color="auto" w:fill="FFFFFF"/>
        <w:bidi/>
        <w:spacing w:before="0" w:beforeAutospacing="0" w:after="120" w:afterAutospacing="0" w:line="360" w:lineRule="auto"/>
        <w:jc w:val="center"/>
        <w:rPr>
          <w:sz w:val="28"/>
          <w:szCs w:val="28"/>
          <w:rtl/>
        </w:rPr>
      </w:pPr>
      <w:r w:rsidRPr="00C75DD7">
        <w:rPr>
          <w:rFonts w:ascii="David" w:hAnsi="David" w:cs="David"/>
          <w:b/>
          <w:bCs/>
          <w:color w:val="202122"/>
          <w:sz w:val="28"/>
          <w:szCs w:val="28"/>
          <w:rtl/>
        </w:rPr>
        <w:t xml:space="preserve">דף </w:t>
      </w:r>
      <w:proofErr w:type="spellStart"/>
      <w:r w:rsidRPr="00C75DD7">
        <w:rPr>
          <w:rFonts w:ascii="David" w:hAnsi="David" w:cs="David"/>
          <w:b/>
          <w:bCs/>
          <w:color w:val="202122"/>
          <w:sz w:val="28"/>
          <w:szCs w:val="28"/>
          <w:rtl/>
        </w:rPr>
        <w:t>יח</w:t>
      </w:r>
      <w:proofErr w:type="spellEnd"/>
      <w:r w:rsidRPr="00C75DD7">
        <w:rPr>
          <w:rFonts w:ascii="David" w:hAnsi="David" w:cs="David"/>
          <w:b/>
          <w:bCs/>
          <w:color w:val="202122"/>
          <w:sz w:val="28"/>
          <w:szCs w:val="28"/>
          <w:rtl/>
        </w:rPr>
        <w:t xml:space="preserve"> – ההכנות עם הכהן הגדול בשבעת ימי הפרישה</w:t>
      </w:r>
    </w:p>
    <w:p w14:paraId="13D4401C" w14:textId="77777777" w:rsidR="00BA1755" w:rsidRDefault="00BA1755" w:rsidP="00C75DD7">
      <w:pPr>
        <w:pStyle w:val="NormalWeb"/>
        <w:shd w:val="clear" w:color="auto" w:fill="FFFFFF"/>
        <w:bidi/>
        <w:spacing w:before="120" w:beforeAutospacing="0" w:after="0" w:afterAutospacing="0" w:line="360" w:lineRule="auto"/>
        <w:ind w:right="720" w:hanging="360"/>
        <w:rPr>
          <w:rtl/>
        </w:rPr>
      </w:pPr>
      <w:r>
        <w:rPr>
          <w:rFonts w:ascii="David" w:hAnsi="David" w:cs="David"/>
          <w:color w:val="202122"/>
          <w:rtl/>
        </w:rPr>
        <w:t xml:space="preserve">1.    </w:t>
      </w:r>
      <w:r>
        <w:rPr>
          <w:rFonts w:ascii="David" w:hAnsi="David" w:cs="David"/>
          <w:b/>
          <w:bCs/>
          <w:color w:val="202122"/>
          <w:rtl/>
        </w:rPr>
        <w:t>משנה:</w:t>
      </w:r>
      <w:r>
        <w:rPr>
          <w:rFonts w:ascii="David" w:hAnsi="David" w:cs="David"/>
          <w:color w:val="202122"/>
          <w:rtl/>
        </w:rPr>
        <w:t xml:space="preserve"> מסרו לו זקנים מזקני בית דין וקורין לפניו בסדר היום, ואומרים לו, אישי כהן גדול, קרא אתה בפיך, שמא שכחת או שמא לא למדת. ערב יום הכיפורים שחרית, </w:t>
      </w:r>
      <w:proofErr w:type="spellStart"/>
      <w:r>
        <w:rPr>
          <w:rFonts w:ascii="David" w:hAnsi="David" w:cs="David"/>
          <w:color w:val="202122"/>
          <w:rtl/>
        </w:rPr>
        <w:t>מעמידין</w:t>
      </w:r>
      <w:proofErr w:type="spellEnd"/>
      <w:r>
        <w:rPr>
          <w:rFonts w:ascii="David" w:hAnsi="David" w:cs="David"/>
          <w:color w:val="202122"/>
          <w:rtl/>
        </w:rPr>
        <w:t xml:space="preserve"> אותו בשער המזרח </w:t>
      </w:r>
      <w:proofErr w:type="spellStart"/>
      <w:r>
        <w:rPr>
          <w:rFonts w:ascii="David" w:hAnsi="David" w:cs="David"/>
          <w:color w:val="202122"/>
          <w:rtl/>
        </w:rPr>
        <w:t>ומעבירין</w:t>
      </w:r>
      <w:proofErr w:type="spellEnd"/>
      <w:r>
        <w:rPr>
          <w:rFonts w:ascii="David" w:hAnsi="David" w:cs="David"/>
          <w:color w:val="202122"/>
          <w:rtl/>
        </w:rPr>
        <w:t xml:space="preserve"> לפניו פרים ואילים וכבשים, כדי שיהא מכיר ורגיל בעבודה. כל שבעת הימים לא היו </w:t>
      </w:r>
      <w:proofErr w:type="spellStart"/>
      <w:r>
        <w:rPr>
          <w:rFonts w:ascii="David" w:hAnsi="David" w:cs="David"/>
          <w:color w:val="202122"/>
          <w:rtl/>
        </w:rPr>
        <w:t>מונעין</w:t>
      </w:r>
      <w:proofErr w:type="spellEnd"/>
      <w:r>
        <w:rPr>
          <w:rFonts w:ascii="David" w:hAnsi="David" w:cs="David"/>
          <w:color w:val="202122"/>
          <w:rtl/>
        </w:rPr>
        <w:t xml:space="preserve"> ממנו מאכל ומשתה. ערב יום הכיפורים עם חשיכה, לא היו מניחים אותו לאכול הרבה, מפני שהמאכל מביא את השינה.</w:t>
      </w:r>
    </w:p>
    <w:p w14:paraId="50AC2798" w14:textId="77777777" w:rsidR="00BA1755" w:rsidRDefault="00BA1755" w:rsidP="00C75DD7">
      <w:pPr>
        <w:pStyle w:val="NormalWeb"/>
        <w:shd w:val="clear" w:color="auto" w:fill="FFFFFF"/>
        <w:bidi/>
        <w:spacing w:before="0" w:beforeAutospacing="0" w:after="0" w:afterAutospacing="0" w:line="360" w:lineRule="auto"/>
        <w:ind w:right="720" w:hanging="360"/>
        <w:rPr>
          <w:rtl/>
        </w:rPr>
      </w:pPr>
      <w:r>
        <w:rPr>
          <w:rFonts w:ascii="David" w:hAnsi="David" w:cs="David"/>
          <w:color w:val="202122"/>
          <w:rtl/>
        </w:rPr>
        <w:t xml:space="preserve">2.    המציאות שמוזכרת במשנה שעלול להיות כהן גדול שלא יודע לקרוא הייתה רק בזמן הבית השני שהיה מצב לא תקין שקנו את הכהונה הגדולה בכסף. הכהן הגדול אמור להיות גדול משאר אחיו </w:t>
      </w:r>
      <w:proofErr w:type="spellStart"/>
      <w:r>
        <w:rPr>
          <w:rFonts w:ascii="David" w:hAnsi="David" w:cs="David"/>
          <w:color w:val="202122"/>
          <w:rtl/>
        </w:rPr>
        <w:t>הכהנים</w:t>
      </w:r>
      <w:proofErr w:type="spellEnd"/>
      <w:r>
        <w:rPr>
          <w:rFonts w:ascii="David" w:hAnsi="David" w:cs="David"/>
          <w:color w:val="202122"/>
          <w:rtl/>
        </w:rPr>
        <w:t xml:space="preserve"> </w:t>
      </w:r>
      <w:proofErr w:type="spellStart"/>
      <w:r>
        <w:rPr>
          <w:rFonts w:ascii="David" w:hAnsi="David" w:cs="David"/>
          <w:color w:val="202122"/>
          <w:rtl/>
        </w:rPr>
        <w:t>בכח</w:t>
      </w:r>
      <w:proofErr w:type="spellEnd"/>
      <w:r>
        <w:rPr>
          <w:rFonts w:ascii="David" w:hAnsi="David" w:cs="David"/>
          <w:color w:val="202122"/>
          <w:rtl/>
        </w:rPr>
        <w:t xml:space="preserve"> בנוי בחכמה ובעושר.  </w:t>
      </w:r>
    </w:p>
    <w:p w14:paraId="7777DF9C" w14:textId="77777777" w:rsidR="00BA1755" w:rsidRDefault="00BA1755" w:rsidP="00C75DD7">
      <w:pPr>
        <w:pStyle w:val="NormalWeb"/>
        <w:shd w:val="clear" w:color="auto" w:fill="FFFFFF"/>
        <w:bidi/>
        <w:spacing w:before="0" w:beforeAutospacing="0" w:after="0" w:afterAutospacing="0" w:line="360" w:lineRule="auto"/>
        <w:ind w:right="720" w:hanging="360"/>
        <w:rPr>
          <w:rtl/>
        </w:rPr>
      </w:pPr>
      <w:r>
        <w:rPr>
          <w:rFonts w:ascii="David" w:hAnsi="David" w:cs="David"/>
          <w:color w:val="202122"/>
          <w:rtl/>
        </w:rPr>
        <w:t xml:space="preserve">3.    </w:t>
      </w:r>
      <w:r>
        <w:rPr>
          <w:rFonts w:ascii="David" w:hAnsi="David" w:cs="David"/>
          <w:b/>
          <w:bCs/>
          <w:color w:val="202122"/>
          <w:rtl/>
        </w:rPr>
        <w:t>לדעת התנא של משנתנו</w:t>
      </w:r>
      <w:r>
        <w:rPr>
          <w:rFonts w:ascii="David" w:hAnsi="David" w:cs="David"/>
          <w:color w:val="202122"/>
          <w:rtl/>
        </w:rPr>
        <w:t xml:space="preserve"> לא העבירו לפני הכהן הגדול שעירים משום שזה יחליש את דעתו, שהשעירים הם כפרה עבור כלל ישראל והכהן הגדול אינו יכול להחזיר את העם בתשובה על חטאיהם. </w:t>
      </w:r>
      <w:r>
        <w:rPr>
          <w:rFonts w:ascii="David" w:hAnsi="David" w:cs="David"/>
          <w:b/>
          <w:bCs/>
          <w:color w:val="202122"/>
          <w:rtl/>
        </w:rPr>
        <w:t xml:space="preserve">לדעת </w:t>
      </w:r>
      <w:proofErr w:type="spellStart"/>
      <w:r>
        <w:rPr>
          <w:rFonts w:ascii="David" w:hAnsi="David" w:cs="David"/>
          <w:b/>
          <w:bCs/>
          <w:color w:val="202122"/>
          <w:rtl/>
        </w:rPr>
        <w:t>הברייתא</w:t>
      </w:r>
      <w:proofErr w:type="spellEnd"/>
      <w:r>
        <w:rPr>
          <w:rFonts w:ascii="David" w:hAnsi="David" w:cs="David"/>
          <w:color w:val="202122"/>
          <w:rtl/>
        </w:rPr>
        <w:t xml:space="preserve"> היו מעבירים לפניו שעירים.</w:t>
      </w:r>
    </w:p>
    <w:p w14:paraId="4CCA6B5E" w14:textId="77777777" w:rsidR="00BA1755" w:rsidRDefault="00BA1755" w:rsidP="00C75DD7">
      <w:pPr>
        <w:pStyle w:val="NormalWeb"/>
        <w:shd w:val="clear" w:color="auto" w:fill="FFFFFF"/>
        <w:bidi/>
        <w:spacing w:before="0" w:beforeAutospacing="0" w:after="0" w:afterAutospacing="0" w:line="360" w:lineRule="auto"/>
        <w:ind w:right="720" w:hanging="360"/>
        <w:rPr>
          <w:rtl/>
        </w:rPr>
      </w:pPr>
      <w:r>
        <w:rPr>
          <w:rFonts w:ascii="David" w:hAnsi="David" w:cs="David"/>
          <w:color w:val="202122"/>
          <w:rtl/>
        </w:rPr>
        <w:t xml:space="preserve">4.    </w:t>
      </w:r>
      <w:r>
        <w:rPr>
          <w:rFonts w:ascii="David" w:hAnsi="David" w:cs="David"/>
          <w:b/>
          <w:bCs/>
          <w:color w:val="202122"/>
          <w:rtl/>
        </w:rPr>
        <w:t xml:space="preserve">לדעת רבי יהודה בן </w:t>
      </w:r>
      <w:proofErr w:type="spellStart"/>
      <w:r>
        <w:rPr>
          <w:rFonts w:ascii="David" w:hAnsi="David" w:cs="David"/>
          <w:b/>
          <w:bCs/>
          <w:color w:val="202122"/>
          <w:rtl/>
        </w:rPr>
        <w:t>נקוסא</w:t>
      </w:r>
      <w:proofErr w:type="spellEnd"/>
      <w:r>
        <w:rPr>
          <w:rFonts w:ascii="David" w:hAnsi="David" w:cs="David"/>
          <w:color w:val="202122"/>
          <w:rtl/>
        </w:rPr>
        <w:t xml:space="preserve"> מאכילים את הכהן הגדול </w:t>
      </w:r>
      <w:proofErr w:type="spellStart"/>
      <w:r>
        <w:rPr>
          <w:rFonts w:ascii="David" w:hAnsi="David" w:cs="David"/>
          <w:color w:val="202122"/>
          <w:rtl/>
        </w:rPr>
        <w:t>סלתות</w:t>
      </w:r>
      <w:proofErr w:type="spellEnd"/>
      <w:r>
        <w:rPr>
          <w:rFonts w:ascii="David" w:hAnsi="David" w:cs="David"/>
          <w:color w:val="202122"/>
          <w:rtl/>
        </w:rPr>
        <w:t xml:space="preserve"> וביצים כדי למסמס אכילה שבמעיו לשלשלו שלא יצטרך לנקביו למחרת. לדעת חכמים אין להביא לו מאכלים אלו משום שהם גורמים לחימום ומרבים את הזרע.</w:t>
      </w:r>
    </w:p>
    <w:p w14:paraId="0C85CD31" w14:textId="77777777" w:rsidR="00BA1755" w:rsidRDefault="00BA1755" w:rsidP="00C75DD7">
      <w:pPr>
        <w:pStyle w:val="NormalWeb"/>
        <w:shd w:val="clear" w:color="auto" w:fill="FFFFFF"/>
        <w:bidi/>
        <w:spacing w:before="0" w:beforeAutospacing="0" w:after="0" w:afterAutospacing="0" w:line="360" w:lineRule="auto"/>
        <w:ind w:right="720" w:hanging="360"/>
        <w:rPr>
          <w:rtl/>
        </w:rPr>
      </w:pPr>
      <w:r>
        <w:rPr>
          <w:rFonts w:ascii="David" w:hAnsi="David" w:cs="David"/>
          <w:color w:val="202122"/>
          <w:rtl/>
        </w:rPr>
        <w:t>5.    אכסנאי לא יאכל ביצים ולא יישן בטליתו של בעל הבית (רש"י - שמא יראה קרי ויתגנה על בעל הבית).</w:t>
      </w:r>
    </w:p>
    <w:p w14:paraId="041D94B1" w14:textId="77777777" w:rsidR="00BA1755" w:rsidRDefault="00BA1755" w:rsidP="00C75DD7">
      <w:pPr>
        <w:pStyle w:val="NormalWeb"/>
        <w:shd w:val="clear" w:color="auto" w:fill="FFFFFF"/>
        <w:bidi/>
        <w:spacing w:before="0" w:beforeAutospacing="0" w:after="0" w:afterAutospacing="0" w:line="360" w:lineRule="auto"/>
        <w:ind w:right="720" w:hanging="360"/>
        <w:rPr>
          <w:rtl/>
        </w:rPr>
      </w:pPr>
      <w:r>
        <w:rPr>
          <w:rFonts w:ascii="David" w:hAnsi="David" w:cs="David"/>
          <w:color w:val="202122"/>
          <w:rtl/>
        </w:rPr>
        <w:t xml:space="preserve">6.    רב ורב נחמן היו מכריזים לפני שהלכו למקום מסוים איזה </w:t>
      </w:r>
      <w:proofErr w:type="spellStart"/>
      <w:r>
        <w:rPr>
          <w:rFonts w:ascii="David" w:hAnsi="David" w:cs="David"/>
          <w:color w:val="202122"/>
          <w:rtl/>
        </w:rPr>
        <w:t>אשה</w:t>
      </w:r>
      <w:proofErr w:type="spellEnd"/>
      <w:r>
        <w:rPr>
          <w:rFonts w:ascii="David" w:hAnsi="David" w:cs="David"/>
          <w:color w:val="202122"/>
          <w:rtl/>
        </w:rPr>
        <w:t xml:space="preserve"> רוצה להינשא להם רק לזמן שהותם שם (מאירי – כדי לעמוד בלא הרהור). אין חשש שבנו ממקום זה </w:t>
      </w:r>
      <w:proofErr w:type="spellStart"/>
      <w:r>
        <w:rPr>
          <w:rFonts w:ascii="David" w:hAnsi="David" w:cs="David"/>
          <w:color w:val="202122"/>
          <w:rtl/>
        </w:rPr>
        <w:t>ישא</w:t>
      </w:r>
      <w:proofErr w:type="spellEnd"/>
      <w:r>
        <w:rPr>
          <w:rFonts w:ascii="David" w:hAnsi="David" w:cs="David"/>
          <w:color w:val="202122"/>
          <w:rtl/>
        </w:rPr>
        <w:t xml:space="preserve"> אחותו ממקום אחר משום שידוע על בני רבנים המפורסמים מי אביהם. ואין חשש של דם </w:t>
      </w:r>
      <w:proofErr w:type="spellStart"/>
      <w:r>
        <w:rPr>
          <w:rFonts w:ascii="David" w:hAnsi="David" w:cs="David"/>
          <w:color w:val="202122"/>
          <w:rtl/>
        </w:rPr>
        <w:t>חימוד</w:t>
      </w:r>
      <w:proofErr w:type="spellEnd"/>
      <w:r>
        <w:rPr>
          <w:rFonts w:ascii="David" w:hAnsi="David" w:cs="David"/>
          <w:color w:val="202122"/>
          <w:rtl/>
        </w:rPr>
        <w:t xml:space="preserve"> או משום שהיו שולחים שליח מראש, או משום שלא היו </w:t>
      </w:r>
      <w:proofErr w:type="spellStart"/>
      <w:r>
        <w:rPr>
          <w:rFonts w:ascii="David" w:hAnsi="David" w:cs="David"/>
          <w:color w:val="202122"/>
          <w:rtl/>
        </w:rPr>
        <w:t>נזקקין</w:t>
      </w:r>
      <w:proofErr w:type="spellEnd"/>
      <w:r>
        <w:rPr>
          <w:rFonts w:ascii="David" w:hAnsi="David" w:cs="David"/>
          <w:color w:val="202122"/>
          <w:rtl/>
        </w:rPr>
        <w:t xml:space="preserve"> לנשים אלא היו רק מתייחדים איתם שיהיה להם פת בסלו.</w:t>
      </w:r>
    </w:p>
    <w:p w14:paraId="7DDDED24" w14:textId="77777777" w:rsidR="00BA1755" w:rsidRDefault="00BA1755" w:rsidP="00C75DD7">
      <w:pPr>
        <w:pStyle w:val="NormalWeb"/>
        <w:shd w:val="clear" w:color="auto" w:fill="FFFFFF"/>
        <w:bidi/>
        <w:spacing w:before="0" w:beforeAutospacing="0" w:after="120" w:afterAutospacing="0" w:line="360" w:lineRule="auto"/>
        <w:ind w:right="720" w:hanging="360"/>
        <w:rPr>
          <w:rtl/>
        </w:rPr>
      </w:pPr>
      <w:r>
        <w:rPr>
          <w:rFonts w:ascii="David" w:hAnsi="David" w:cs="David"/>
          <w:color w:val="202122"/>
          <w:rtl/>
        </w:rPr>
        <w:t xml:space="preserve">7.    </w:t>
      </w:r>
      <w:r>
        <w:rPr>
          <w:rFonts w:ascii="David" w:hAnsi="David" w:cs="David"/>
          <w:b/>
          <w:bCs/>
          <w:color w:val="202122"/>
          <w:rtl/>
        </w:rPr>
        <w:t>משנה:</w:t>
      </w:r>
      <w:r>
        <w:rPr>
          <w:rFonts w:ascii="David" w:hAnsi="David" w:cs="David"/>
          <w:color w:val="202122"/>
          <w:rtl/>
        </w:rPr>
        <w:t xml:space="preserve"> מסרוהו זקני בית דין לזקני כהונה, והעלוהו לעליית בית </w:t>
      </w:r>
      <w:proofErr w:type="spellStart"/>
      <w:r>
        <w:rPr>
          <w:rFonts w:ascii="David" w:hAnsi="David" w:cs="David"/>
          <w:color w:val="202122"/>
          <w:rtl/>
        </w:rPr>
        <w:t>אבטינס</w:t>
      </w:r>
      <w:proofErr w:type="spellEnd"/>
      <w:r>
        <w:rPr>
          <w:rFonts w:ascii="David" w:hAnsi="David" w:cs="David"/>
          <w:color w:val="202122"/>
          <w:rtl/>
        </w:rPr>
        <w:t xml:space="preserve">, והשביעוהו ונפטרו והלכו להם. ואמרו לו: אישי כהן גדול, אנו שלוחי בית דין, ואתה שלוחנו ושליח בית דין, </w:t>
      </w:r>
      <w:proofErr w:type="spellStart"/>
      <w:r>
        <w:rPr>
          <w:rFonts w:ascii="David" w:hAnsi="David" w:cs="David"/>
          <w:color w:val="202122"/>
          <w:rtl/>
        </w:rPr>
        <w:t>משביעין</w:t>
      </w:r>
      <w:proofErr w:type="spellEnd"/>
      <w:r>
        <w:rPr>
          <w:rFonts w:ascii="David" w:hAnsi="David" w:cs="David"/>
          <w:color w:val="202122"/>
          <w:rtl/>
        </w:rPr>
        <w:t xml:space="preserve"> אנו עליך במי ששיכן שמו בבית הזה, שלא תשנה דבר מכל מה שאמרנו לך. הוא פורש ובוכה, והן </w:t>
      </w:r>
      <w:proofErr w:type="spellStart"/>
      <w:r>
        <w:rPr>
          <w:rFonts w:ascii="David" w:hAnsi="David" w:cs="David"/>
          <w:color w:val="202122"/>
          <w:rtl/>
        </w:rPr>
        <w:t>פורשין</w:t>
      </w:r>
      <w:proofErr w:type="spellEnd"/>
      <w:r>
        <w:rPr>
          <w:rFonts w:ascii="David" w:hAnsi="David" w:cs="David"/>
          <w:color w:val="202122"/>
          <w:rtl/>
        </w:rPr>
        <w:t xml:space="preserve"> </w:t>
      </w:r>
      <w:proofErr w:type="spellStart"/>
      <w:r>
        <w:rPr>
          <w:rFonts w:ascii="David" w:hAnsi="David" w:cs="David"/>
          <w:color w:val="202122"/>
          <w:rtl/>
        </w:rPr>
        <w:t>ובוכין</w:t>
      </w:r>
      <w:proofErr w:type="spellEnd"/>
      <w:r>
        <w:rPr>
          <w:rFonts w:ascii="David" w:hAnsi="David" w:cs="David"/>
          <w:color w:val="202122"/>
          <w:rtl/>
        </w:rPr>
        <w:t xml:space="preserve">. אם היה חכם, דורש. ואם לאו, תלמידי חכמים </w:t>
      </w:r>
      <w:proofErr w:type="spellStart"/>
      <w:r>
        <w:rPr>
          <w:rFonts w:ascii="David" w:hAnsi="David" w:cs="David"/>
          <w:color w:val="202122"/>
          <w:rtl/>
        </w:rPr>
        <w:t>דורשין</w:t>
      </w:r>
      <w:proofErr w:type="spellEnd"/>
      <w:r>
        <w:rPr>
          <w:rFonts w:ascii="David" w:hAnsi="David" w:cs="David"/>
          <w:color w:val="202122"/>
          <w:rtl/>
        </w:rPr>
        <w:t xml:space="preserve"> לפניו. ואם רגיל לקרות, קורא. ואם לאו, קורין לפניו. ובמה קורין לפניו? באיוב ובעזרא ובדברי הימים. זכריה בן </w:t>
      </w:r>
      <w:proofErr w:type="spellStart"/>
      <w:r>
        <w:rPr>
          <w:rFonts w:ascii="David" w:hAnsi="David" w:cs="David"/>
          <w:color w:val="202122"/>
          <w:rtl/>
        </w:rPr>
        <w:t>קבוטל</w:t>
      </w:r>
      <w:proofErr w:type="spellEnd"/>
      <w:r>
        <w:rPr>
          <w:rFonts w:ascii="David" w:hAnsi="David" w:cs="David"/>
          <w:color w:val="202122"/>
          <w:rtl/>
        </w:rPr>
        <w:t xml:space="preserve"> אומר, פעמים הרבה </w:t>
      </w:r>
      <w:proofErr w:type="spellStart"/>
      <w:r>
        <w:rPr>
          <w:rFonts w:ascii="David" w:hAnsi="David" w:cs="David"/>
          <w:color w:val="202122"/>
          <w:rtl/>
        </w:rPr>
        <w:t>קריתי</w:t>
      </w:r>
      <w:proofErr w:type="spellEnd"/>
      <w:r>
        <w:rPr>
          <w:rFonts w:ascii="David" w:hAnsi="David" w:cs="David"/>
          <w:color w:val="202122"/>
          <w:rtl/>
        </w:rPr>
        <w:t xml:space="preserve"> לפניו בדניאל.</w:t>
      </w:r>
    </w:p>
    <w:p w14:paraId="65E2858B" w14:textId="495E4A65" w:rsidR="00222B76" w:rsidRPr="00BA1755" w:rsidRDefault="00222B76" w:rsidP="00C75DD7">
      <w:pPr>
        <w:spacing w:line="360" w:lineRule="auto"/>
      </w:pPr>
    </w:p>
    <w:sectPr w:rsidR="00222B76" w:rsidRPr="00BA1755" w:rsidSect="00844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zra SIL SR">
    <w:altName w:val="Arial"/>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16817"/>
    <w:multiLevelType w:val="hybridMultilevel"/>
    <w:tmpl w:val="FEF81978"/>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E3746A"/>
    <w:multiLevelType w:val="hybridMultilevel"/>
    <w:tmpl w:val="CF940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7A25EB4"/>
    <w:multiLevelType w:val="multilevel"/>
    <w:tmpl w:val="D62252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79480746"/>
    <w:multiLevelType w:val="hybridMultilevel"/>
    <w:tmpl w:val="50B6CADA"/>
    <w:lvl w:ilvl="0" w:tplc="973C880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24"/>
    <w:rsid w:val="000351E8"/>
    <w:rsid w:val="00046821"/>
    <w:rsid w:val="0018466D"/>
    <w:rsid w:val="001B7CEB"/>
    <w:rsid w:val="00222B76"/>
    <w:rsid w:val="00297197"/>
    <w:rsid w:val="002A7C55"/>
    <w:rsid w:val="003A4C80"/>
    <w:rsid w:val="00436C28"/>
    <w:rsid w:val="004422E2"/>
    <w:rsid w:val="00643271"/>
    <w:rsid w:val="00656B57"/>
    <w:rsid w:val="006816B1"/>
    <w:rsid w:val="006A4C4A"/>
    <w:rsid w:val="007579DA"/>
    <w:rsid w:val="0078109C"/>
    <w:rsid w:val="007A3732"/>
    <w:rsid w:val="007D55A4"/>
    <w:rsid w:val="007F7E6F"/>
    <w:rsid w:val="008366CE"/>
    <w:rsid w:val="00844123"/>
    <w:rsid w:val="009B1924"/>
    <w:rsid w:val="009B2D9D"/>
    <w:rsid w:val="009B4F14"/>
    <w:rsid w:val="009F7234"/>
    <w:rsid w:val="00A308DF"/>
    <w:rsid w:val="00A3570C"/>
    <w:rsid w:val="00A851CC"/>
    <w:rsid w:val="00AB1863"/>
    <w:rsid w:val="00AB32A3"/>
    <w:rsid w:val="00B03CA6"/>
    <w:rsid w:val="00B84F65"/>
    <w:rsid w:val="00B95723"/>
    <w:rsid w:val="00BA1755"/>
    <w:rsid w:val="00C358E6"/>
    <w:rsid w:val="00C360ED"/>
    <w:rsid w:val="00C4082B"/>
    <w:rsid w:val="00C42313"/>
    <w:rsid w:val="00C75DD7"/>
    <w:rsid w:val="00C80BC4"/>
    <w:rsid w:val="00CF3884"/>
    <w:rsid w:val="00D131CE"/>
    <w:rsid w:val="00D3622E"/>
    <w:rsid w:val="00D4700A"/>
    <w:rsid w:val="00D706E4"/>
    <w:rsid w:val="00EB227F"/>
    <w:rsid w:val="00ED1B09"/>
    <w:rsid w:val="00F24C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7D45"/>
  <w15:chartTrackingRefBased/>
  <w15:docId w15:val="{915AFF80-A995-4B12-B3F6-2DE272A3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ס''ק 2"/>
    <w:basedOn w:val="a"/>
    <w:next w:val="a"/>
    <w:link w:val="a4"/>
    <w:qFormat/>
    <w:rsid w:val="003A4C80"/>
    <w:pPr>
      <w:spacing w:after="0" w:line="360" w:lineRule="auto"/>
      <w:jc w:val="both"/>
    </w:pPr>
    <w:rPr>
      <w:rFonts w:ascii="Ezra SIL SR" w:hAnsi="Ezra SIL SR" w:cs="David"/>
      <w:color w:val="000000" w:themeColor="text1"/>
      <w:sz w:val="16"/>
      <w:szCs w:val="20"/>
    </w:rPr>
  </w:style>
  <w:style w:type="character" w:customStyle="1" w:styleId="a4">
    <w:name w:val="כותרת משנה תו"/>
    <w:aliases w:val="ס''ק 2 תו"/>
    <w:basedOn w:val="a0"/>
    <w:link w:val="a3"/>
    <w:rsid w:val="003A4C80"/>
    <w:rPr>
      <w:rFonts w:ascii="Ezra SIL SR" w:hAnsi="Ezra SIL SR" w:cs="David"/>
      <w:color w:val="000000" w:themeColor="text1"/>
      <w:sz w:val="16"/>
      <w:szCs w:val="20"/>
    </w:rPr>
  </w:style>
  <w:style w:type="paragraph" w:styleId="NormalWeb">
    <w:name w:val="Normal (Web)"/>
    <w:basedOn w:val="a"/>
    <w:uiPriority w:val="99"/>
    <w:semiHidden/>
    <w:unhideWhenUsed/>
    <w:rsid w:val="00BA175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BA1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4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1604</Words>
  <Characters>8024</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גן</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פרנקל</dc:creator>
  <cp:keywords/>
  <dc:description/>
  <cp:lastModifiedBy>תפארת קירש</cp:lastModifiedBy>
  <cp:revision>3</cp:revision>
  <dcterms:created xsi:type="dcterms:W3CDTF">2021-04-19T19:53:00Z</dcterms:created>
  <dcterms:modified xsi:type="dcterms:W3CDTF">2021-04-19T19:57:00Z</dcterms:modified>
</cp:coreProperties>
</file>