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B7E0" w14:textId="4A8BA472" w:rsidR="005B62DC" w:rsidRPr="005B62DC" w:rsidRDefault="005B62DC" w:rsidP="005B62DC">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5B62DC">
        <w:rPr>
          <w:rFonts w:asciiTheme="majorBidi" w:hAnsiTheme="majorBidi" w:cs="Times New Roman"/>
          <w:sz w:val="24"/>
          <w:szCs w:val="24"/>
          <w:rtl/>
        </w:rPr>
        <w:t xml:space="preserve"> מסכת גיטין דף יב עמוד א</w:t>
      </w:r>
    </w:p>
    <w:p w14:paraId="3367C3BD" w14:textId="68983F4B" w:rsidR="005B62DC" w:rsidRPr="005B62DC" w:rsidRDefault="005B62DC" w:rsidP="005B62DC">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ש</w:t>
      </w:r>
      <w:r w:rsidRPr="005B62DC">
        <w:rPr>
          <w:rFonts w:asciiTheme="majorBidi" w:hAnsiTheme="majorBidi" w:cs="Times New Roman"/>
          <w:sz w:val="24"/>
          <w:szCs w:val="24"/>
          <w:rtl/>
        </w:rPr>
        <w:t>מעת מינה: יכול הרב לומר לעבד עשה עמי ואיני זנך!</w:t>
      </w:r>
      <w:r>
        <w:rPr>
          <w:rFonts w:asciiTheme="majorBidi" w:hAnsiTheme="majorBidi" w:cs="Times New Roman" w:hint="cs"/>
          <w:sz w:val="24"/>
          <w:szCs w:val="24"/>
          <w:rtl/>
        </w:rPr>
        <w:t>...</w:t>
      </w:r>
      <w:r w:rsidRPr="005B62DC">
        <w:rPr>
          <w:rtl/>
        </w:rPr>
        <w:t xml:space="preserve"> </w:t>
      </w:r>
      <w:r>
        <w:rPr>
          <w:rFonts w:asciiTheme="majorBidi" w:hAnsiTheme="majorBidi" w:cs="Times New Roman" w:hint="cs"/>
          <w:sz w:val="24"/>
          <w:szCs w:val="24"/>
          <w:rtl/>
        </w:rPr>
        <w:t xml:space="preserve"> </w:t>
      </w:r>
    </w:p>
    <w:p w14:paraId="4938B37D" w14:textId="0EC3191F" w:rsidR="005B62DC" w:rsidRPr="005B62DC" w:rsidRDefault="005B62DC" w:rsidP="005B62DC">
      <w:pPr>
        <w:spacing w:after="0" w:line="360" w:lineRule="auto"/>
        <w:rPr>
          <w:rFonts w:asciiTheme="majorBidi" w:hAnsiTheme="majorBidi" w:cstheme="majorBidi"/>
          <w:sz w:val="24"/>
          <w:szCs w:val="24"/>
          <w:rtl/>
        </w:rPr>
      </w:pPr>
      <w:r w:rsidRPr="005B62DC">
        <w:rPr>
          <w:rFonts w:asciiTheme="majorBidi" w:hAnsiTheme="majorBidi" w:cs="Times New Roman"/>
          <w:sz w:val="24"/>
          <w:szCs w:val="24"/>
          <w:rtl/>
        </w:rPr>
        <w:t>לימא כתנאי; רבן שמעון בן גמליאל אומר: יכול העבד לומר לרבו בשני בצורת או פרנסני או הוציאני לחירות, וחכמים אומרים: הרשות ביד רבו; מאי לאו בהא קמיפלגי, דמר סבר: יכול, ומר סבר: אינו יכול! ותיסברא? האי או פרנסני או הוציאני לחירות, או פרנסני או תן לי מעשה ידי בפרנסתי מיבעי ליה! ועוד, מאי שנא בשני בצורת? אלא הכא במאי עסקינן - דאמר לו צא מעשה ידיך למזונותיך, ובשני בצורת לא ספק, רשב"ג סבר: או פרנסני או הוציאני לחירות, כי היכי דחזו לי אינשי ומרחמין עלי; ורבנן סברי: מאן דמרחם אבני חרי, אעבד נמי רחומי מרחם.</w:t>
      </w:r>
      <w:r>
        <w:rPr>
          <w:rFonts w:asciiTheme="majorBidi" w:hAnsiTheme="majorBidi" w:cstheme="majorBidi" w:hint="cs"/>
          <w:sz w:val="24"/>
          <w:szCs w:val="24"/>
          <w:rtl/>
        </w:rPr>
        <w:t xml:space="preserve">.. </w:t>
      </w:r>
    </w:p>
    <w:p w14:paraId="3F384681" w14:textId="1EB2DE94" w:rsidR="00A82CF4" w:rsidRDefault="005B62DC" w:rsidP="005B62DC">
      <w:pPr>
        <w:spacing w:after="0" w:line="360" w:lineRule="auto"/>
        <w:rPr>
          <w:rFonts w:asciiTheme="majorBidi" w:hAnsiTheme="majorBidi" w:cs="Times New Roman"/>
          <w:sz w:val="24"/>
          <w:szCs w:val="24"/>
          <w:rtl/>
        </w:rPr>
      </w:pPr>
      <w:r w:rsidRPr="005B62DC">
        <w:rPr>
          <w:rFonts w:asciiTheme="majorBidi" w:hAnsiTheme="majorBidi" w:cs="Times New Roman"/>
          <w:sz w:val="24"/>
          <w:szCs w:val="24"/>
          <w:rtl/>
        </w:rPr>
        <w:t>ת"ש, דאמר ר' יוחנן: הקוטע יד עבדו של חבירו - נותן שבתו ורפואתו לרבו, ואותו העבד ניזון מן הצדקה; ש"מ: יכול הרב לומר לעבד עשה עמי ואיני זנך! הכא במאי עסקי' - במעלה לו מזונות. אי הכי, אמאי ניזון מן הצדקה? להעדפה. אי הכי, ניזון מתפרנס מיבעי ליה! אלא לאו ש"מ יכול, ש"מ.</w:t>
      </w:r>
    </w:p>
    <w:p w14:paraId="4F119D0B" w14:textId="526D0BA4" w:rsidR="005B62DC" w:rsidRDefault="005F3469" w:rsidP="00C67DC0">
      <w:pPr>
        <w:spacing w:after="0" w:line="360" w:lineRule="auto"/>
        <w:jc w:val="center"/>
        <w:rPr>
          <w:rFonts w:asciiTheme="majorBidi" w:hAnsiTheme="majorBidi" w:cs="Times New Roman"/>
          <w:sz w:val="28"/>
          <w:szCs w:val="28"/>
          <w:u w:val="single"/>
          <w:rtl/>
        </w:rPr>
      </w:pPr>
      <w:r>
        <w:rPr>
          <w:rFonts w:asciiTheme="majorBidi" w:hAnsiTheme="majorBidi" w:cs="Times New Roman" w:hint="cs"/>
          <w:sz w:val="28"/>
          <w:szCs w:val="28"/>
          <w:u w:val="single"/>
          <w:rtl/>
        </w:rPr>
        <w:t>האומר לעבדו עשה עימי ואיני זנך</w:t>
      </w:r>
    </w:p>
    <w:p w14:paraId="48CADC46" w14:textId="7720E271" w:rsidR="00A04B5D" w:rsidRPr="002C3BEC" w:rsidRDefault="00A04B5D" w:rsidP="002C3BEC">
      <w:pPr>
        <w:pStyle w:val="aa"/>
        <w:numPr>
          <w:ilvl w:val="0"/>
          <w:numId w:val="1"/>
        </w:numPr>
        <w:spacing w:after="0" w:line="360" w:lineRule="auto"/>
        <w:rPr>
          <w:rFonts w:asciiTheme="majorBidi" w:hAnsiTheme="majorBidi" w:cs="Times New Roman"/>
          <w:b/>
          <w:bCs/>
          <w:sz w:val="24"/>
          <w:szCs w:val="24"/>
          <w:rtl/>
        </w:rPr>
      </w:pPr>
      <w:r w:rsidRPr="002C3BEC">
        <w:rPr>
          <w:rFonts w:asciiTheme="majorBidi" w:hAnsiTheme="majorBidi" w:cs="Times New Roman" w:hint="cs"/>
          <w:b/>
          <w:bCs/>
          <w:sz w:val="24"/>
          <w:szCs w:val="24"/>
          <w:rtl/>
        </w:rPr>
        <w:t>סיכום הסוגיה</w:t>
      </w:r>
    </w:p>
    <w:p w14:paraId="77B4E0F5" w14:textId="1F0CCAC0" w:rsidR="00A04B5D" w:rsidRDefault="005F3469" w:rsidP="00A04B5D">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הגמרא</w:t>
      </w:r>
      <w:r w:rsidR="00FD1095">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מנסה להוכיח האם יכול הרב לומר לעבדו </w:t>
      </w:r>
      <w:r w:rsidR="00FD1095" w:rsidRPr="005B62DC">
        <w:rPr>
          <w:rFonts w:asciiTheme="majorBidi" w:hAnsiTheme="majorBidi" w:cs="Times New Roman"/>
          <w:sz w:val="24"/>
          <w:szCs w:val="24"/>
          <w:rtl/>
        </w:rPr>
        <w:t>עשה עמי ואיני זנך</w:t>
      </w:r>
      <w:r w:rsidR="00FD1095">
        <w:rPr>
          <w:rFonts w:asciiTheme="majorBidi" w:hAnsiTheme="majorBidi" w:cs="Times New Roman" w:hint="cs"/>
          <w:sz w:val="24"/>
          <w:szCs w:val="24"/>
          <w:rtl/>
        </w:rPr>
        <w:t xml:space="preserve">. </w:t>
      </w:r>
      <w:r w:rsidR="00A04B5D">
        <w:rPr>
          <w:rFonts w:asciiTheme="majorBidi" w:hAnsiTheme="majorBidi" w:cs="Times New Roman" w:hint="cs"/>
          <w:sz w:val="24"/>
          <w:szCs w:val="24"/>
          <w:rtl/>
        </w:rPr>
        <w:t>מדובר בעבד כנעני בלבד:</w:t>
      </w:r>
    </w:p>
    <w:p w14:paraId="3C646E97" w14:textId="1238DC94" w:rsidR="005F3469" w:rsidRDefault="00A04B5D" w:rsidP="00A04B5D">
      <w:pPr>
        <w:spacing w:after="0" w:line="360" w:lineRule="auto"/>
        <w:rPr>
          <w:rFonts w:asciiTheme="majorBidi" w:hAnsiTheme="majorBidi" w:cs="Times New Roman"/>
          <w:sz w:val="24"/>
          <w:szCs w:val="24"/>
          <w:rtl/>
        </w:rPr>
      </w:pPr>
      <w:r>
        <w:rPr>
          <w:rFonts w:ascii="David" w:hAnsi="David" w:cs="David" w:hint="cs"/>
          <w:sz w:val="24"/>
          <w:szCs w:val="24"/>
          <w:rtl/>
        </w:rPr>
        <w:t>"</w:t>
      </w:r>
      <w:r w:rsidRPr="00A04B5D">
        <w:rPr>
          <w:rFonts w:ascii="David" w:hAnsi="David" w:cs="David"/>
          <w:sz w:val="24"/>
          <w:szCs w:val="24"/>
          <w:rtl/>
        </w:rPr>
        <w:t>אפילו למ"ד: יכול הרב לומר לעבד עשה עמי ואיני זנך, ה"מ בעבד כנעני, דלא כתיב ביה עמך, אבל עבד עברי דכתיב ביה עמך – לא</w:t>
      </w:r>
      <w:r w:rsidRPr="00A04B5D">
        <w:rPr>
          <w:rStyle w:val="a5"/>
          <w:rFonts w:ascii="David" w:hAnsi="David" w:cs="David"/>
          <w:sz w:val="24"/>
          <w:szCs w:val="24"/>
          <w:rtl/>
        </w:rPr>
        <w:footnoteReference w:id="1"/>
      </w:r>
      <w:r w:rsidRPr="00A04B5D">
        <w:rPr>
          <w:rFonts w:ascii="David" w:hAnsi="David" w:cs="David"/>
          <w:sz w:val="24"/>
          <w:szCs w:val="24"/>
          <w:rtl/>
        </w:rPr>
        <w:t>".</w:t>
      </w:r>
      <w:r w:rsidRPr="00A04B5D">
        <w:rPr>
          <w:rFonts w:asciiTheme="majorBidi" w:hAnsiTheme="majorBidi" w:cs="Times New Roman"/>
          <w:sz w:val="24"/>
          <w:szCs w:val="24"/>
          <w:rtl/>
        </w:rPr>
        <w:t xml:space="preserve"> </w:t>
      </w:r>
      <w:r w:rsidR="00FD1095">
        <w:rPr>
          <w:rFonts w:asciiTheme="majorBidi" w:hAnsiTheme="majorBidi" w:cs="Times New Roman" w:hint="cs"/>
          <w:sz w:val="24"/>
          <w:szCs w:val="24"/>
          <w:rtl/>
        </w:rPr>
        <w:t>כמה ראיות נדחות בטענה, שהרב אמר 'צא מעשה ידיך למזונותיך'.  למסקנה נשארים דברי רב ורבי יוחנן, ומחלוקת התנאים בברייתא.</w:t>
      </w:r>
    </w:p>
    <w:p w14:paraId="06579A3C" w14:textId="160F535A" w:rsidR="002C3BEC" w:rsidRDefault="002C3BEC" w:rsidP="002C3BEC">
      <w:pPr>
        <w:spacing w:after="0" w:line="360" w:lineRule="auto"/>
        <w:rPr>
          <w:rFonts w:asciiTheme="majorBidi" w:hAnsiTheme="majorBidi" w:cs="Times New Roman"/>
          <w:sz w:val="24"/>
          <w:szCs w:val="24"/>
          <w:rtl/>
        </w:rPr>
      </w:pPr>
      <w:r>
        <w:rPr>
          <w:rFonts w:asciiTheme="majorBidi" w:hAnsiTheme="majorBidi" w:cs="Times New Roman" w:hint="cs"/>
          <w:b/>
          <w:bCs/>
          <w:sz w:val="24"/>
          <w:szCs w:val="24"/>
          <w:rtl/>
        </w:rPr>
        <w:t>ב.</w:t>
      </w:r>
      <w:r w:rsidR="00FD1095" w:rsidRPr="002C3BEC">
        <w:rPr>
          <w:rFonts w:asciiTheme="majorBidi" w:hAnsiTheme="majorBidi" w:cs="Times New Roman" w:hint="cs"/>
          <w:b/>
          <w:bCs/>
          <w:sz w:val="24"/>
          <w:szCs w:val="24"/>
          <w:rtl/>
        </w:rPr>
        <w:t>ד</w:t>
      </w:r>
      <w:r w:rsidR="00C67DC0">
        <w:rPr>
          <w:rFonts w:asciiTheme="majorBidi" w:hAnsiTheme="majorBidi" w:cs="Times New Roman" w:hint="cs"/>
          <w:b/>
          <w:bCs/>
          <w:sz w:val="24"/>
          <w:szCs w:val="24"/>
          <w:rtl/>
        </w:rPr>
        <w:t>עת</w:t>
      </w:r>
      <w:r w:rsidR="00FD1095" w:rsidRPr="002C3BEC">
        <w:rPr>
          <w:rFonts w:asciiTheme="majorBidi" w:hAnsiTheme="majorBidi" w:cs="Times New Roman" w:hint="cs"/>
          <w:b/>
          <w:bCs/>
          <w:sz w:val="24"/>
          <w:szCs w:val="24"/>
          <w:rtl/>
        </w:rPr>
        <w:t xml:space="preserve"> רב </w:t>
      </w:r>
      <w:r w:rsidR="00FD1095" w:rsidRPr="002C3BEC">
        <w:rPr>
          <w:rFonts w:asciiTheme="majorBidi" w:hAnsiTheme="majorBidi" w:cs="Times New Roman" w:hint="cs"/>
          <w:sz w:val="24"/>
          <w:szCs w:val="24"/>
          <w:rtl/>
        </w:rPr>
        <w:t xml:space="preserve"> </w:t>
      </w:r>
    </w:p>
    <w:p w14:paraId="0FE99CBD" w14:textId="26A0EAAC" w:rsidR="00FD1095" w:rsidRPr="002C3BEC" w:rsidRDefault="00FD1095" w:rsidP="002C3BEC">
      <w:pPr>
        <w:spacing w:after="0" w:line="360" w:lineRule="auto"/>
        <w:rPr>
          <w:rFonts w:asciiTheme="majorBidi" w:hAnsiTheme="majorBidi" w:cs="Times New Roman"/>
          <w:sz w:val="24"/>
          <w:szCs w:val="24"/>
          <w:rtl/>
        </w:rPr>
      </w:pPr>
      <w:r w:rsidRPr="002C3BEC">
        <w:rPr>
          <w:rFonts w:asciiTheme="majorBidi" w:hAnsiTheme="majorBidi" w:cs="Times New Roman" w:hint="cs"/>
          <w:sz w:val="24"/>
          <w:szCs w:val="24"/>
          <w:rtl/>
        </w:rPr>
        <w:t xml:space="preserve">רב אמר שהמקדיש ידי עבדו, העבד </w:t>
      </w:r>
      <w:r w:rsidR="00515755" w:rsidRPr="002C3BEC">
        <w:rPr>
          <w:rFonts w:asciiTheme="majorBidi" w:hAnsiTheme="majorBidi" w:cs="Times New Roman" w:hint="cs"/>
          <w:sz w:val="24"/>
          <w:szCs w:val="24"/>
          <w:rtl/>
        </w:rPr>
        <w:t xml:space="preserve">ילווה כדי לאכול, שהרי אינו יכול לאכול מעשה ידיו, ויפרע לאחר מכן. רצתה הגמרא  לומר שלפי זה יכול הרב לומר: </w:t>
      </w:r>
      <w:r w:rsidR="00515755" w:rsidRPr="002C3BEC">
        <w:rPr>
          <w:rFonts w:asciiTheme="majorBidi" w:hAnsiTheme="majorBidi" w:cs="Times New Roman"/>
          <w:sz w:val="24"/>
          <w:szCs w:val="24"/>
          <w:rtl/>
        </w:rPr>
        <w:t>עשה עמי ואיני זנך</w:t>
      </w:r>
      <w:r w:rsidR="00515755" w:rsidRPr="002C3BEC">
        <w:rPr>
          <w:rFonts w:asciiTheme="majorBidi" w:hAnsiTheme="majorBidi" w:cs="Times New Roman" w:hint="cs"/>
          <w:sz w:val="24"/>
          <w:szCs w:val="24"/>
          <w:rtl/>
        </w:rPr>
        <w:t xml:space="preserve">. אלא שהגמרא דוחה, שמדובר כשהרב מעלה לו מזונות, וההלוואה נועדה להעדפה. הגמרא קובעת שתירוץ זה הכרחי, שכן רב עצמו אמר גם שהמקדיש ידי עבדו עושה ואוכל. על כרחך אמרה שניה זו מדברת במקרה שאינו מעלה לו מזונות, ולפיכך אין ההקדש חל. אם כן, מסיקה הגמרא שלפי רב, לא יכול הרב לומר לעבד </w:t>
      </w:r>
      <w:r w:rsidR="00515755" w:rsidRPr="002C3BEC">
        <w:rPr>
          <w:rFonts w:asciiTheme="majorBidi" w:hAnsiTheme="majorBidi" w:cs="Times New Roman"/>
          <w:sz w:val="24"/>
          <w:szCs w:val="24"/>
          <w:rtl/>
        </w:rPr>
        <w:t>עשה עמי ואיני זנך</w:t>
      </w:r>
      <w:r w:rsidR="00515755" w:rsidRPr="002C3BEC">
        <w:rPr>
          <w:rFonts w:asciiTheme="majorBidi" w:hAnsiTheme="majorBidi" w:cs="Times New Roman" w:hint="cs"/>
          <w:sz w:val="24"/>
          <w:szCs w:val="24"/>
          <w:rtl/>
        </w:rPr>
        <w:t xml:space="preserve">. </w:t>
      </w:r>
    </w:p>
    <w:p w14:paraId="11F3E420" w14:textId="1AAB29A2" w:rsidR="002C3BEC" w:rsidRDefault="002C3BEC" w:rsidP="002C3BEC">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ג.</w:t>
      </w:r>
      <w:r w:rsidR="00515755" w:rsidRPr="002C3BEC">
        <w:rPr>
          <w:rFonts w:asciiTheme="majorBidi" w:hAnsiTheme="majorBidi" w:cs="Times New Roman" w:hint="cs"/>
          <w:b/>
          <w:bCs/>
          <w:sz w:val="24"/>
          <w:szCs w:val="24"/>
          <w:rtl/>
        </w:rPr>
        <w:t>ד</w:t>
      </w:r>
      <w:r w:rsidR="00C67DC0">
        <w:rPr>
          <w:rFonts w:asciiTheme="majorBidi" w:hAnsiTheme="majorBidi" w:cs="Times New Roman" w:hint="cs"/>
          <w:b/>
          <w:bCs/>
          <w:sz w:val="24"/>
          <w:szCs w:val="24"/>
          <w:rtl/>
        </w:rPr>
        <w:t>עת</w:t>
      </w:r>
      <w:r w:rsidR="00515755" w:rsidRPr="002C3BEC">
        <w:rPr>
          <w:rFonts w:asciiTheme="majorBidi" w:hAnsiTheme="majorBidi" w:cs="Times New Roman" w:hint="cs"/>
          <w:b/>
          <w:bCs/>
          <w:sz w:val="24"/>
          <w:szCs w:val="24"/>
          <w:rtl/>
        </w:rPr>
        <w:t xml:space="preserve"> רבי יוחנן </w:t>
      </w:r>
    </w:p>
    <w:p w14:paraId="03198F9A" w14:textId="71B6EECB" w:rsidR="00034D50" w:rsidRDefault="00515755" w:rsidP="002C3BEC">
      <w:pPr>
        <w:spacing w:after="0" w:line="360" w:lineRule="auto"/>
        <w:rPr>
          <w:rFonts w:asciiTheme="majorBidi" w:hAnsiTheme="majorBidi" w:cstheme="majorBidi"/>
          <w:sz w:val="24"/>
          <w:szCs w:val="24"/>
          <w:rtl/>
        </w:rPr>
      </w:pPr>
      <w:r w:rsidRPr="002C3BEC">
        <w:rPr>
          <w:rFonts w:asciiTheme="majorBidi" w:hAnsiTheme="majorBidi" w:cs="Times New Roman" w:hint="cs"/>
          <w:sz w:val="24"/>
          <w:szCs w:val="24"/>
          <w:rtl/>
        </w:rPr>
        <w:t xml:space="preserve"> רבי יוחנן קובע שהקוטע יד עבד משלם  שבת לרבו, והעבד ניזון מצדקה. משמע שיכול הרב לומר </w:t>
      </w:r>
      <w:r w:rsidRPr="002C3BEC">
        <w:rPr>
          <w:rFonts w:asciiTheme="majorBidi" w:hAnsiTheme="majorBidi" w:cs="Times New Roman"/>
          <w:sz w:val="24"/>
          <w:szCs w:val="24"/>
          <w:rtl/>
        </w:rPr>
        <w:t>עשה עמי ואיני זנך</w:t>
      </w:r>
      <w:r w:rsidRPr="002C3BEC">
        <w:rPr>
          <w:rFonts w:asciiTheme="majorBidi" w:hAnsiTheme="majorBidi" w:cs="Times New Roman" w:hint="cs"/>
          <w:sz w:val="24"/>
          <w:szCs w:val="24"/>
          <w:rtl/>
        </w:rPr>
        <w:t>. אם כן מחלוקת אמוראים היא.</w:t>
      </w:r>
      <w:r w:rsidR="00034D50" w:rsidRPr="002C3BEC">
        <w:rPr>
          <w:rFonts w:asciiTheme="majorBidi" w:hAnsiTheme="majorBidi" w:cs="Times New Roman" w:hint="cs"/>
          <w:sz w:val="24"/>
          <w:szCs w:val="24"/>
          <w:rtl/>
        </w:rPr>
        <w:t xml:space="preserve"> שנינו: </w:t>
      </w:r>
      <w:r w:rsidR="00034D50" w:rsidRPr="002C3BEC">
        <w:rPr>
          <w:rFonts w:asciiTheme="majorBidi" w:hAnsiTheme="majorBidi" w:cs="Times New Roman"/>
          <w:sz w:val="24"/>
          <w:szCs w:val="24"/>
          <w:rtl/>
        </w:rPr>
        <w:t xml:space="preserve"> </w:t>
      </w:r>
      <w:r w:rsidR="00034D50" w:rsidRPr="002C3BEC">
        <w:rPr>
          <w:rFonts w:ascii="David" w:hAnsi="David" w:cs="David" w:hint="cs"/>
          <w:sz w:val="24"/>
          <w:szCs w:val="24"/>
          <w:rtl/>
        </w:rPr>
        <w:t>"</w:t>
      </w:r>
      <w:r w:rsidR="00034D50" w:rsidRPr="002C3BEC">
        <w:rPr>
          <w:rFonts w:ascii="David" w:hAnsi="David" w:cs="David"/>
          <w:sz w:val="24"/>
          <w:szCs w:val="24"/>
          <w:rtl/>
        </w:rPr>
        <w:t>רב ורבי יוחנן - הלכה כרבי יוחנן</w:t>
      </w:r>
      <w:r w:rsidR="00034D50" w:rsidRPr="00034D50">
        <w:rPr>
          <w:rStyle w:val="a5"/>
          <w:rFonts w:ascii="David" w:hAnsi="David" w:cs="David"/>
          <w:sz w:val="24"/>
          <w:szCs w:val="24"/>
          <w:rtl/>
        </w:rPr>
        <w:footnoteReference w:id="2"/>
      </w:r>
      <w:r w:rsidR="00034D50" w:rsidRPr="002C3BEC">
        <w:rPr>
          <w:rFonts w:ascii="David" w:hAnsi="David" w:cs="David" w:hint="cs"/>
          <w:sz w:val="24"/>
          <w:szCs w:val="24"/>
          <w:rtl/>
        </w:rPr>
        <w:t xml:space="preserve">". </w:t>
      </w:r>
      <w:r w:rsidR="00034D50" w:rsidRPr="002C3BEC">
        <w:rPr>
          <w:rFonts w:asciiTheme="majorBidi" w:hAnsiTheme="majorBidi" w:cstheme="majorBidi" w:hint="cs"/>
          <w:sz w:val="24"/>
          <w:szCs w:val="24"/>
          <w:rtl/>
        </w:rPr>
        <w:t>כך פוסקים הרמב"ם</w:t>
      </w:r>
      <w:r w:rsidR="00034D50">
        <w:rPr>
          <w:rStyle w:val="a5"/>
          <w:rFonts w:asciiTheme="majorBidi" w:hAnsiTheme="majorBidi" w:cstheme="majorBidi"/>
          <w:sz w:val="24"/>
          <w:szCs w:val="24"/>
          <w:rtl/>
        </w:rPr>
        <w:footnoteReference w:id="3"/>
      </w:r>
      <w:r w:rsidR="00034D50" w:rsidRPr="002C3BEC">
        <w:rPr>
          <w:rFonts w:asciiTheme="majorBidi" w:hAnsiTheme="majorBidi" w:cstheme="majorBidi" w:hint="cs"/>
          <w:sz w:val="24"/>
          <w:szCs w:val="24"/>
          <w:rtl/>
        </w:rPr>
        <w:t>, הרי"ד והשו"ע</w:t>
      </w:r>
      <w:r w:rsidR="00761415">
        <w:rPr>
          <w:rStyle w:val="a5"/>
          <w:rFonts w:asciiTheme="majorBidi" w:hAnsiTheme="majorBidi" w:cstheme="majorBidi"/>
          <w:sz w:val="24"/>
          <w:szCs w:val="24"/>
          <w:rtl/>
        </w:rPr>
        <w:footnoteReference w:id="4"/>
      </w:r>
      <w:r w:rsidR="00034D50" w:rsidRPr="002C3BEC">
        <w:rPr>
          <w:rFonts w:asciiTheme="majorBidi" w:hAnsiTheme="majorBidi" w:cstheme="majorBidi" w:hint="cs"/>
          <w:sz w:val="24"/>
          <w:szCs w:val="24"/>
          <w:rtl/>
        </w:rPr>
        <w:t xml:space="preserve">. </w:t>
      </w:r>
    </w:p>
    <w:p w14:paraId="5BCA8E7A" w14:textId="77777777" w:rsidR="00C67DC0" w:rsidRPr="002C3BEC" w:rsidRDefault="00C67DC0" w:rsidP="002C3BEC">
      <w:pPr>
        <w:spacing w:after="0" w:line="360" w:lineRule="auto"/>
        <w:rPr>
          <w:rFonts w:asciiTheme="majorBidi" w:hAnsiTheme="majorBidi" w:cstheme="majorBidi"/>
          <w:sz w:val="24"/>
          <w:szCs w:val="24"/>
          <w:rtl/>
        </w:rPr>
      </w:pPr>
    </w:p>
    <w:p w14:paraId="5F384786" w14:textId="3764933A" w:rsidR="00761415" w:rsidRDefault="002C3BEC" w:rsidP="00034D50">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ד. </w:t>
      </w:r>
      <w:r w:rsidR="00761415">
        <w:rPr>
          <w:rFonts w:asciiTheme="majorBidi" w:hAnsiTheme="majorBidi" w:cstheme="majorBidi" w:hint="cs"/>
          <w:b/>
          <w:bCs/>
          <w:sz w:val="24"/>
          <w:szCs w:val="24"/>
          <w:rtl/>
        </w:rPr>
        <w:t>מחלוקת התנאים</w:t>
      </w:r>
    </w:p>
    <w:p w14:paraId="4D2CD65D" w14:textId="1927B9BE" w:rsidR="00C230C8" w:rsidRDefault="00761415" w:rsidP="00C230C8">
      <w:pPr>
        <w:spacing w:after="0" w:line="360" w:lineRule="auto"/>
        <w:rPr>
          <w:rFonts w:asciiTheme="majorBidi" w:hAnsiTheme="majorBidi" w:cstheme="majorBidi"/>
          <w:sz w:val="24"/>
          <w:szCs w:val="24"/>
          <w:rtl/>
        </w:rPr>
      </w:pPr>
      <w:r w:rsidRPr="00761415">
        <w:rPr>
          <w:rFonts w:asciiTheme="majorBidi" w:hAnsiTheme="majorBidi" w:cstheme="majorBidi" w:hint="cs"/>
          <w:sz w:val="24"/>
          <w:szCs w:val="24"/>
          <w:rtl/>
        </w:rPr>
        <w:t xml:space="preserve">הגמרא מביאה מחלוקת תנאים בשאלה אם יכול העבד לדרוש מרבו  בשנות בצורת, לפרנסו או להוציאו לחרות. </w:t>
      </w:r>
      <w:r>
        <w:rPr>
          <w:rFonts w:asciiTheme="majorBidi" w:hAnsiTheme="majorBidi" w:cstheme="majorBidi" w:hint="cs"/>
          <w:sz w:val="24"/>
          <w:szCs w:val="24"/>
          <w:rtl/>
        </w:rPr>
        <w:t xml:space="preserve">בתחילה סבורה הגמרא שרשב"ג מתיר זאת כי הרב אינו יכול לומר לו </w:t>
      </w:r>
      <w:r w:rsidR="004B6BB3">
        <w:rPr>
          <w:rFonts w:asciiTheme="majorBidi" w:hAnsiTheme="majorBidi" w:cstheme="majorBidi" w:hint="cs"/>
          <w:sz w:val="24"/>
          <w:szCs w:val="24"/>
          <w:rtl/>
        </w:rPr>
        <w:t>עשה עימי ואיני זנך</w:t>
      </w:r>
      <w:r>
        <w:rPr>
          <w:rFonts w:asciiTheme="majorBidi" w:hAnsiTheme="majorBidi" w:cstheme="majorBidi" w:hint="cs"/>
          <w:sz w:val="24"/>
          <w:szCs w:val="24"/>
          <w:rtl/>
        </w:rPr>
        <w:t xml:space="preserve">, </w:t>
      </w:r>
      <w:r w:rsidR="006927B9">
        <w:rPr>
          <w:rFonts w:asciiTheme="majorBidi" w:hAnsiTheme="majorBidi" w:cstheme="majorBidi" w:hint="cs"/>
          <w:sz w:val="24"/>
          <w:szCs w:val="24"/>
          <w:rtl/>
        </w:rPr>
        <w:t xml:space="preserve">ולפי חכמים יכול. אולם הגמרא עמדה על </w:t>
      </w:r>
      <w:r w:rsidR="004B6BB3">
        <w:rPr>
          <w:rFonts w:asciiTheme="majorBidi" w:hAnsiTheme="majorBidi" w:cstheme="majorBidi" w:hint="cs"/>
          <w:sz w:val="24"/>
          <w:szCs w:val="24"/>
          <w:rtl/>
        </w:rPr>
        <w:t>כ</w:t>
      </w:r>
      <w:r w:rsidR="006927B9">
        <w:rPr>
          <w:rFonts w:asciiTheme="majorBidi" w:hAnsiTheme="majorBidi" w:cstheme="majorBidi" w:hint="cs"/>
          <w:sz w:val="24"/>
          <w:szCs w:val="24"/>
          <w:rtl/>
        </w:rPr>
        <w:t xml:space="preserve">ך שהעבד לא דרש את מעשה ידיו אלא פרנסה. כמו כן, העובדה שמדובר בשנת בצורת, אף היא מורה שמדובר באומר לעבדו 'צא מעשה ידיך למזונותיך'. כיוון שבצורת </w:t>
      </w:r>
      <w:r w:rsidR="00C67DC0">
        <w:rPr>
          <w:rFonts w:asciiTheme="majorBidi" w:hAnsiTheme="majorBidi" w:cstheme="majorBidi" w:hint="cs"/>
          <w:sz w:val="24"/>
          <w:szCs w:val="24"/>
          <w:rtl/>
        </w:rPr>
        <w:t xml:space="preserve">אז, </w:t>
      </w:r>
      <w:r w:rsidR="006927B9">
        <w:rPr>
          <w:rFonts w:asciiTheme="majorBidi" w:hAnsiTheme="majorBidi" w:cstheme="majorBidi" w:hint="cs"/>
          <w:sz w:val="24"/>
          <w:szCs w:val="24"/>
          <w:rtl/>
        </w:rPr>
        <w:t xml:space="preserve">אין די לו בכך, ונחלקו התנאים האם יש צורך לשחררו כדי שירחמו עליו. נראה לפי כל זה, שהתנאים מאוחדים בדעתם שהרב אינו יכול לומר לו </w:t>
      </w:r>
      <w:r w:rsidR="004B6BB3">
        <w:rPr>
          <w:rFonts w:asciiTheme="majorBidi" w:hAnsiTheme="majorBidi" w:cstheme="majorBidi" w:hint="cs"/>
          <w:sz w:val="24"/>
          <w:szCs w:val="24"/>
          <w:rtl/>
        </w:rPr>
        <w:t>עשה עימי ואיני זנך</w:t>
      </w:r>
      <w:r w:rsidR="006927B9">
        <w:rPr>
          <w:rFonts w:asciiTheme="majorBidi" w:hAnsiTheme="majorBidi" w:cstheme="majorBidi" w:hint="cs"/>
          <w:sz w:val="24"/>
          <w:szCs w:val="24"/>
          <w:rtl/>
        </w:rPr>
        <w:t>.</w:t>
      </w:r>
    </w:p>
    <w:p w14:paraId="7B80EBD1" w14:textId="0CD24D75" w:rsidR="00C230C8" w:rsidRPr="00C230C8" w:rsidRDefault="006927B9" w:rsidP="00C230C8">
      <w:pPr>
        <w:spacing w:after="0" w:line="360" w:lineRule="auto"/>
        <w:rPr>
          <w:rFonts w:asciiTheme="majorBidi" w:hAnsiTheme="majorBidi" w:cstheme="majorBidi"/>
          <w:b/>
          <w:bCs/>
          <w:sz w:val="24"/>
          <w:szCs w:val="24"/>
          <w:rtl/>
        </w:rPr>
      </w:pPr>
      <w:r w:rsidRPr="00C230C8">
        <w:rPr>
          <w:rFonts w:asciiTheme="majorBidi" w:hAnsiTheme="majorBidi" w:cstheme="majorBidi" w:hint="cs"/>
          <w:b/>
          <w:bCs/>
          <w:sz w:val="24"/>
          <w:szCs w:val="24"/>
          <w:rtl/>
        </w:rPr>
        <w:t xml:space="preserve"> </w:t>
      </w:r>
      <w:r w:rsidR="002C3BEC">
        <w:rPr>
          <w:rFonts w:asciiTheme="majorBidi" w:hAnsiTheme="majorBidi" w:cstheme="majorBidi" w:hint="cs"/>
          <w:b/>
          <w:bCs/>
          <w:sz w:val="24"/>
          <w:szCs w:val="24"/>
          <w:rtl/>
        </w:rPr>
        <w:t xml:space="preserve">ה. </w:t>
      </w:r>
      <w:r w:rsidR="00C230C8" w:rsidRPr="00C230C8">
        <w:rPr>
          <w:rFonts w:asciiTheme="majorBidi" w:hAnsiTheme="majorBidi" w:cstheme="majorBidi" w:hint="cs"/>
          <w:b/>
          <w:bCs/>
          <w:sz w:val="24"/>
          <w:szCs w:val="24"/>
          <w:rtl/>
        </w:rPr>
        <w:t>ישוב הברייתא עם דברי רבי יוחנן וההלכה</w:t>
      </w:r>
    </w:p>
    <w:p w14:paraId="7EDB65D0" w14:textId="79579C63" w:rsidR="00BF5256" w:rsidRDefault="006927B9" w:rsidP="00BF5256">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עולה השאלה, כיצד חלק רבי יוחנן על תנאים. </w:t>
      </w:r>
      <w:r w:rsidR="003774BA" w:rsidRPr="003774BA">
        <w:rPr>
          <w:rFonts w:asciiTheme="majorBidi" w:hAnsiTheme="majorBidi" w:cstheme="majorBidi"/>
          <w:sz w:val="24"/>
          <w:szCs w:val="24"/>
          <w:rtl/>
        </w:rPr>
        <w:t>על כך משיבים בעלי ה</w:t>
      </w:r>
      <w:r w:rsidR="005B62DC" w:rsidRPr="003774BA">
        <w:rPr>
          <w:rFonts w:asciiTheme="majorBidi" w:hAnsiTheme="majorBidi" w:cstheme="majorBidi"/>
          <w:sz w:val="24"/>
          <w:szCs w:val="24"/>
          <w:rtl/>
        </w:rPr>
        <w:t>תוספות</w:t>
      </w:r>
      <w:r w:rsidR="003774BA" w:rsidRPr="003774BA">
        <w:rPr>
          <w:rStyle w:val="a5"/>
          <w:rFonts w:asciiTheme="majorBidi" w:hAnsiTheme="majorBidi" w:cstheme="majorBidi"/>
          <w:sz w:val="24"/>
          <w:szCs w:val="24"/>
          <w:rtl/>
        </w:rPr>
        <w:footnoteReference w:id="5"/>
      </w:r>
      <w:r w:rsidR="003774BA" w:rsidRPr="003774BA">
        <w:rPr>
          <w:rFonts w:asciiTheme="majorBidi" w:hAnsiTheme="majorBidi" w:cstheme="majorBidi"/>
          <w:sz w:val="24"/>
          <w:szCs w:val="24"/>
          <w:rtl/>
        </w:rPr>
        <w:t xml:space="preserve">  ש</w:t>
      </w:r>
      <w:r w:rsidR="003774BA">
        <w:rPr>
          <w:rFonts w:asciiTheme="majorBidi" w:hAnsiTheme="majorBidi" w:cstheme="majorBidi" w:hint="cs"/>
          <w:sz w:val="24"/>
          <w:szCs w:val="24"/>
          <w:rtl/>
        </w:rPr>
        <w:t>"</w:t>
      </w:r>
      <w:r w:rsidR="005B62DC" w:rsidRPr="005B62DC">
        <w:rPr>
          <w:rFonts w:ascii="David" w:hAnsi="David" w:cs="David"/>
          <w:sz w:val="24"/>
          <w:szCs w:val="24"/>
          <w:rtl/>
        </w:rPr>
        <w:t>אע"ג דבשאר שנים יכול</w:t>
      </w:r>
      <w:r w:rsidR="003774BA">
        <w:rPr>
          <w:rFonts w:ascii="David" w:hAnsi="David" w:cs="David" w:hint="cs"/>
          <w:sz w:val="24"/>
          <w:szCs w:val="24"/>
          <w:rtl/>
        </w:rPr>
        <w:t>,</w:t>
      </w:r>
      <w:r w:rsidR="005B62DC" w:rsidRPr="005B62DC">
        <w:rPr>
          <w:rFonts w:ascii="David" w:hAnsi="David" w:cs="David"/>
          <w:sz w:val="24"/>
          <w:szCs w:val="24"/>
          <w:rtl/>
        </w:rPr>
        <w:t xml:space="preserve"> בשני בצורת אינו יכול</w:t>
      </w:r>
      <w:r w:rsidR="003774BA">
        <w:rPr>
          <w:rFonts w:ascii="David" w:hAnsi="David" w:cs="David" w:hint="cs"/>
          <w:sz w:val="24"/>
          <w:szCs w:val="24"/>
          <w:rtl/>
        </w:rPr>
        <w:t>.</w:t>
      </w:r>
      <w:r w:rsidR="005B62DC" w:rsidRPr="005B62DC">
        <w:rPr>
          <w:rFonts w:ascii="David" w:hAnsi="David" w:cs="David"/>
          <w:sz w:val="24"/>
          <w:szCs w:val="24"/>
          <w:rtl/>
        </w:rPr>
        <w:t xml:space="preserve"> דבשאר שנים ימצא מרחמים יותר כשיחזור על הפתחים מבשני בצורת</w:t>
      </w:r>
      <w:r w:rsidR="003774BA">
        <w:rPr>
          <w:rFonts w:ascii="David" w:hAnsi="David" w:cs="David" w:hint="cs"/>
          <w:sz w:val="24"/>
          <w:szCs w:val="24"/>
          <w:rtl/>
        </w:rPr>
        <w:t>"</w:t>
      </w:r>
      <w:r w:rsidR="005B62DC" w:rsidRPr="005B62DC">
        <w:rPr>
          <w:rFonts w:ascii="David" w:hAnsi="David" w:cs="David"/>
          <w:sz w:val="24"/>
          <w:szCs w:val="24"/>
          <w:rtl/>
        </w:rPr>
        <w:t>.</w:t>
      </w:r>
      <w:r w:rsidR="003774BA">
        <w:rPr>
          <w:rFonts w:asciiTheme="majorBidi" w:hAnsiTheme="majorBidi" w:cstheme="majorBidi" w:hint="cs"/>
          <w:sz w:val="24"/>
          <w:szCs w:val="24"/>
          <w:rtl/>
        </w:rPr>
        <w:t xml:space="preserve"> לפי זה יכולת הרב לומר </w:t>
      </w:r>
      <w:r w:rsidR="004B6BB3">
        <w:rPr>
          <w:rFonts w:asciiTheme="majorBidi" w:hAnsiTheme="majorBidi" w:cstheme="majorBidi" w:hint="cs"/>
          <w:sz w:val="24"/>
          <w:szCs w:val="24"/>
          <w:rtl/>
        </w:rPr>
        <w:t>עשה עימי ואיני זנך</w:t>
      </w:r>
      <w:r w:rsidR="003774BA">
        <w:rPr>
          <w:rFonts w:asciiTheme="majorBidi" w:hAnsiTheme="majorBidi" w:cstheme="majorBidi" w:hint="cs"/>
          <w:sz w:val="24"/>
          <w:szCs w:val="24"/>
          <w:rtl/>
        </w:rPr>
        <w:t>, מוגבלת לשנים רגילות. כך אכן פוסק</w:t>
      </w:r>
      <w:r w:rsidR="00A04B5D">
        <w:rPr>
          <w:rFonts w:asciiTheme="majorBidi" w:hAnsiTheme="majorBidi" w:cstheme="majorBidi" w:hint="cs"/>
          <w:sz w:val="24"/>
          <w:szCs w:val="24"/>
          <w:rtl/>
        </w:rPr>
        <w:t>ים הרשב"א הרא"ש</w:t>
      </w:r>
      <w:r w:rsidR="00A04B5D">
        <w:rPr>
          <w:rStyle w:val="a5"/>
          <w:rFonts w:asciiTheme="majorBidi" w:hAnsiTheme="majorBidi" w:cstheme="majorBidi"/>
          <w:sz w:val="24"/>
          <w:szCs w:val="24"/>
          <w:rtl/>
        </w:rPr>
        <w:footnoteReference w:id="6"/>
      </w:r>
      <w:r w:rsidR="00A04B5D">
        <w:rPr>
          <w:rFonts w:asciiTheme="majorBidi" w:hAnsiTheme="majorBidi" w:cstheme="majorBidi" w:hint="cs"/>
          <w:sz w:val="24"/>
          <w:szCs w:val="24"/>
          <w:rtl/>
        </w:rPr>
        <w:t>, הטור ו</w:t>
      </w:r>
      <w:r w:rsidR="003774BA">
        <w:rPr>
          <w:rFonts w:asciiTheme="majorBidi" w:hAnsiTheme="majorBidi" w:cstheme="majorBidi" w:hint="cs"/>
          <w:sz w:val="24"/>
          <w:szCs w:val="24"/>
          <w:rtl/>
        </w:rPr>
        <w:t xml:space="preserve">הרמ"א. </w:t>
      </w:r>
      <w:r w:rsidR="00BF5256">
        <w:rPr>
          <w:rFonts w:asciiTheme="majorBidi" w:hAnsiTheme="majorBidi" w:cstheme="majorBidi" w:hint="cs"/>
          <w:sz w:val="24"/>
          <w:szCs w:val="24"/>
          <w:rtl/>
        </w:rPr>
        <w:t xml:space="preserve">התפישה היא שהרב חייב להשאיר לעבד פתח לפרנסה, כדברי הגמרא: </w:t>
      </w:r>
    </w:p>
    <w:p w14:paraId="31B56556" w14:textId="777ECEBD" w:rsidR="00E64633" w:rsidRPr="00BF5256" w:rsidRDefault="00BF5256" w:rsidP="00BF5256">
      <w:pPr>
        <w:spacing w:after="0" w:line="360" w:lineRule="auto"/>
        <w:rPr>
          <w:rFonts w:asciiTheme="majorBidi" w:hAnsiTheme="majorBidi" w:cstheme="majorBidi"/>
          <w:sz w:val="24"/>
          <w:szCs w:val="24"/>
          <w:rtl/>
        </w:rPr>
      </w:pPr>
      <w:r w:rsidRPr="00BF5256">
        <w:rPr>
          <w:rFonts w:ascii="David" w:hAnsi="David" w:cs="David"/>
          <w:sz w:val="24"/>
          <w:szCs w:val="24"/>
          <w:rtl/>
        </w:rPr>
        <w:t>"דאמר ליה: עביד עבידתא כולי יומא</w:t>
      </w:r>
      <w:r w:rsidR="00C67DC0">
        <w:rPr>
          <w:rFonts w:ascii="David" w:hAnsi="David" w:cs="David" w:hint="cs"/>
          <w:sz w:val="24"/>
          <w:szCs w:val="24"/>
          <w:rtl/>
        </w:rPr>
        <w:t>,</w:t>
      </w:r>
      <w:r w:rsidRPr="00BF5256">
        <w:rPr>
          <w:rFonts w:ascii="David" w:hAnsi="David" w:cs="David"/>
          <w:sz w:val="24"/>
          <w:szCs w:val="24"/>
          <w:rtl/>
        </w:rPr>
        <w:t xml:space="preserve"> ולאורתא זיל סחר ואכול</w:t>
      </w:r>
      <w:r w:rsidRPr="00BF5256">
        <w:rPr>
          <w:rStyle w:val="a5"/>
          <w:rFonts w:ascii="David" w:hAnsi="David" w:cs="David"/>
          <w:sz w:val="24"/>
          <w:szCs w:val="24"/>
          <w:rtl/>
        </w:rPr>
        <w:footnoteReference w:id="7"/>
      </w:r>
      <w:r w:rsidRPr="00BF5256">
        <w:rPr>
          <w:rFonts w:ascii="David" w:hAnsi="David" w:cs="David"/>
          <w:sz w:val="24"/>
          <w:szCs w:val="24"/>
          <w:rtl/>
        </w:rPr>
        <w:t>".</w:t>
      </w:r>
      <w:r>
        <w:rPr>
          <w:rFonts w:asciiTheme="majorBidi" w:hAnsiTheme="majorBidi" w:cs="Times New Roman" w:hint="cs"/>
          <w:sz w:val="24"/>
          <w:szCs w:val="24"/>
          <w:rtl/>
        </w:rPr>
        <w:t xml:space="preserve"> </w:t>
      </w:r>
      <w:r w:rsidR="003774BA" w:rsidRPr="003774BA">
        <w:rPr>
          <w:rFonts w:asciiTheme="majorBidi" w:hAnsiTheme="majorBidi" w:cstheme="majorBidi"/>
          <w:sz w:val="24"/>
          <w:szCs w:val="24"/>
          <w:rtl/>
        </w:rPr>
        <w:t xml:space="preserve">החתם סופר מציע שמדובר בברייתא בעבדי מלוג, </w:t>
      </w:r>
      <w:r w:rsidR="003774BA">
        <w:rPr>
          <w:rFonts w:asciiTheme="majorBidi" w:hAnsiTheme="majorBidi" w:cstheme="majorBidi" w:hint="cs"/>
          <w:sz w:val="24"/>
          <w:szCs w:val="24"/>
          <w:rtl/>
        </w:rPr>
        <w:t>"</w:t>
      </w:r>
      <w:r w:rsidR="0074141B" w:rsidRPr="0074141B">
        <w:rPr>
          <w:rFonts w:ascii="David" w:hAnsi="David" w:cs="David"/>
          <w:sz w:val="24"/>
          <w:szCs w:val="24"/>
          <w:rtl/>
        </w:rPr>
        <w:t>דלא מצי למימר עשה עמי וכו' אבל יכול לומר צא מ"י</w:t>
      </w:r>
      <w:r w:rsidR="00C67DC0">
        <w:rPr>
          <w:rFonts w:ascii="David" w:hAnsi="David" w:cs="David" w:hint="cs"/>
          <w:sz w:val="24"/>
          <w:szCs w:val="24"/>
          <w:rtl/>
        </w:rPr>
        <w:t xml:space="preserve">. </w:t>
      </w:r>
      <w:r w:rsidR="0074141B" w:rsidRPr="0074141B">
        <w:rPr>
          <w:rFonts w:ascii="David" w:hAnsi="David" w:cs="David"/>
          <w:sz w:val="24"/>
          <w:szCs w:val="24"/>
          <w:rtl/>
        </w:rPr>
        <w:t>ובשנת בצורת יאמר העבד או פרנסני או אתה ואשתך תוציאוני לחירות</w:t>
      </w:r>
      <w:r w:rsidR="003774BA">
        <w:rPr>
          <w:rFonts w:ascii="David" w:hAnsi="David" w:cs="David" w:hint="cs"/>
          <w:sz w:val="24"/>
          <w:szCs w:val="24"/>
          <w:rtl/>
        </w:rPr>
        <w:t xml:space="preserve">". </w:t>
      </w:r>
      <w:r w:rsidR="00A04B5D">
        <w:rPr>
          <w:rFonts w:asciiTheme="majorBidi" w:hAnsiTheme="majorBidi" w:cstheme="majorBidi" w:hint="cs"/>
          <w:sz w:val="24"/>
          <w:szCs w:val="24"/>
          <w:rtl/>
        </w:rPr>
        <w:t xml:space="preserve"> לדעת הב"י</w:t>
      </w:r>
      <w:r w:rsidR="00C230C8">
        <w:rPr>
          <w:rFonts w:asciiTheme="majorBidi" w:hAnsiTheme="majorBidi" w:cstheme="majorBidi" w:hint="cs"/>
          <w:sz w:val="24"/>
          <w:szCs w:val="24"/>
          <w:rtl/>
        </w:rPr>
        <w:t>,</w:t>
      </w:r>
      <w:r w:rsidR="00A04B5D">
        <w:rPr>
          <w:rFonts w:asciiTheme="majorBidi" w:hAnsiTheme="majorBidi" w:cstheme="majorBidi" w:hint="cs"/>
          <w:sz w:val="24"/>
          <w:szCs w:val="24"/>
          <w:rtl/>
        </w:rPr>
        <w:t xml:space="preserve"> הרי"ף והרמב"ם לא חילקו</w:t>
      </w:r>
      <w:r w:rsidR="00E64633">
        <w:rPr>
          <w:rFonts w:asciiTheme="majorBidi" w:hAnsiTheme="majorBidi" w:cstheme="majorBidi" w:hint="cs"/>
          <w:sz w:val="24"/>
          <w:szCs w:val="24"/>
          <w:rtl/>
        </w:rPr>
        <w:t xml:space="preserve"> בין שנים רגילות לבין שנות בצורת, </w:t>
      </w:r>
      <w:r w:rsidR="00A04B5D">
        <w:rPr>
          <w:rFonts w:asciiTheme="majorBidi" w:hAnsiTheme="majorBidi" w:cstheme="majorBidi" w:hint="cs"/>
          <w:sz w:val="24"/>
          <w:szCs w:val="24"/>
          <w:rtl/>
        </w:rPr>
        <w:t xml:space="preserve"> </w:t>
      </w:r>
      <w:r w:rsidR="00C230C8" w:rsidRPr="00C230C8">
        <w:rPr>
          <w:rFonts w:ascii="David" w:hAnsi="David" w:cs="David"/>
          <w:sz w:val="24"/>
          <w:szCs w:val="24"/>
          <w:rtl/>
        </w:rPr>
        <w:t>"</w:t>
      </w:r>
      <w:r w:rsidR="00A04B5D" w:rsidRPr="00C230C8">
        <w:rPr>
          <w:rFonts w:ascii="David" w:hAnsi="David" w:cs="David"/>
          <w:sz w:val="24"/>
          <w:szCs w:val="24"/>
          <w:rtl/>
        </w:rPr>
        <w:t>דסבירא ליה דכיון דלההיא אוקימתא לכולי עלמא אין הרב יכול לומר עשה עמי ואיני זנך</w:t>
      </w:r>
      <w:r w:rsidR="00C67DC0">
        <w:rPr>
          <w:rFonts w:ascii="David" w:hAnsi="David" w:cs="David" w:hint="cs"/>
          <w:sz w:val="24"/>
          <w:szCs w:val="24"/>
          <w:rtl/>
        </w:rPr>
        <w:t>,</w:t>
      </w:r>
      <w:r w:rsidR="00A04B5D" w:rsidRPr="00C230C8">
        <w:rPr>
          <w:rFonts w:ascii="David" w:hAnsi="David" w:cs="David"/>
          <w:sz w:val="24"/>
          <w:szCs w:val="24"/>
          <w:rtl/>
        </w:rPr>
        <w:t xml:space="preserve"> ואנן אסיקנא סתמא דיכול ולא מפלגינן בין שני בצורת לשאר שנים</w:t>
      </w:r>
      <w:r w:rsidR="00C67DC0">
        <w:rPr>
          <w:rFonts w:ascii="David" w:hAnsi="David" w:cs="David" w:hint="cs"/>
          <w:sz w:val="24"/>
          <w:szCs w:val="24"/>
          <w:rtl/>
        </w:rPr>
        <w:t>-</w:t>
      </w:r>
      <w:r w:rsidR="00A04B5D" w:rsidRPr="00C230C8">
        <w:rPr>
          <w:rFonts w:ascii="David" w:hAnsi="David" w:cs="David"/>
          <w:sz w:val="24"/>
          <w:szCs w:val="24"/>
          <w:rtl/>
        </w:rPr>
        <w:t xml:space="preserve"> ליתא לההיא אוקימתא</w:t>
      </w:r>
      <w:r w:rsidR="00C67DC0">
        <w:rPr>
          <w:rFonts w:ascii="David" w:hAnsi="David" w:cs="David" w:hint="cs"/>
          <w:sz w:val="24"/>
          <w:szCs w:val="24"/>
          <w:rtl/>
        </w:rPr>
        <w:t>.</w:t>
      </w:r>
      <w:r w:rsidR="00A04B5D" w:rsidRPr="00C230C8">
        <w:rPr>
          <w:rFonts w:ascii="David" w:hAnsi="David" w:cs="David"/>
          <w:sz w:val="24"/>
          <w:szCs w:val="24"/>
          <w:rtl/>
        </w:rPr>
        <w:t xml:space="preserve"> וע"כ מוקמינן לה דפליגי באי יכול לומר לו עשה עמי ואיני זנך או לא</w:t>
      </w:r>
      <w:r w:rsidR="00C67DC0">
        <w:rPr>
          <w:rFonts w:ascii="David" w:hAnsi="David" w:cs="David" w:hint="cs"/>
          <w:sz w:val="24"/>
          <w:szCs w:val="24"/>
          <w:rtl/>
        </w:rPr>
        <w:t>.</w:t>
      </w:r>
      <w:r w:rsidR="00A04B5D" w:rsidRPr="00C230C8">
        <w:rPr>
          <w:rFonts w:ascii="David" w:hAnsi="David" w:cs="David"/>
          <w:sz w:val="24"/>
          <w:szCs w:val="24"/>
          <w:rtl/>
        </w:rPr>
        <w:t xml:space="preserve"> והא דנקט </w:t>
      </w:r>
      <w:r w:rsidR="00C67DC0">
        <w:rPr>
          <w:rFonts w:ascii="David" w:hAnsi="David" w:cs="David" w:hint="cs"/>
          <w:sz w:val="24"/>
          <w:szCs w:val="24"/>
          <w:rtl/>
        </w:rPr>
        <w:t>'</w:t>
      </w:r>
      <w:r w:rsidR="00A04B5D" w:rsidRPr="00C230C8">
        <w:rPr>
          <w:rFonts w:ascii="David" w:hAnsi="David" w:cs="David"/>
          <w:sz w:val="24"/>
          <w:szCs w:val="24"/>
          <w:rtl/>
        </w:rPr>
        <w:t>או הוציאני לחירות</w:t>
      </w:r>
      <w:r w:rsidR="00C67DC0">
        <w:rPr>
          <w:rFonts w:ascii="David" w:hAnsi="David" w:cs="David" w:hint="cs"/>
          <w:sz w:val="24"/>
          <w:szCs w:val="24"/>
          <w:rtl/>
        </w:rPr>
        <w:t>'</w:t>
      </w:r>
      <w:r w:rsidR="00A04B5D" w:rsidRPr="00C230C8">
        <w:rPr>
          <w:rFonts w:ascii="David" w:hAnsi="David" w:cs="David"/>
          <w:sz w:val="24"/>
          <w:szCs w:val="24"/>
          <w:rtl/>
        </w:rPr>
        <w:t xml:space="preserve"> וכן הא דנקט </w:t>
      </w:r>
      <w:r w:rsidR="00C67DC0">
        <w:rPr>
          <w:rFonts w:ascii="David" w:hAnsi="David" w:cs="David" w:hint="cs"/>
          <w:sz w:val="24"/>
          <w:szCs w:val="24"/>
          <w:rtl/>
        </w:rPr>
        <w:t>'</w:t>
      </w:r>
      <w:r w:rsidR="00A04B5D" w:rsidRPr="00C230C8">
        <w:rPr>
          <w:rFonts w:ascii="David" w:hAnsi="David" w:cs="David"/>
          <w:sz w:val="24"/>
          <w:szCs w:val="24"/>
          <w:rtl/>
        </w:rPr>
        <w:t>שני בצורת</w:t>
      </w:r>
      <w:r w:rsidR="00C67DC0">
        <w:rPr>
          <w:rFonts w:ascii="David" w:hAnsi="David" w:cs="David" w:hint="cs"/>
          <w:sz w:val="24"/>
          <w:szCs w:val="24"/>
          <w:rtl/>
        </w:rPr>
        <w:t>'-</w:t>
      </w:r>
      <w:r w:rsidR="00A04B5D" w:rsidRPr="00C230C8">
        <w:rPr>
          <w:rFonts w:ascii="David" w:hAnsi="David" w:cs="David"/>
          <w:sz w:val="24"/>
          <w:szCs w:val="24"/>
          <w:rtl/>
        </w:rPr>
        <w:t xml:space="preserve"> לאו דוקא</w:t>
      </w:r>
      <w:r w:rsidR="00A04B5D" w:rsidRPr="00C230C8">
        <w:rPr>
          <w:rStyle w:val="a5"/>
          <w:rFonts w:ascii="David" w:hAnsi="David" w:cs="David"/>
          <w:sz w:val="24"/>
          <w:szCs w:val="24"/>
          <w:rtl/>
        </w:rPr>
        <w:footnoteReference w:id="8"/>
      </w:r>
      <w:r w:rsidR="00C230C8" w:rsidRPr="00C230C8">
        <w:rPr>
          <w:rFonts w:ascii="David" w:hAnsi="David" w:cs="David"/>
          <w:sz w:val="24"/>
          <w:szCs w:val="24"/>
          <w:rtl/>
        </w:rPr>
        <w:t>".</w:t>
      </w:r>
      <w:r w:rsidR="00480A11">
        <w:rPr>
          <w:rFonts w:asciiTheme="majorBidi" w:hAnsiTheme="majorBidi" w:cstheme="majorBidi" w:hint="cs"/>
          <w:sz w:val="24"/>
          <w:szCs w:val="24"/>
          <w:rtl/>
        </w:rPr>
        <w:t xml:space="preserve"> בערוך השולחן מבאר את העניין בעזרת יסוד מוסרי:</w:t>
      </w:r>
      <w:r>
        <w:rPr>
          <w:rFonts w:asciiTheme="majorBidi" w:hAnsiTheme="majorBidi" w:cstheme="majorBidi" w:hint="cs"/>
          <w:sz w:val="24"/>
          <w:szCs w:val="24"/>
          <w:rtl/>
        </w:rPr>
        <w:t xml:space="preserve"> </w:t>
      </w:r>
      <w:r w:rsidR="00480A11">
        <w:rPr>
          <w:rFonts w:ascii="David" w:hAnsi="David" w:cs="David" w:hint="cs"/>
          <w:sz w:val="24"/>
          <w:szCs w:val="24"/>
          <w:rtl/>
        </w:rPr>
        <w:t>"</w:t>
      </w:r>
      <w:r w:rsidR="00E64633" w:rsidRPr="00480A11">
        <w:rPr>
          <w:rFonts w:ascii="David" w:hAnsi="David" w:cs="David"/>
          <w:sz w:val="24"/>
          <w:szCs w:val="24"/>
          <w:rtl/>
        </w:rPr>
        <w:t>אמנם עיקר דין זה אינו מובן כלל</w:t>
      </w:r>
      <w:r w:rsidR="00C67DC0">
        <w:rPr>
          <w:rFonts w:ascii="David" w:hAnsi="David" w:cs="David" w:hint="cs"/>
          <w:sz w:val="24"/>
          <w:szCs w:val="24"/>
          <w:rtl/>
        </w:rPr>
        <w:t>,</w:t>
      </w:r>
      <w:r w:rsidR="00E64633" w:rsidRPr="00480A11">
        <w:rPr>
          <w:rFonts w:ascii="David" w:hAnsi="David" w:cs="David"/>
          <w:sz w:val="24"/>
          <w:szCs w:val="24"/>
          <w:rtl/>
        </w:rPr>
        <w:t xml:space="preserve"> דאיך יכול לומר כן עשה עמי ואיני זנך</w:t>
      </w:r>
      <w:r w:rsidR="00C67DC0">
        <w:rPr>
          <w:rFonts w:ascii="David" w:hAnsi="David" w:cs="David" w:hint="cs"/>
          <w:sz w:val="24"/>
          <w:szCs w:val="24"/>
          <w:rtl/>
        </w:rPr>
        <w:t>?</w:t>
      </w:r>
      <w:r w:rsidR="00E64633" w:rsidRPr="00480A11">
        <w:rPr>
          <w:rFonts w:ascii="David" w:hAnsi="David" w:cs="David"/>
          <w:sz w:val="24"/>
          <w:szCs w:val="24"/>
          <w:rtl/>
        </w:rPr>
        <w:t xml:space="preserve"> </w:t>
      </w:r>
      <w:r w:rsidR="00E64633" w:rsidRPr="00480A11">
        <w:rPr>
          <w:rFonts w:ascii="David" w:hAnsi="David" w:cs="David"/>
          <w:b/>
          <w:bCs/>
          <w:sz w:val="24"/>
          <w:szCs w:val="24"/>
          <w:rtl/>
        </w:rPr>
        <w:t>ולכאורה אין לך אכזריות גדולה מזה</w:t>
      </w:r>
      <w:r w:rsidR="00C67DC0">
        <w:rPr>
          <w:rFonts w:ascii="David" w:hAnsi="David" w:cs="David" w:hint="cs"/>
          <w:b/>
          <w:bCs/>
          <w:sz w:val="24"/>
          <w:szCs w:val="24"/>
          <w:rtl/>
        </w:rPr>
        <w:t>!</w:t>
      </w:r>
      <w:r w:rsidR="00E64633" w:rsidRPr="00480A11">
        <w:rPr>
          <w:rFonts w:ascii="David" w:hAnsi="David" w:cs="David"/>
          <w:sz w:val="24"/>
          <w:szCs w:val="24"/>
          <w:rtl/>
        </w:rPr>
        <w:t xml:space="preserve"> ועוד דפשיטא דצדקה לא יתנו להם בשביל הרב שיטול עבודתו ולא יזון אותו</w:t>
      </w:r>
      <w:r w:rsidR="00C67DC0">
        <w:rPr>
          <w:rFonts w:ascii="David" w:hAnsi="David" w:cs="David" w:hint="cs"/>
          <w:sz w:val="24"/>
          <w:szCs w:val="24"/>
          <w:rtl/>
        </w:rPr>
        <w:t>.</w:t>
      </w:r>
      <w:r w:rsidR="00E64633" w:rsidRPr="00480A11">
        <w:rPr>
          <w:rFonts w:ascii="David" w:hAnsi="David" w:cs="David"/>
          <w:sz w:val="24"/>
          <w:szCs w:val="24"/>
          <w:rtl/>
        </w:rPr>
        <w:t xml:space="preserve"> האמנם מדברי הרמב"ם התבוננתי דכוונה אחרת יש בזה</w:t>
      </w:r>
      <w:r w:rsidR="00C67DC0">
        <w:rPr>
          <w:rFonts w:ascii="David" w:hAnsi="David" w:cs="David" w:hint="cs"/>
          <w:sz w:val="24"/>
          <w:szCs w:val="24"/>
          <w:rtl/>
        </w:rPr>
        <w:t>.</w:t>
      </w:r>
      <w:r w:rsidR="00E64633" w:rsidRPr="00480A11">
        <w:rPr>
          <w:rFonts w:ascii="David" w:hAnsi="David" w:cs="David"/>
          <w:sz w:val="24"/>
          <w:szCs w:val="24"/>
          <w:rtl/>
        </w:rPr>
        <w:t xml:space="preserve"> וז"ל הרמב"ם בסוף הל' עבדים</w:t>
      </w:r>
      <w:r w:rsidR="00480A11">
        <w:rPr>
          <w:rFonts w:ascii="David" w:hAnsi="David" w:cs="David" w:hint="cs"/>
          <w:sz w:val="24"/>
          <w:szCs w:val="24"/>
          <w:rtl/>
        </w:rPr>
        <w:t>:</w:t>
      </w:r>
      <w:r w:rsidR="00E64633" w:rsidRPr="00480A11">
        <w:rPr>
          <w:rFonts w:ascii="David" w:hAnsi="David" w:cs="David"/>
          <w:sz w:val="24"/>
          <w:szCs w:val="24"/>
          <w:rtl/>
        </w:rPr>
        <w:t xml:space="preserve"> יכול הרב לומר לעבדו עשה עמי ואיני זנך וכו' בד"א בעבדיו שאין ב"ד נזקקים לגדולים לשמור ממונם</w:t>
      </w:r>
      <w:r w:rsidR="00C67DC0">
        <w:rPr>
          <w:rFonts w:ascii="David" w:hAnsi="David" w:cs="David" w:hint="cs"/>
          <w:sz w:val="24"/>
          <w:szCs w:val="24"/>
          <w:rtl/>
        </w:rPr>
        <w:t>,</w:t>
      </w:r>
      <w:r w:rsidR="00E64633" w:rsidRPr="00480A11">
        <w:rPr>
          <w:rFonts w:ascii="David" w:hAnsi="David" w:cs="David"/>
          <w:sz w:val="24"/>
          <w:szCs w:val="24"/>
          <w:rtl/>
        </w:rPr>
        <w:t xml:space="preserve"> ואם לא יאכיל לעבדיו הם יברחו וכו' </w:t>
      </w:r>
      <w:r w:rsidR="00E64633" w:rsidRPr="00480A11">
        <w:rPr>
          <w:rFonts w:ascii="David" w:hAnsi="David" w:cs="David"/>
          <w:b/>
          <w:bCs/>
          <w:sz w:val="24"/>
          <w:szCs w:val="24"/>
          <w:rtl/>
        </w:rPr>
        <w:t>ואדם חס על ממון עצמו</w:t>
      </w:r>
      <w:r w:rsidR="00E64633" w:rsidRPr="00480A11">
        <w:rPr>
          <w:rFonts w:ascii="David" w:hAnsi="David" w:cs="David"/>
          <w:sz w:val="24"/>
          <w:szCs w:val="24"/>
          <w:rtl/>
        </w:rPr>
        <w:t xml:space="preserve"> וכו' אבל עבדים שהכניסה לו אשתו חייב במזונותיהן שאם לא יזון אותם ימותו ויברחו והרי אינו חייב באחריותן עכ"ל: </w:t>
      </w:r>
    </w:p>
    <w:p w14:paraId="2268BC50" w14:textId="0A034BFB" w:rsidR="00480A11" w:rsidRDefault="00E64633" w:rsidP="00E64633">
      <w:pPr>
        <w:spacing w:after="0" w:line="360" w:lineRule="auto"/>
        <w:rPr>
          <w:rFonts w:ascii="David" w:hAnsi="David" w:cs="David"/>
          <w:rtl/>
        </w:rPr>
      </w:pPr>
      <w:r w:rsidRPr="00480A11">
        <w:rPr>
          <w:rFonts w:ascii="David" w:hAnsi="David" w:cs="David"/>
          <w:sz w:val="24"/>
          <w:szCs w:val="24"/>
          <w:rtl/>
        </w:rPr>
        <w:t>ולפ"ז ביאור הדברים כן הוא</w:t>
      </w:r>
      <w:r w:rsidR="00C67DC0">
        <w:rPr>
          <w:rFonts w:ascii="David" w:hAnsi="David" w:cs="David" w:hint="cs"/>
          <w:sz w:val="24"/>
          <w:szCs w:val="24"/>
          <w:rtl/>
        </w:rPr>
        <w:t>,</w:t>
      </w:r>
      <w:r w:rsidRPr="00480A11">
        <w:rPr>
          <w:rFonts w:ascii="David" w:hAnsi="David" w:cs="David"/>
          <w:sz w:val="24"/>
          <w:szCs w:val="24"/>
          <w:rtl/>
        </w:rPr>
        <w:t xml:space="preserve"> </w:t>
      </w:r>
      <w:r w:rsidRPr="00C67DC0">
        <w:rPr>
          <w:rFonts w:ascii="David" w:hAnsi="David" w:cs="David"/>
          <w:b/>
          <w:bCs/>
          <w:sz w:val="24"/>
          <w:szCs w:val="24"/>
          <w:rtl/>
        </w:rPr>
        <w:t xml:space="preserve">לא </w:t>
      </w:r>
      <w:r w:rsidRPr="00480A11">
        <w:rPr>
          <w:rFonts w:ascii="David" w:hAnsi="David" w:cs="David"/>
          <w:sz w:val="24"/>
          <w:szCs w:val="24"/>
          <w:rtl/>
        </w:rPr>
        <w:t xml:space="preserve">שאנו </w:t>
      </w:r>
      <w:r w:rsidRPr="00C67DC0">
        <w:rPr>
          <w:rFonts w:ascii="David" w:hAnsi="David" w:cs="David"/>
          <w:b/>
          <w:bCs/>
          <w:sz w:val="24"/>
          <w:szCs w:val="24"/>
          <w:rtl/>
        </w:rPr>
        <w:t xml:space="preserve">מתירים </w:t>
      </w:r>
      <w:r w:rsidRPr="00480A11">
        <w:rPr>
          <w:rFonts w:ascii="David" w:hAnsi="David" w:cs="David"/>
          <w:sz w:val="24"/>
          <w:szCs w:val="24"/>
          <w:rtl/>
        </w:rPr>
        <w:t>לו שיאמר להם עשה עמי ואיני זנך</w:t>
      </w:r>
      <w:r w:rsidR="00C67DC0">
        <w:rPr>
          <w:rFonts w:ascii="David" w:hAnsi="David" w:cs="David" w:hint="cs"/>
          <w:sz w:val="24"/>
          <w:szCs w:val="24"/>
          <w:rtl/>
        </w:rPr>
        <w:t>,</w:t>
      </w:r>
      <w:r w:rsidRPr="00480A11">
        <w:rPr>
          <w:rFonts w:ascii="David" w:hAnsi="David" w:cs="David"/>
          <w:sz w:val="24"/>
          <w:szCs w:val="24"/>
          <w:rtl/>
        </w:rPr>
        <w:t xml:space="preserve"> אלא להיפך</w:t>
      </w:r>
      <w:r w:rsidR="00C67DC0">
        <w:rPr>
          <w:rFonts w:ascii="David" w:hAnsi="David" w:cs="David" w:hint="cs"/>
          <w:sz w:val="24"/>
          <w:szCs w:val="24"/>
          <w:rtl/>
        </w:rPr>
        <w:t>:</w:t>
      </w:r>
      <w:r w:rsidRPr="00480A11">
        <w:rPr>
          <w:rFonts w:ascii="David" w:hAnsi="David" w:cs="David"/>
          <w:sz w:val="24"/>
          <w:szCs w:val="24"/>
          <w:rtl/>
        </w:rPr>
        <w:t xml:space="preserve"> שאין אנו מכריחים אותו לזון ויעשה כרצונו וממילא יזונם דאם לא יזונם הרי יברחו ממנו </w:t>
      </w:r>
      <w:r w:rsidRPr="00C67DC0">
        <w:rPr>
          <w:rFonts w:ascii="David" w:hAnsi="David" w:cs="David"/>
          <w:b/>
          <w:bCs/>
          <w:sz w:val="24"/>
          <w:szCs w:val="24"/>
          <w:rtl/>
        </w:rPr>
        <w:t>וכתורה יעשו</w:t>
      </w:r>
      <w:r w:rsidR="00C67DC0">
        <w:rPr>
          <w:rFonts w:ascii="David" w:hAnsi="David" w:cs="David" w:hint="cs"/>
          <w:b/>
          <w:bCs/>
          <w:sz w:val="24"/>
          <w:szCs w:val="24"/>
          <w:rtl/>
        </w:rPr>
        <w:t>,</w:t>
      </w:r>
      <w:r w:rsidRPr="00480A11">
        <w:rPr>
          <w:rFonts w:ascii="David" w:hAnsi="David" w:cs="David"/>
          <w:sz w:val="24"/>
          <w:szCs w:val="24"/>
          <w:rtl/>
        </w:rPr>
        <w:t xml:space="preserve"> כיון שהוא אכזר כל כך</w:t>
      </w:r>
      <w:r w:rsidR="00C67DC0">
        <w:rPr>
          <w:rFonts w:ascii="David" w:hAnsi="David" w:cs="David" w:hint="cs"/>
          <w:sz w:val="24"/>
          <w:szCs w:val="24"/>
          <w:rtl/>
        </w:rPr>
        <w:t>.</w:t>
      </w:r>
      <w:r w:rsidRPr="00480A11">
        <w:rPr>
          <w:rFonts w:ascii="David" w:hAnsi="David" w:cs="David"/>
          <w:sz w:val="24"/>
          <w:szCs w:val="24"/>
          <w:rtl/>
        </w:rPr>
        <w:t xml:space="preserve"> ולמה לנו להזהירו שישמור ממונו</w:t>
      </w:r>
      <w:r w:rsidR="00C67DC0">
        <w:rPr>
          <w:rFonts w:ascii="David" w:hAnsi="David" w:cs="David" w:hint="cs"/>
          <w:sz w:val="24"/>
          <w:szCs w:val="24"/>
          <w:rtl/>
        </w:rPr>
        <w:t>?</w:t>
      </w:r>
      <w:r w:rsidRPr="00480A11">
        <w:rPr>
          <w:rFonts w:ascii="David" w:hAnsi="David" w:cs="David"/>
          <w:sz w:val="24"/>
          <w:szCs w:val="24"/>
          <w:rtl/>
        </w:rPr>
        <w:t xml:space="preserve"> ישמור בעצמו</w:t>
      </w:r>
      <w:r w:rsidR="00C67DC0">
        <w:rPr>
          <w:rFonts w:ascii="David" w:hAnsi="David" w:cs="David" w:hint="cs"/>
          <w:sz w:val="24"/>
          <w:szCs w:val="24"/>
          <w:rtl/>
        </w:rPr>
        <w:t>.</w:t>
      </w:r>
      <w:r w:rsidRPr="00480A11">
        <w:rPr>
          <w:rFonts w:ascii="David" w:hAnsi="David" w:cs="David"/>
          <w:sz w:val="24"/>
          <w:szCs w:val="24"/>
          <w:rtl/>
        </w:rPr>
        <w:t xml:space="preserve"> ואם ישתגע ויאמר להם כן</w:t>
      </w:r>
      <w:r w:rsidR="00C67DC0">
        <w:rPr>
          <w:rFonts w:ascii="David" w:hAnsi="David" w:cs="David" w:hint="cs"/>
          <w:sz w:val="24"/>
          <w:szCs w:val="24"/>
          <w:rtl/>
        </w:rPr>
        <w:t>,</w:t>
      </w:r>
      <w:r w:rsidRPr="00480A11">
        <w:rPr>
          <w:rFonts w:ascii="David" w:hAnsi="David" w:cs="David"/>
          <w:sz w:val="24"/>
          <w:szCs w:val="24"/>
          <w:rtl/>
        </w:rPr>
        <w:t xml:space="preserve"> באמת יברחו ויפסידם לגמרי ומה לנו בזה</w:t>
      </w:r>
      <w:r w:rsidR="00C67DC0">
        <w:rPr>
          <w:rFonts w:ascii="David" w:hAnsi="David" w:cs="David" w:hint="cs"/>
          <w:sz w:val="24"/>
          <w:szCs w:val="24"/>
          <w:rtl/>
        </w:rPr>
        <w:t>.</w:t>
      </w:r>
      <w:r w:rsidRPr="00480A11">
        <w:rPr>
          <w:rFonts w:ascii="David" w:hAnsi="David" w:cs="David"/>
          <w:sz w:val="24"/>
          <w:szCs w:val="24"/>
          <w:rtl/>
        </w:rPr>
        <w:t xml:space="preserve"> ולכן בנכסי מלוג שאינו חייב באחריותם כשיברחו</w:t>
      </w:r>
      <w:r w:rsidR="00C67DC0">
        <w:rPr>
          <w:rFonts w:ascii="David" w:hAnsi="David" w:cs="David" w:hint="cs"/>
          <w:sz w:val="24"/>
          <w:szCs w:val="24"/>
          <w:rtl/>
        </w:rPr>
        <w:t>-</w:t>
      </w:r>
      <w:r w:rsidRPr="00480A11">
        <w:rPr>
          <w:rFonts w:ascii="David" w:hAnsi="David" w:cs="David"/>
          <w:sz w:val="24"/>
          <w:szCs w:val="24"/>
          <w:rtl/>
        </w:rPr>
        <w:t xml:space="preserve"> אין אנו מתירים לו שיאמר להם כן אלא כופין אותו לזונם</w:t>
      </w:r>
      <w:r w:rsidR="00480A11">
        <w:rPr>
          <w:rFonts w:ascii="David" w:hAnsi="David" w:cs="David" w:hint="cs"/>
          <w:sz w:val="24"/>
          <w:szCs w:val="24"/>
          <w:rtl/>
        </w:rPr>
        <w:t xml:space="preserve">, </w:t>
      </w:r>
      <w:r w:rsidRPr="00480A11">
        <w:rPr>
          <w:rFonts w:ascii="David" w:hAnsi="David" w:cs="David"/>
          <w:sz w:val="24"/>
          <w:szCs w:val="24"/>
          <w:rtl/>
        </w:rPr>
        <w:t xml:space="preserve">דאל"כ לא יחוש </w:t>
      </w:r>
      <w:r w:rsidRPr="00480A11">
        <w:rPr>
          <w:rFonts w:ascii="David" w:hAnsi="David" w:cs="David"/>
          <w:sz w:val="24"/>
          <w:szCs w:val="24"/>
          <w:rtl/>
        </w:rPr>
        <w:lastRenderedPageBreak/>
        <w:t xml:space="preserve">ויברחו ומה לו בזה לפיכך חייבוהו חכמים לזונם ומזה נלמוד דגם אפטרופס של יתומים קטנים ג"כ ב"ד מכריחים אותו לזונם דאל"כ יברחו ועלינו לשמור נכסי היתומים ונמצא דזה שהדין שיכול לומר לעבדו עשה עמי ואיני זנך לא שאנו מתירים לו חלילה לעשות כן אלא כלומר </w:t>
      </w:r>
      <w:r w:rsidRPr="00480A11">
        <w:rPr>
          <w:rFonts w:ascii="David" w:hAnsi="David" w:cs="David"/>
          <w:b/>
          <w:bCs/>
          <w:sz w:val="24"/>
          <w:szCs w:val="24"/>
          <w:rtl/>
        </w:rPr>
        <w:t>אין אנו מתערבין בזה</w:t>
      </w:r>
      <w:r w:rsidRPr="00480A11">
        <w:rPr>
          <w:rFonts w:ascii="David" w:hAnsi="David" w:cs="David"/>
          <w:sz w:val="24"/>
          <w:szCs w:val="24"/>
          <w:rtl/>
        </w:rPr>
        <w:t xml:space="preserve"> דממילא כל אדם שומר ממונו ולא יעשה כן ואם יעשה כן יפסידם לגמרי ולכן </w:t>
      </w:r>
      <w:r w:rsidRPr="00480A11">
        <w:rPr>
          <w:rFonts w:ascii="David" w:hAnsi="David" w:cs="David"/>
          <w:b/>
          <w:bCs/>
          <w:sz w:val="24"/>
          <w:szCs w:val="24"/>
          <w:rtl/>
        </w:rPr>
        <w:t>לא חששו הרי"ף והרמב"ם להביא הך דשני בצורת דממילא כן הוא וממ"נ אם יאמר להם כן יברחו</w:t>
      </w:r>
      <w:r w:rsidRPr="00480A11">
        <w:rPr>
          <w:rFonts w:ascii="David" w:hAnsi="David" w:cs="David"/>
          <w:sz w:val="24"/>
          <w:szCs w:val="24"/>
          <w:rtl/>
        </w:rPr>
        <w:t xml:space="preserve"> ומה לי שני בצורת או שנים כתקונם</w:t>
      </w:r>
      <w:r w:rsidR="00480A11">
        <w:rPr>
          <w:rFonts w:ascii="David" w:hAnsi="David" w:cs="David" w:hint="cs"/>
          <w:sz w:val="24"/>
          <w:szCs w:val="24"/>
          <w:rtl/>
        </w:rPr>
        <w:t>.</w:t>
      </w:r>
      <w:r w:rsidRPr="00480A11">
        <w:rPr>
          <w:rFonts w:ascii="David" w:hAnsi="David" w:cs="David"/>
          <w:sz w:val="24"/>
          <w:szCs w:val="24"/>
          <w:rtl/>
        </w:rPr>
        <w:t xml:space="preserve"> ובגמ' לא נקיט לה רק לפי סוגית הש"ס וגם קודם דמסקינן דיכול לומר לו עשה עמי ואיני זנך ע"ש אבל לדינא אין נ"מ בזה [כנלע"ד]</w:t>
      </w:r>
      <w:r w:rsidR="00480A11">
        <w:rPr>
          <w:rStyle w:val="a5"/>
          <w:rFonts w:ascii="David" w:hAnsi="David" w:cs="David"/>
          <w:sz w:val="24"/>
          <w:szCs w:val="24"/>
          <w:rtl/>
        </w:rPr>
        <w:footnoteReference w:id="9"/>
      </w:r>
      <w:r w:rsidR="00BF5256">
        <w:rPr>
          <w:rFonts w:ascii="David" w:hAnsi="David" w:cs="David" w:hint="cs"/>
          <w:sz w:val="24"/>
          <w:szCs w:val="24"/>
          <w:rtl/>
        </w:rPr>
        <w:t>".</w:t>
      </w:r>
    </w:p>
    <w:p w14:paraId="7CB9B938" w14:textId="16F31A1E" w:rsidR="00081CD9" w:rsidRDefault="002C3BEC" w:rsidP="00E6463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081CD9" w:rsidRPr="00081CD9">
        <w:rPr>
          <w:rFonts w:asciiTheme="majorBidi" w:hAnsiTheme="majorBidi" w:cstheme="majorBidi" w:hint="cs"/>
          <w:b/>
          <w:bCs/>
          <w:sz w:val="24"/>
          <w:szCs w:val="24"/>
          <w:rtl/>
        </w:rPr>
        <w:t>עבדי מלוג</w:t>
      </w:r>
    </w:p>
    <w:p w14:paraId="3F3C1926" w14:textId="3B86A4F1" w:rsidR="00081CD9" w:rsidRDefault="00041445" w:rsidP="000414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כתבו הרמב"ם והראב"ד: </w:t>
      </w:r>
      <w:r>
        <w:rPr>
          <w:rFonts w:ascii="David" w:hAnsi="David" w:cs="David" w:hint="cs"/>
          <w:sz w:val="24"/>
          <w:szCs w:val="24"/>
          <w:rtl/>
        </w:rPr>
        <w:t>"</w:t>
      </w:r>
      <w:r w:rsidRPr="00041445">
        <w:rPr>
          <w:rFonts w:ascii="David" w:hAnsi="David" w:cs="David"/>
          <w:sz w:val="24"/>
          <w:szCs w:val="24"/>
          <w:rtl/>
        </w:rPr>
        <w:t>אבל עבדים שהכניסה לו אשתו בתורת נכסי מלוג חייב במזונותיהן</w:t>
      </w:r>
      <w:r>
        <w:rPr>
          <w:rFonts w:ascii="David" w:hAnsi="David" w:cs="David" w:hint="cs"/>
          <w:sz w:val="24"/>
          <w:szCs w:val="24"/>
          <w:rtl/>
        </w:rPr>
        <w:t>,</w:t>
      </w:r>
      <w:r w:rsidRPr="00041445">
        <w:rPr>
          <w:rFonts w:ascii="David" w:hAnsi="David" w:cs="David"/>
          <w:sz w:val="24"/>
          <w:szCs w:val="24"/>
          <w:rtl/>
        </w:rPr>
        <w:t xml:space="preserve"> שעל מנת כן הכניס אותם שאם לא יזון אותם ימותו ויברחו והרי אינו חייב באחריותן.</w:t>
      </w:r>
      <w:r w:rsidRPr="00041445">
        <w:rPr>
          <w:rFonts w:asciiTheme="majorBidi" w:hAnsiTheme="majorBidi" w:cs="Times New Roman"/>
          <w:sz w:val="24"/>
          <w:szCs w:val="24"/>
          <w:rtl/>
        </w:rPr>
        <w:t xml:space="preserve">  </w:t>
      </w:r>
      <w:r w:rsidRPr="00041445">
        <w:rPr>
          <w:rFonts w:asciiTheme="majorBidi" w:hAnsiTheme="majorBidi" w:cs="Guttman Yad-Brush"/>
          <w:sz w:val="18"/>
          <w:szCs w:val="18"/>
          <w:rtl/>
        </w:rPr>
        <w:t>א"א לא נתברר לי דבר זה</w:t>
      </w:r>
      <w:r w:rsidR="00C67DC0">
        <w:rPr>
          <w:rFonts w:asciiTheme="majorBidi" w:hAnsiTheme="majorBidi" w:cs="Guttman Yad-Brush" w:hint="cs"/>
          <w:sz w:val="18"/>
          <w:szCs w:val="18"/>
          <w:rtl/>
        </w:rPr>
        <w:t>.</w:t>
      </w:r>
      <w:r w:rsidRPr="00041445">
        <w:rPr>
          <w:rFonts w:asciiTheme="majorBidi" w:hAnsiTheme="majorBidi" w:cs="Guttman Yad-Brush"/>
          <w:sz w:val="18"/>
          <w:szCs w:val="18"/>
          <w:rtl/>
        </w:rPr>
        <w:t xml:space="preserve"> שאם אמר הבעל איני עובד ואיני זן יכול הוא לעשות</w:t>
      </w:r>
      <w:r w:rsidRPr="00041445">
        <w:rPr>
          <w:rStyle w:val="a5"/>
          <w:rFonts w:asciiTheme="majorBidi" w:hAnsiTheme="majorBidi" w:cs="Guttman Yad-Brush"/>
          <w:sz w:val="18"/>
          <w:szCs w:val="18"/>
          <w:rtl/>
        </w:rPr>
        <w:footnoteReference w:id="10"/>
      </w:r>
      <w:r w:rsidRPr="00041445">
        <w:rPr>
          <w:rFonts w:asciiTheme="majorBidi" w:hAnsiTheme="majorBidi" w:cs="Guttman Yad-Brush" w:hint="cs"/>
          <w:sz w:val="18"/>
          <w:szCs w:val="18"/>
          <w:rtl/>
        </w:rPr>
        <w:t>".</w:t>
      </w:r>
    </w:p>
    <w:p w14:paraId="4B6F9869" w14:textId="264C144F" w:rsidR="00D27BFE" w:rsidRDefault="00D27BFE" w:rsidP="000414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הב</w:t>
      </w:r>
      <w:r w:rsidR="002C3BEC">
        <w:rPr>
          <w:rFonts w:asciiTheme="majorBidi" w:hAnsiTheme="majorBidi" w:cstheme="majorBidi" w:hint="cs"/>
          <w:sz w:val="24"/>
          <w:szCs w:val="24"/>
          <w:rtl/>
        </w:rPr>
        <w:t>"ח</w:t>
      </w:r>
      <w:r>
        <w:rPr>
          <w:rFonts w:asciiTheme="majorBidi" w:hAnsiTheme="majorBidi" w:cstheme="majorBidi" w:hint="cs"/>
          <w:sz w:val="24"/>
          <w:szCs w:val="24"/>
          <w:rtl/>
        </w:rPr>
        <w:t xml:space="preserve"> סבור שאין לפנינו מחלוקת: </w:t>
      </w:r>
    </w:p>
    <w:p w14:paraId="11155A96" w14:textId="32151CDB" w:rsidR="00D27BFE" w:rsidRPr="004B6BB3" w:rsidRDefault="00D27BFE" w:rsidP="004B6BB3">
      <w:pPr>
        <w:spacing w:after="0" w:line="360" w:lineRule="auto"/>
        <w:rPr>
          <w:rFonts w:asciiTheme="majorBidi" w:hAnsiTheme="majorBidi" w:cstheme="majorBidi"/>
          <w:sz w:val="24"/>
          <w:szCs w:val="24"/>
          <w:rtl/>
        </w:rPr>
      </w:pPr>
      <w:r>
        <w:rPr>
          <w:rFonts w:ascii="David" w:hAnsi="David" w:cs="David" w:hint="cs"/>
          <w:sz w:val="24"/>
          <w:szCs w:val="24"/>
          <w:rtl/>
        </w:rPr>
        <w:t>"</w:t>
      </w:r>
      <w:r w:rsidRPr="00D27BFE">
        <w:rPr>
          <w:rFonts w:ascii="David" w:hAnsi="David" w:cs="David"/>
          <w:sz w:val="24"/>
          <w:szCs w:val="24"/>
          <w:rtl/>
        </w:rPr>
        <w:t>ודאי מודה הרמב"ם באומר איני נעבד ואיני זן בפירוש</w:t>
      </w:r>
      <w:r>
        <w:rPr>
          <w:rFonts w:ascii="David" w:hAnsi="David" w:cs="David" w:hint="cs"/>
          <w:sz w:val="24"/>
          <w:szCs w:val="24"/>
          <w:rtl/>
        </w:rPr>
        <w:t>,</w:t>
      </w:r>
      <w:r w:rsidRPr="00D27BFE">
        <w:rPr>
          <w:rFonts w:ascii="David" w:hAnsi="David" w:cs="David"/>
          <w:sz w:val="24"/>
          <w:szCs w:val="24"/>
          <w:rtl/>
        </w:rPr>
        <w:t xml:space="preserve"> דאפשר שלא יברחו ויוציאו מעשה ידיהם למזונותיהם</w:t>
      </w:r>
      <w:r>
        <w:rPr>
          <w:rFonts w:ascii="David" w:hAnsi="David" w:cs="David" w:hint="cs"/>
          <w:sz w:val="24"/>
          <w:szCs w:val="24"/>
          <w:rtl/>
        </w:rPr>
        <w:t>.</w:t>
      </w:r>
      <w:r w:rsidRPr="00D27BFE">
        <w:rPr>
          <w:rFonts w:ascii="David" w:hAnsi="David" w:cs="David"/>
          <w:sz w:val="24"/>
          <w:szCs w:val="24"/>
          <w:rtl/>
        </w:rPr>
        <w:t xml:space="preserve"> ולא אמר הרמב"ם אלא באומר עשה עמי ואיני זנך התם הוא דגורם שיברחו</w:t>
      </w:r>
      <w:r w:rsidR="00C67DC0">
        <w:rPr>
          <w:rFonts w:ascii="David" w:hAnsi="David" w:cs="David" w:hint="cs"/>
          <w:sz w:val="24"/>
          <w:szCs w:val="24"/>
          <w:rtl/>
        </w:rPr>
        <w:t>.</w:t>
      </w:r>
      <w:r w:rsidRPr="00D27BFE">
        <w:rPr>
          <w:rFonts w:ascii="David" w:hAnsi="David" w:cs="David"/>
          <w:sz w:val="24"/>
          <w:szCs w:val="24"/>
          <w:rtl/>
        </w:rPr>
        <w:t xml:space="preserve"> ונ"ל ראיה ברורה לדבריו מדתנן </w:t>
      </w:r>
      <w:r w:rsidRPr="00C67DC0">
        <w:rPr>
          <w:rFonts w:ascii="David" w:hAnsi="David" w:cs="David"/>
          <w:sz w:val="18"/>
          <w:szCs w:val="18"/>
          <w:rtl/>
        </w:rPr>
        <w:t>ריש פרק אלמנה לכהן גדול (יבמות סו א)</w:t>
      </w:r>
      <w:r w:rsidR="00C67DC0">
        <w:rPr>
          <w:rFonts w:ascii="David" w:hAnsi="David" w:cs="David" w:hint="cs"/>
          <w:sz w:val="24"/>
          <w:szCs w:val="24"/>
          <w:rtl/>
        </w:rPr>
        <w:t>:</w:t>
      </w:r>
      <w:r w:rsidRPr="00D27BFE">
        <w:rPr>
          <w:rFonts w:ascii="David" w:hAnsi="David" w:cs="David"/>
          <w:sz w:val="24"/>
          <w:szCs w:val="24"/>
          <w:rtl/>
        </w:rPr>
        <w:t xml:space="preserve"> ואלו הן עבדי מלוג אם מתו מתו לה ואם הותירו הותירו לה</w:t>
      </w:r>
      <w:r w:rsidR="00C67DC0">
        <w:rPr>
          <w:rFonts w:ascii="David" w:hAnsi="David" w:cs="David" w:hint="cs"/>
          <w:sz w:val="24"/>
          <w:szCs w:val="24"/>
          <w:rtl/>
        </w:rPr>
        <w:t>.</w:t>
      </w:r>
      <w:r w:rsidRPr="00D27BFE">
        <w:rPr>
          <w:rFonts w:ascii="David" w:hAnsi="David" w:cs="David"/>
          <w:sz w:val="24"/>
          <w:szCs w:val="24"/>
          <w:rtl/>
        </w:rPr>
        <w:t xml:space="preserve"> אף על פי שהוא חייב במזונותן הרי אלו לא יאכלו בתרומה</w:t>
      </w:r>
      <w:r w:rsidR="00C67DC0">
        <w:rPr>
          <w:rFonts w:ascii="David" w:hAnsi="David" w:cs="David" w:hint="cs"/>
          <w:sz w:val="24"/>
          <w:szCs w:val="24"/>
          <w:rtl/>
        </w:rPr>
        <w:t>.</w:t>
      </w:r>
      <w:r w:rsidRPr="00D27BFE">
        <w:rPr>
          <w:rFonts w:ascii="David" w:hAnsi="David" w:cs="David"/>
          <w:sz w:val="24"/>
          <w:szCs w:val="24"/>
          <w:rtl/>
        </w:rPr>
        <w:t xml:space="preserve"> אלמא דחייב במזונותן</w:t>
      </w:r>
      <w:r>
        <w:rPr>
          <w:rStyle w:val="a5"/>
          <w:rFonts w:ascii="David" w:hAnsi="David" w:cs="David"/>
          <w:sz w:val="24"/>
          <w:szCs w:val="24"/>
          <w:rtl/>
        </w:rPr>
        <w:footnoteReference w:id="11"/>
      </w:r>
      <w:r>
        <w:rPr>
          <w:rFonts w:ascii="David" w:hAnsi="David" w:cs="David" w:hint="cs"/>
          <w:sz w:val="24"/>
          <w:szCs w:val="24"/>
          <w:rtl/>
        </w:rPr>
        <w:t xml:space="preserve">".  </w:t>
      </w:r>
      <w:r>
        <w:rPr>
          <w:rFonts w:asciiTheme="majorBidi" w:hAnsiTheme="majorBidi" w:cstheme="majorBidi" w:hint="cs"/>
          <w:sz w:val="24"/>
          <w:szCs w:val="24"/>
          <w:rtl/>
        </w:rPr>
        <w:t>אולם הרב איסר זלמן מלצר סבור שנחלקו הרמב"ם והראב"ד בשאלה האם יכול הרב לומר לעבד מלוג, צא מעשה ידיך למזונותיך. לדעת הרמב"ם אינו יכול</w:t>
      </w:r>
      <w:r w:rsidR="004B6BB3">
        <w:rPr>
          <w:rFonts w:asciiTheme="majorBidi" w:hAnsiTheme="majorBidi" w:cstheme="majorBidi" w:hint="cs"/>
          <w:sz w:val="24"/>
          <w:szCs w:val="24"/>
          <w:rtl/>
        </w:rPr>
        <w:t xml:space="preserve">, שכן, מקור חיובו הוא הכתובה: </w:t>
      </w:r>
      <w:r w:rsidRPr="004B6BB3">
        <w:rPr>
          <w:rFonts w:ascii="David" w:hAnsi="David" w:cs="David"/>
          <w:sz w:val="24"/>
          <w:szCs w:val="24"/>
          <w:rtl/>
        </w:rPr>
        <w:t>"הא להאשה אינו יכול לומר איני מקבל מעשה ידיך ואיני זנך</w:t>
      </w:r>
      <w:r w:rsidR="004B6BB3">
        <w:rPr>
          <w:rFonts w:ascii="David" w:hAnsi="David" w:cs="David" w:hint="cs"/>
          <w:sz w:val="24"/>
          <w:szCs w:val="24"/>
          <w:rtl/>
        </w:rPr>
        <w:t>,</w:t>
      </w:r>
      <w:r w:rsidRPr="004B6BB3">
        <w:rPr>
          <w:rFonts w:ascii="David" w:hAnsi="David" w:cs="David"/>
          <w:sz w:val="24"/>
          <w:szCs w:val="24"/>
          <w:rtl/>
        </w:rPr>
        <w:t xml:space="preserve"> רק שיכול לומר לה צאי מעשה ידיך במזונותיך</w:t>
      </w:r>
      <w:r w:rsidR="004B6BB3">
        <w:rPr>
          <w:rFonts w:ascii="David" w:hAnsi="David" w:cs="David" w:hint="cs"/>
          <w:sz w:val="24"/>
          <w:szCs w:val="24"/>
          <w:rtl/>
        </w:rPr>
        <w:t>.</w:t>
      </w:r>
      <w:r w:rsidRPr="004B6BB3">
        <w:rPr>
          <w:rFonts w:ascii="David" w:hAnsi="David" w:cs="David"/>
          <w:sz w:val="24"/>
          <w:szCs w:val="24"/>
          <w:rtl/>
        </w:rPr>
        <w:t xml:space="preserve"> ובדלא ספקה מחוייב הוא להשלים, וא"כ למה יוכל לומר כן לעבדה?..</w:t>
      </w:r>
      <w:r w:rsidR="004B6BB3" w:rsidRPr="004B6BB3">
        <w:rPr>
          <w:rFonts w:ascii="David" w:hAnsi="David" w:cs="David"/>
          <w:sz w:val="24"/>
          <w:szCs w:val="24"/>
          <w:rtl/>
        </w:rPr>
        <w:t xml:space="preserve"> </w:t>
      </w:r>
      <w:r w:rsidRPr="004B6BB3">
        <w:rPr>
          <w:rFonts w:ascii="David" w:hAnsi="David" w:cs="David"/>
          <w:sz w:val="24"/>
          <w:szCs w:val="24"/>
          <w:rtl/>
        </w:rPr>
        <w:t>אין העבד תובע לו מזונות אלא אשתו שאינה רוצה שימותו עבדיה, ואם עכשיו המזונות ביוקר ואינם מרויחים כדי מזונותיהם ירויחו אח"כ</w:t>
      </w:r>
      <w:r w:rsidR="004B6BB3">
        <w:rPr>
          <w:rFonts w:ascii="David" w:hAnsi="David" w:cs="David" w:hint="cs"/>
          <w:sz w:val="24"/>
          <w:szCs w:val="24"/>
          <w:rtl/>
        </w:rPr>
        <w:t>.</w:t>
      </w:r>
      <w:r w:rsidRPr="004B6BB3">
        <w:rPr>
          <w:rFonts w:ascii="David" w:hAnsi="David" w:cs="David"/>
          <w:sz w:val="24"/>
          <w:szCs w:val="24"/>
          <w:rtl/>
        </w:rPr>
        <w:t xml:space="preserve"> והבעל מחוייב לה ולא לעבדיה</w:t>
      </w:r>
      <w:r w:rsidR="004B6BB3" w:rsidRPr="004B6BB3">
        <w:rPr>
          <w:rFonts w:ascii="David" w:hAnsi="David" w:cs="David"/>
          <w:sz w:val="24"/>
          <w:szCs w:val="24"/>
          <w:rtl/>
        </w:rPr>
        <w:t>. ובדעת הראב"ד יש לומר</w:t>
      </w:r>
      <w:r w:rsidR="004B6BB3">
        <w:rPr>
          <w:rFonts w:ascii="David" w:hAnsi="David" w:cs="David" w:hint="cs"/>
          <w:sz w:val="24"/>
          <w:szCs w:val="24"/>
          <w:rtl/>
        </w:rPr>
        <w:t xml:space="preserve">, </w:t>
      </w:r>
      <w:r w:rsidR="004B6BB3" w:rsidRPr="004B6BB3">
        <w:rPr>
          <w:rFonts w:ascii="David" w:hAnsi="David" w:cs="David"/>
          <w:sz w:val="24"/>
          <w:szCs w:val="24"/>
          <w:rtl/>
        </w:rPr>
        <w:t>דסובר דכיון דהעבד אינו מרויח פרנסתו</w:t>
      </w:r>
      <w:r w:rsidR="00C67DC0">
        <w:rPr>
          <w:rFonts w:ascii="David" w:hAnsi="David" w:cs="David" w:hint="cs"/>
          <w:sz w:val="24"/>
          <w:szCs w:val="24"/>
          <w:rtl/>
        </w:rPr>
        <w:t>,</w:t>
      </w:r>
      <w:r w:rsidR="004B6BB3" w:rsidRPr="004B6BB3">
        <w:rPr>
          <w:rFonts w:ascii="David" w:hAnsi="David" w:cs="David"/>
          <w:sz w:val="24"/>
          <w:szCs w:val="24"/>
          <w:rtl/>
        </w:rPr>
        <w:t xml:space="preserve"> גם לה אינו שוה להחזיקו כדאמרינן למאריה ולמרתיה למאי מתבעי</w:t>
      </w:r>
      <w:r w:rsidR="00C67DC0">
        <w:rPr>
          <w:rFonts w:ascii="David" w:hAnsi="David" w:cs="David" w:hint="cs"/>
          <w:sz w:val="24"/>
          <w:szCs w:val="24"/>
          <w:rtl/>
        </w:rPr>
        <w:t>?</w:t>
      </w:r>
      <w:r w:rsidR="004B6BB3" w:rsidRPr="004B6BB3">
        <w:rPr>
          <w:rFonts w:ascii="David" w:hAnsi="David" w:cs="David"/>
          <w:sz w:val="24"/>
          <w:szCs w:val="24"/>
          <w:rtl/>
        </w:rPr>
        <w:t xml:space="preserve"> והבעל לא התחייב לה להחזיק עבדיה יותר מכפי שהיתה היא מחזקת אותם</w:t>
      </w:r>
      <w:r w:rsidR="004B6BB3" w:rsidRPr="004B6BB3">
        <w:rPr>
          <w:rStyle w:val="a5"/>
          <w:rFonts w:ascii="David" w:hAnsi="David" w:cs="David"/>
          <w:sz w:val="24"/>
          <w:szCs w:val="24"/>
          <w:rtl/>
        </w:rPr>
        <w:footnoteReference w:id="12"/>
      </w:r>
      <w:r w:rsidR="004B6BB3" w:rsidRPr="004B6BB3">
        <w:rPr>
          <w:rFonts w:ascii="David" w:hAnsi="David" w:cs="David"/>
          <w:sz w:val="24"/>
          <w:szCs w:val="24"/>
          <w:rtl/>
        </w:rPr>
        <w:t>".</w:t>
      </w:r>
    </w:p>
    <w:p w14:paraId="370F0907" w14:textId="06A38AB1" w:rsidR="004B6BB3" w:rsidRPr="004B6BB3" w:rsidRDefault="004B6BB3" w:rsidP="00D27BFE">
      <w:pPr>
        <w:spacing w:after="0" w:line="360" w:lineRule="auto"/>
        <w:rPr>
          <w:rFonts w:asciiTheme="majorBidi" w:hAnsiTheme="majorBidi" w:cstheme="majorBidi"/>
          <w:sz w:val="24"/>
          <w:szCs w:val="24"/>
          <w:rtl/>
        </w:rPr>
      </w:pPr>
      <w:r w:rsidRPr="004B6BB3">
        <w:rPr>
          <w:rFonts w:asciiTheme="majorBidi" w:hAnsiTheme="majorBidi" w:cstheme="majorBidi"/>
          <w:sz w:val="24"/>
          <w:szCs w:val="24"/>
          <w:rtl/>
        </w:rPr>
        <w:t>כפי שהתבאר, לפי החתם סופר  בדיוק בזה עסקו התנאים, ואם כן לפי רשב"ג בשנות בצורת אין הרב יכול לומר לעבד מלוג צא מעשה ידיך למזונותיך.</w:t>
      </w:r>
    </w:p>
    <w:p w14:paraId="26B35C9B" w14:textId="77777777" w:rsidR="00081CD9" w:rsidRPr="00041445" w:rsidRDefault="00081CD9" w:rsidP="00E64633">
      <w:pPr>
        <w:spacing w:after="0" w:line="360" w:lineRule="auto"/>
        <w:rPr>
          <w:rFonts w:asciiTheme="majorBidi" w:hAnsiTheme="majorBidi" w:cs="Guttman Yad-Brush"/>
          <w:sz w:val="18"/>
          <w:szCs w:val="18"/>
          <w:rtl/>
        </w:rPr>
      </w:pPr>
    </w:p>
    <w:p w14:paraId="207E80B7" w14:textId="270D14F7" w:rsidR="00E64633" w:rsidRDefault="00480A11" w:rsidP="00C230C8">
      <w:pPr>
        <w:spacing w:after="0" w:line="360" w:lineRule="auto"/>
        <w:rPr>
          <w:rFonts w:asciiTheme="majorBidi" w:hAnsiTheme="majorBidi" w:cstheme="majorBidi"/>
          <w:sz w:val="24"/>
          <w:szCs w:val="24"/>
          <w:rtl/>
        </w:rPr>
      </w:pPr>
      <w:r>
        <w:rPr>
          <w:rFonts w:ascii="David" w:hAnsi="David" w:cs="David" w:hint="cs"/>
          <w:sz w:val="24"/>
          <w:szCs w:val="24"/>
          <w:rtl/>
        </w:rPr>
        <w:t xml:space="preserve"> </w:t>
      </w:r>
    </w:p>
    <w:p w14:paraId="57A6CF5A" w14:textId="77777777" w:rsidR="00E64633" w:rsidRPr="00C230C8" w:rsidRDefault="00E64633" w:rsidP="00C230C8">
      <w:pPr>
        <w:spacing w:after="0" w:line="360" w:lineRule="auto"/>
        <w:rPr>
          <w:rFonts w:asciiTheme="majorBidi" w:hAnsiTheme="majorBidi" w:cstheme="majorBidi"/>
          <w:sz w:val="24"/>
          <w:szCs w:val="24"/>
          <w:rtl/>
        </w:rPr>
      </w:pPr>
    </w:p>
    <w:p w14:paraId="1494F43C" w14:textId="260E2D00" w:rsidR="0074141B" w:rsidRPr="0074141B" w:rsidRDefault="00BF5256" w:rsidP="0074141B">
      <w:pPr>
        <w:spacing w:after="0" w:line="360" w:lineRule="auto"/>
        <w:rPr>
          <w:rFonts w:ascii="David" w:hAnsi="David" w:cs="David"/>
          <w:sz w:val="24"/>
          <w:szCs w:val="24"/>
          <w:rtl/>
        </w:rPr>
      </w:pPr>
      <w:r>
        <w:rPr>
          <w:rFonts w:ascii="David" w:hAnsi="David" w:cs="David" w:hint="cs"/>
          <w:sz w:val="24"/>
          <w:szCs w:val="24"/>
          <w:rtl/>
        </w:rPr>
        <w:t xml:space="preserve"> </w:t>
      </w:r>
    </w:p>
    <w:p w14:paraId="26D5EA0C" w14:textId="130CF67B" w:rsidR="0074141B" w:rsidRPr="005B62DC" w:rsidRDefault="00BF5256" w:rsidP="005B62DC">
      <w:pPr>
        <w:spacing w:after="0" w:line="360" w:lineRule="auto"/>
        <w:rPr>
          <w:rFonts w:ascii="David" w:hAnsi="David" w:cs="David"/>
          <w:sz w:val="24"/>
          <w:szCs w:val="24"/>
        </w:rPr>
      </w:pPr>
      <w:r>
        <w:rPr>
          <w:rFonts w:ascii="David" w:hAnsi="David" w:cs="David" w:hint="cs"/>
          <w:sz w:val="24"/>
          <w:szCs w:val="24"/>
          <w:rtl/>
        </w:rPr>
        <w:t xml:space="preserve"> </w:t>
      </w:r>
    </w:p>
    <w:sectPr w:rsidR="0074141B" w:rsidRPr="005B62DC"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32F8" w14:textId="77777777" w:rsidR="002A6C36" w:rsidRDefault="002A6C36" w:rsidP="00034D50">
      <w:pPr>
        <w:spacing w:after="0" w:line="240" w:lineRule="auto"/>
      </w:pPr>
      <w:r>
        <w:separator/>
      </w:r>
    </w:p>
  </w:endnote>
  <w:endnote w:type="continuationSeparator" w:id="0">
    <w:p w14:paraId="78F43CAC" w14:textId="77777777" w:rsidR="002A6C36" w:rsidRDefault="002A6C36" w:rsidP="0003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F1CE" w14:textId="77777777" w:rsidR="002A6C36" w:rsidRDefault="002A6C36" w:rsidP="00034D50">
      <w:pPr>
        <w:spacing w:after="0" w:line="240" w:lineRule="auto"/>
      </w:pPr>
      <w:r>
        <w:separator/>
      </w:r>
    </w:p>
  </w:footnote>
  <w:footnote w:type="continuationSeparator" w:id="0">
    <w:p w14:paraId="060EAC3C" w14:textId="77777777" w:rsidR="002A6C36" w:rsidRDefault="002A6C36" w:rsidP="00034D50">
      <w:pPr>
        <w:spacing w:after="0" w:line="240" w:lineRule="auto"/>
      </w:pPr>
      <w:r>
        <w:continuationSeparator/>
      </w:r>
    </w:p>
  </w:footnote>
  <w:footnote w:id="1">
    <w:p w14:paraId="4A0E3707" w14:textId="44B1DC65" w:rsidR="00A04B5D" w:rsidRPr="00BF5256" w:rsidRDefault="00A04B5D" w:rsidP="00BF5256">
      <w:pPr>
        <w:spacing w:after="0" w:line="360" w:lineRule="auto"/>
        <w:rPr>
          <w:rFonts w:asciiTheme="majorBidi" w:hAnsiTheme="majorBidi" w:cstheme="majorBidi"/>
          <w:sz w:val="20"/>
          <w:szCs w:val="20"/>
        </w:rPr>
      </w:pPr>
      <w:r w:rsidRPr="00BF5256">
        <w:rPr>
          <w:rStyle w:val="a5"/>
          <w:rFonts w:asciiTheme="majorBidi" w:hAnsiTheme="majorBidi" w:cstheme="majorBidi"/>
          <w:sz w:val="20"/>
          <w:szCs w:val="20"/>
        </w:rPr>
        <w:footnoteRef/>
      </w:r>
      <w:r w:rsidRPr="00BF5256">
        <w:rPr>
          <w:rFonts w:asciiTheme="majorBidi" w:hAnsiTheme="majorBidi" w:cstheme="majorBidi"/>
          <w:sz w:val="20"/>
          <w:szCs w:val="20"/>
          <w:rtl/>
        </w:rPr>
        <w:t xml:space="preserve"> מסכת כתובות דף מג עמוד א.</w:t>
      </w:r>
    </w:p>
  </w:footnote>
  <w:footnote w:id="2">
    <w:p w14:paraId="702DDFDC" w14:textId="18A5609A" w:rsidR="00034D50" w:rsidRPr="00BF5256" w:rsidRDefault="00034D50" w:rsidP="00BF5256">
      <w:pPr>
        <w:pStyle w:val="a3"/>
        <w:spacing w:line="360" w:lineRule="auto"/>
        <w:rPr>
          <w:rFonts w:asciiTheme="majorBidi" w:hAnsiTheme="majorBidi" w:cstheme="majorBidi"/>
          <w:rtl/>
        </w:rPr>
      </w:pPr>
      <w:r w:rsidRPr="00BF5256">
        <w:rPr>
          <w:rStyle w:val="a5"/>
          <w:rFonts w:asciiTheme="majorBidi" w:hAnsiTheme="majorBidi" w:cstheme="majorBidi"/>
        </w:rPr>
        <w:footnoteRef/>
      </w:r>
      <w:r w:rsidRPr="00BF5256">
        <w:rPr>
          <w:rFonts w:asciiTheme="majorBidi" w:hAnsiTheme="majorBidi" w:cstheme="majorBidi"/>
          <w:rtl/>
        </w:rPr>
        <w:t xml:space="preserve"> מסכת ביצה דף ד עמוד א.</w:t>
      </w:r>
    </w:p>
  </w:footnote>
  <w:footnote w:id="3">
    <w:p w14:paraId="37912FA8" w14:textId="46C69B4F" w:rsidR="00034D50" w:rsidRPr="00BF5256" w:rsidRDefault="00034D50" w:rsidP="00BF5256">
      <w:pPr>
        <w:pStyle w:val="a3"/>
        <w:spacing w:line="360" w:lineRule="auto"/>
        <w:rPr>
          <w:rFonts w:asciiTheme="majorBidi" w:hAnsiTheme="majorBidi" w:cstheme="majorBidi"/>
        </w:rPr>
      </w:pPr>
      <w:r w:rsidRPr="00BF5256">
        <w:rPr>
          <w:rStyle w:val="a5"/>
          <w:rFonts w:asciiTheme="majorBidi" w:hAnsiTheme="majorBidi" w:cstheme="majorBidi"/>
        </w:rPr>
        <w:footnoteRef/>
      </w:r>
      <w:r w:rsidRPr="00BF5256">
        <w:rPr>
          <w:rFonts w:asciiTheme="majorBidi" w:hAnsiTheme="majorBidi" w:cstheme="majorBidi"/>
          <w:rtl/>
        </w:rPr>
        <w:t xml:space="preserve"> הלכות עבדים פרק ט הלכה ז.</w:t>
      </w:r>
    </w:p>
  </w:footnote>
  <w:footnote w:id="4">
    <w:p w14:paraId="70DBCB90" w14:textId="4DBA8FE2" w:rsidR="00761415" w:rsidRDefault="00761415" w:rsidP="00BF5256">
      <w:pPr>
        <w:pStyle w:val="a3"/>
        <w:spacing w:line="360" w:lineRule="auto"/>
        <w:rPr>
          <w:rtl/>
        </w:rPr>
      </w:pPr>
      <w:r w:rsidRPr="00BF5256">
        <w:rPr>
          <w:rStyle w:val="a5"/>
          <w:rFonts w:asciiTheme="majorBidi" w:hAnsiTheme="majorBidi" w:cstheme="majorBidi"/>
        </w:rPr>
        <w:footnoteRef/>
      </w:r>
      <w:r w:rsidRPr="00BF5256">
        <w:rPr>
          <w:rFonts w:asciiTheme="majorBidi" w:hAnsiTheme="majorBidi" w:cstheme="majorBidi"/>
          <w:rtl/>
        </w:rPr>
        <w:t xml:space="preserve"> יו"ד סימן רסז סעיף כ.</w:t>
      </w:r>
      <w:r>
        <w:rPr>
          <w:rFonts w:hint="cs"/>
          <w:rtl/>
        </w:rPr>
        <w:t xml:space="preserve"> </w:t>
      </w:r>
    </w:p>
  </w:footnote>
  <w:footnote w:id="5">
    <w:p w14:paraId="4180099F" w14:textId="066E620B" w:rsidR="003774BA" w:rsidRPr="00BF5256" w:rsidRDefault="003774BA" w:rsidP="00BF5256">
      <w:pPr>
        <w:pStyle w:val="a3"/>
        <w:spacing w:line="360" w:lineRule="auto"/>
        <w:rPr>
          <w:rFonts w:asciiTheme="majorBidi" w:hAnsiTheme="majorBidi" w:cstheme="majorBidi"/>
        </w:rPr>
      </w:pPr>
      <w:r w:rsidRPr="00BF5256">
        <w:rPr>
          <w:rStyle w:val="a5"/>
          <w:rFonts w:asciiTheme="majorBidi" w:hAnsiTheme="majorBidi" w:cstheme="majorBidi"/>
        </w:rPr>
        <w:footnoteRef/>
      </w:r>
      <w:r w:rsidRPr="00BF5256">
        <w:rPr>
          <w:rFonts w:asciiTheme="majorBidi" w:hAnsiTheme="majorBidi" w:cstheme="majorBidi"/>
          <w:rtl/>
        </w:rPr>
        <w:t xml:space="preserve"> ד"ה שמע מינה יכול ש"מ.</w:t>
      </w:r>
    </w:p>
  </w:footnote>
  <w:footnote w:id="6">
    <w:p w14:paraId="14FBED03" w14:textId="42AD9E12" w:rsidR="00A04B5D" w:rsidRPr="00BF5256" w:rsidRDefault="00A04B5D" w:rsidP="00BF5256">
      <w:pPr>
        <w:pStyle w:val="a3"/>
        <w:spacing w:line="360" w:lineRule="auto"/>
        <w:rPr>
          <w:rFonts w:asciiTheme="majorBidi" w:hAnsiTheme="majorBidi" w:cstheme="majorBidi"/>
          <w:rtl/>
        </w:rPr>
      </w:pPr>
      <w:r w:rsidRPr="00BF5256">
        <w:rPr>
          <w:rStyle w:val="a5"/>
          <w:rFonts w:asciiTheme="majorBidi" w:hAnsiTheme="majorBidi" w:cstheme="majorBidi"/>
        </w:rPr>
        <w:footnoteRef/>
      </w:r>
      <w:r w:rsidRPr="00BF5256">
        <w:rPr>
          <w:rFonts w:asciiTheme="majorBidi" w:hAnsiTheme="majorBidi" w:cstheme="majorBidi"/>
          <w:rtl/>
        </w:rPr>
        <w:t xml:space="preserve"> סימן יג.</w:t>
      </w:r>
    </w:p>
  </w:footnote>
  <w:footnote w:id="7">
    <w:p w14:paraId="6A2E14DE" w14:textId="48E86D65" w:rsidR="00BF5256" w:rsidRPr="00BF5256" w:rsidRDefault="00BF5256" w:rsidP="00BF5256">
      <w:pPr>
        <w:spacing w:after="0" w:line="360" w:lineRule="auto"/>
        <w:rPr>
          <w:rFonts w:asciiTheme="majorBidi" w:hAnsiTheme="majorBidi" w:cstheme="majorBidi"/>
          <w:sz w:val="20"/>
          <w:szCs w:val="20"/>
          <w:rtl/>
        </w:rPr>
      </w:pPr>
      <w:r w:rsidRPr="00BF5256">
        <w:rPr>
          <w:rStyle w:val="a5"/>
          <w:rFonts w:asciiTheme="majorBidi" w:hAnsiTheme="majorBidi" w:cstheme="majorBidi"/>
          <w:sz w:val="20"/>
          <w:szCs w:val="20"/>
        </w:rPr>
        <w:footnoteRef/>
      </w:r>
      <w:r w:rsidRPr="00BF5256">
        <w:rPr>
          <w:rFonts w:asciiTheme="majorBidi" w:hAnsiTheme="majorBidi" w:cstheme="majorBidi"/>
          <w:sz w:val="20"/>
          <w:szCs w:val="20"/>
          <w:rtl/>
        </w:rPr>
        <w:t xml:space="preserve"> מסכת בבא קמא דף פז עמוד ב.</w:t>
      </w:r>
    </w:p>
  </w:footnote>
  <w:footnote w:id="8">
    <w:p w14:paraId="4EF1241B" w14:textId="5554570C" w:rsidR="00A04B5D" w:rsidRPr="00BF5256" w:rsidRDefault="00A04B5D" w:rsidP="00BF5256">
      <w:pPr>
        <w:spacing w:after="0" w:line="360" w:lineRule="auto"/>
        <w:rPr>
          <w:rFonts w:asciiTheme="majorBidi" w:hAnsiTheme="majorBidi" w:cstheme="majorBidi"/>
          <w:sz w:val="20"/>
          <w:szCs w:val="20"/>
          <w:rtl/>
        </w:rPr>
      </w:pPr>
      <w:r w:rsidRPr="00BF5256">
        <w:rPr>
          <w:rStyle w:val="a5"/>
          <w:rFonts w:asciiTheme="majorBidi" w:hAnsiTheme="majorBidi" w:cstheme="majorBidi"/>
          <w:sz w:val="20"/>
          <w:szCs w:val="20"/>
        </w:rPr>
        <w:footnoteRef/>
      </w:r>
      <w:r w:rsidRPr="00BF5256">
        <w:rPr>
          <w:rFonts w:asciiTheme="majorBidi" w:hAnsiTheme="majorBidi" w:cstheme="majorBidi"/>
          <w:sz w:val="20"/>
          <w:szCs w:val="20"/>
          <w:rtl/>
        </w:rPr>
        <w:t xml:space="preserve"> בית יוסף יורה דעה סימן רסז סעיף כ.</w:t>
      </w:r>
    </w:p>
  </w:footnote>
  <w:footnote w:id="9">
    <w:p w14:paraId="6FDC4C42" w14:textId="74664A39" w:rsidR="00480A11" w:rsidRPr="004B6BB3" w:rsidRDefault="00480A11" w:rsidP="004B6BB3">
      <w:pPr>
        <w:spacing w:after="0" w:line="360" w:lineRule="auto"/>
        <w:rPr>
          <w:rFonts w:asciiTheme="majorBidi" w:hAnsiTheme="majorBidi" w:cstheme="majorBidi"/>
          <w:sz w:val="20"/>
          <w:szCs w:val="20"/>
        </w:rPr>
      </w:pPr>
      <w:r w:rsidRPr="004B6BB3">
        <w:rPr>
          <w:rStyle w:val="a5"/>
          <w:rFonts w:asciiTheme="majorBidi" w:hAnsiTheme="majorBidi" w:cstheme="majorBidi"/>
          <w:sz w:val="20"/>
          <w:szCs w:val="20"/>
        </w:rPr>
        <w:footnoteRef/>
      </w:r>
      <w:r w:rsidRPr="004B6BB3">
        <w:rPr>
          <w:rFonts w:asciiTheme="majorBidi" w:hAnsiTheme="majorBidi" w:cstheme="majorBidi"/>
          <w:sz w:val="20"/>
          <w:szCs w:val="20"/>
          <w:rtl/>
        </w:rPr>
        <w:t xml:space="preserve"> ערוך השולחן יורה דעה סימן רסז סעיפים  ל </w:t>
      </w:r>
      <w:r w:rsidR="00BF5256" w:rsidRPr="004B6BB3">
        <w:rPr>
          <w:rFonts w:asciiTheme="majorBidi" w:hAnsiTheme="majorBidi" w:cstheme="majorBidi"/>
          <w:sz w:val="20"/>
          <w:szCs w:val="20"/>
          <w:rtl/>
        </w:rPr>
        <w:t>–</w:t>
      </w:r>
      <w:r w:rsidRPr="004B6BB3">
        <w:rPr>
          <w:rFonts w:asciiTheme="majorBidi" w:hAnsiTheme="majorBidi" w:cstheme="majorBidi"/>
          <w:sz w:val="20"/>
          <w:szCs w:val="20"/>
          <w:rtl/>
        </w:rPr>
        <w:t xml:space="preserve"> לא</w:t>
      </w:r>
      <w:r w:rsidR="00BF5256" w:rsidRPr="004B6BB3">
        <w:rPr>
          <w:rFonts w:asciiTheme="majorBidi" w:hAnsiTheme="majorBidi" w:cstheme="majorBidi"/>
          <w:sz w:val="20"/>
          <w:szCs w:val="20"/>
          <w:rtl/>
        </w:rPr>
        <w:t>.</w:t>
      </w:r>
    </w:p>
  </w:footnote>
  <w:footnote w:id="10">
    <w:p w14:paraId="2CA39A02" w14:textId="5DC89E1B" w:rsidR="00041445" w:rsidRPr="004B6BB3" w:rsidRDefault="00041445" w:rsidP="004B6BB3">
      <w:pPr>
        <w:spacing w:after="0" w:line="360" w:lineRule="auto"/>
        <w:rPr>
          <w:rFonts w:asciiTheme="majorBidi" w:hAnsiTheme="majorBidi" w:cstheme="majorBidi"/>
          <w:sz w:val="20"/>
          <w:szCs w:val="20"/>
        </w:rPr>
      </w:pPr>
      <w:r w:rsidRPr="004B6BB3">
        <w:rPr>
          <w:rStyle w:val="a5"/>
          <w:rFonts w:asciiTheme="majorBidi" w:hAnsiTheme="majorBidi" w:cstheme="majorBidi"/>
          <w:sz w:val="20"/>
          <w:szCs w:val="20"/>
        </w:rPr>
        <w:footnoteRef/>
      </w:r>
      <w:r w:rsidRPr="004B6BB3">
        <w:rPr>
          <w:rFonts w:asciiTheme="majorBidi" w:hAnsiTheme="majorBidi" w:cstheme="majorBidi"/>
          <w:sz w:val="20"/>
          <w:szCs w:val="20"/>
          <w:rtl/>
        </w:rPr>
        <w:t xml:space="preserve"> רמב"ם הלכות עבדים פרק ט הלכה ז.</w:t>
      </w:r>
    </w:p>
  </w:footnote>
  <w:footnote w:id="11">
    <w:p w14:paraId="38E0EB85" w14:textId="209BDFE5" w:rsidR="00D27BFE" w:rsidRPr="004B6BB3" w:rsidRDefault="00D27BFE" w:rsidP="004B6BB3">
      <w:pPr>
        <w:spacing w:after="0" w:line="360" w:lineRule="auto"/>
        <w:rPr>
          <w:rFonts w:asciiTheme="majorBidi" w:hAnsiTheme="majorBidi" w:cstheme="majorBidi"/>
          <w:sz w:val="20"/>
          <w:szCs w:val="20"/>
        </w:rPr>
      </w:pPr>
      <w:r w:rsidRPr="004B6BB3">
        <w:rPr>
          <w:rStyle w:val="a5"/>
          <w:rFonts w:asciiTheme="majorBidi" w:hAnsiTheme="majorBidi" w:cstheme="majorBidi"/>
          <w:sz w:val="20"/>
          <w:szCs w:val="20"/>
        </w:rPr>
        <w:footnoteRef/>
      </w:r>
      <w:r w:rsidRPr="004B6BB3">
        <w:rPr>
          <w:rFonts w:asciiTheme="majorBidi" w:hAnsiTheme="majorBidi" w:cstheme="majorBidi"/>
          <w:sz w:val="20"/>
          <w:szCs w:val="20"/>
          <w:rtl/>
        </w:rPr>
        <w:t xml:space="preserve"> ב"ח יורה דעה סימן רסז אות טו. וכן סבר בכס"מ</w:t>
      </w:r>
      <w:r w:rsidR="004B6BB3">
        <w:rPr>
          <w:rFonts w:asciiTheme="majorBidi" w:hAnsiTheme="majorBidi" w:cstheme="majorBidi" w:hint="cs"/>
          <w:sz w:val="20"/>
          <w:szCs w:val="20"/>
          <w:rtl/>
        </w:rPr>
        <w:t>.</w:t>
      </w:r>
    </w:p>
  </w:footnote>
  <w:footnote w:id="12">
    <w:p w14:paraId="623BD9F4" w14:textId="185E491B" w:rsidR="004B6BB3" w:rsidRPr="004B6BB3" w:rsidRDefault="004B6BB3" w:rsidP="004B6BB3">
      <w:pPr>
        <w:spacing w:after="0" w:line="360" w:lineRule="auto"/>
        <w:rPr>
          <w:rFonts w:asciiTheme="majorBidi" w:hAnsiTheme="majorBidi" w:cstheme="majorBidi"/>
          <w:sz w:val="20"/>
          <w:szCs w:val="20"/>
          <w:rtl/>
        </w:rPr>
      </w:pPr>
      <w:r w:rsidRPr="004B6BB3">
        <w:rPr>
          <w:rStyle w:val="a5"/>
          <w:rFonts w:asciiTheme="majorBidi" w:hAnsiTheme="majorBidi" w:cstheme="majorBidi"/>
          <w:sz w:val="20"/>
          <w:szCs w:val="20"/>
        </w:rPr>
        <w:footnoteRef/>
      </w:r>
      <w:r w:rsidRPr="004B6BB3">
        <w:rPr>
          <w:rFonts w:asciiTheme="majorBidi" w:hAnsiTheme="majorBidi" w:cstheme="majorBidi"/>
          <w:sz w:val="20"/>
          <w:szCs w:val="20"/>
          <w:rtl/>
        </w:rPr>
        <w:t xml:space="preserve"> אבן האזל הלכות עבדים פרק ט הלכה ז</w:t>
      </w:r>
      <w:r>
        <w:rPr>
          <w:rFonts w:asciiTheme="majorBidi" w:hAnsiTheme="majorBidi" w:cstheme="majorBidi" w:hint="cs"/>
          <w:sz w:val="20"/>
          <w:szCs w:val="20"/>
          <w:rtl/>
        </w:rPr>
        <w:t>.</w:t>
      </w:r>
    </w:p>
    <w:p w14:paraId="081913A3" w14:textId="2D2559DB" w:rsidR="004B6BB3" w:rsidRDefault="004B6BB3">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1587933"/>
      <w:docPartObj>
        <w:docPartGallery w:val="Page Numbers (Top of Page)"/>
        <w:docPartUnique/>
      </w:docPartObj>
    </w:sdtPr>
    <w:sdtContent>
      <w:p w14:paraId="4BD7D8AD" w14:textId="46589137" w:rsidR="00BF5256" w:rsidRDefault="00BF5256">
        <w:pPr>
          <w:pStyle w:val="a6"/>
        </w:pPr>
        <w:r>
          <w:fldChar w:fldCharType="begin"/>
        </w:r>
        <w:r>
          <w:instrText>PAGE   \* MERGEFORMAT</w:instrText>
        </w:r>
        <w:r>
          <w:fldChar w:fldCharType="separate"/>
        </w:r>
        <w:r>
          <w:rPr>
            <w:rtl/>
            <w:lang w:val="he-IL"/>
          </w:rPr>
          <w:t>2</w:t>
        </w:r>
        <w:r>
          <w:fldChar w:fldCharType="end"/>
        </w:r>
      </w:p>
    </w:sdtContent>
  </w:sdt>
  <w:p w14:paraId="189F252D" w14:textId="77777777" w:rsidR="00BF5256" w:rsidRDefault="00BF52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B5010"/>
    <w:multiLevelType w:val="hybridMultilevel"/>
    <w:tmpl w:val="7400A33A"/>
    <w:lvl w:ilvl="0" w:tplc="B72206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21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E2"/>
    <w:rsid w:val="00034D50"/>
    <w:rsid w:val="00041445"/>
    <w:rsid w:val="00081CD9"/>
    <w:rsid w:val="00293330"/>
    <w:rsid w:val="002A6C36"/>
    <w:rsid w:val="002C3BEC"/>
    <w:rsid w:val="003774BA"/>
    <w:rsid w:val="00480A11"/>
    <w:rsid w:val="004B6BB3"/>
    <w:rsid w:val="00515755"/>
    <w:rsid w:val="005B62DC"/>
    <w:rsid w:val="005F3469"/>
    <w:rsid w:val="006927B9"/>
    <w:rsid w:val="006C47E2"/>
    <w:rsid w:val="0074141B"/>
    <w:rsid w:val="00761415"/>
    <w:rsid w:val="00A04B5D"/>
    <w:rsid w:val="00A82CF4"/>
    <w:rsid w:val="00BF5256"/>
    <w:rsid w:val="00C230C8"/>
    <w:rsid w:val="00C67DC0"/>
    <w:rsid w:val="00CC2BF3"/>
    <w:rsid w:val="00D27BFE"/>
    <w:rsid w:val="00D64EC5"/>
    <w:rsid w:val="00DB49AB"/>
    <w:rsid w:val="00E64633"/>
    <w:rsid w:val="00FD1095"/>
    <w:rsid w:val="00FE42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2632"/>
  <w15:chartTrackingRefBased/>
  <w15:docId w15:val="{3FB9ECDB-120D-4275-A941-7FEE74A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34D50"/>
    <w:pPr>
      <w:spacing w:after="0" w:line="240" w:lineRule="auto"/>
    </w:pPr>
    <w:rPr>
      <w:sz w:val="20"/>
      <w:szCs w:val="20"/>
    </w:rPr>
  </w:style>
  <w:style w:type="character" w:customStyle="1" w:styleId="a4">
    <w:name w:val="טקסט הערת שוליים תו"/>
    <w:basedOn w:val="a0"/>
    <w:link w:val="a3"/>
    <w:uiPriority w:val="99"/>
    <w:semiHidden/>
    <w:rsid w:val="00034D50"/>
    <w:rPr>
      <w:noProof/>
      <w:sz w:val="20"/>
      <w:szCs w:val="20"/>
    </w:rPr>
  </w:style>
  <w:style w:type="character" w:styleId="a5">
    <w:name w:val="footnote reference"/>
    <w:basedOn w:val="a0"/>
    <w:uiPriority w:val="99"/>
    <w:semiHidden/>
    <w:unhideWhenUsed/>
    <w:rsid w:val="00034D50"/>
    <w:rPr>
      <w:vertAlign w:val="superscript"/>
    </w:rPr>
  </w:style>
  <w:style w:type="paragraph" w:styleId="a6">
    <w:name w:val="header"/>
    <w:basedOn w:val="a"/>
    <w:link w:val="a7"/>
    <w:uiPriority w:val="99"/>
    <w:unhideWhenUsed/>
    <w:rsid w:val="00BF5256"/>
    <w:pPr>
      <w:tabs>
        <w:tab w:val="center" w:pos="4153"/>
        <w:tab w:val="right" w:pos="8306"/>
      </w:tabs>
      <w:spacing w:after="0" w:line="240" w:lineRule="auto"/>
    </w:pPr>
  </w:style>
  <w:style w:type="character" w:customStyle="1" w:styleId="a7">
    <w:name w:val="כותרת עליונה תו"/>
    <w:basedOn w:val="a0"/>
    <w:link w:val="a6"/>
    <w:uiPriority w:val="99"/>
    <w:rsid w:val="00BF5256"/>
    <w:rPr>
      <w:noProof/>
    </w:rPr>
  </w:style>
  <w:style w:type="paragraph" w:styleId="a8">
    <w:name w:val="footer"/>
    <w:basedOn w:val="a"/>
    <w:link w:val="a9"/>
    <w:uiPriority w:val="99"/>
    <w:unhideWhenUsed/>
    <w:rsid w:val="00BF5256"/>
    <w:pPr>
      <w:tabs>
        <w:tab w:val="center" w:pos="4153"/>
        <w:tab w:val="right" w:pos="8306"/>
      </w:tabs>
      <w:spacing w:after="0" w:line="240" w:lineRule="auto"/>
    </w:pPr>
  </w:style>
  <w:style w:type="character" w:customStyle="1" w:styleId="a9">
    <w:name w:val="כותרת תחתונה תו"/>
    <w:basedOn w:val="a0"/>
    <w:link w:val="a8"/>
    <w:uiPriority w:val="99"/>
    <w:rsid w:val="00BF5256"/>
    <w:rPr>
      <w:noProof/>
    </w:rPr>
  </w:style>
  <w:style w:type="paragraph" w:styleId="aa">
    <w:name w:val="List Paragraph"/>
    <w:basedOn w:val="a"/>
    <w:uiPriority w:val="34"/>
    <w:qFormat/>
    <w:rsid w:val="002C3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3</Pages>
  <Words>1057</Words>
  <Characters>5285</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2023-03-29T16:52:00Z</dcterms:created>
  <dcterms:modified xsi:type="dcterms:W3CDTF">2023-05-09T11:04:00Z</dcterms:modified>
</cp:coreProperties>
</file>