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F73E1D">
      <w:pPr>
        <w:rPr>
          <w:rtl/>
        </w:rPr>
      </w:pPr>
      <w:r>
        <w:rPr>
          <w:rFonts w:hint="cs"/>
          <w:rtl/>
        </w:rPr>
        <w:t>בס"ד</w:t>
      </w:r>
    </w:p>
    <w:p w:rsidR="00F73E1D" w:rsidRDefault="00F73E1D">
      <w:pPr>
        <w:rPr>
          <w:rFonts w:hint="cs"/>
          <w:b/>
          <w:bCs/>
          <w:sz w:val="36"/>
          <w:szCs w:val="36"/>
          <w:rtl/>
        </w:rPr>
      </w:pPr>
      <w:r>
        <w:rPr>
          <w:rFonts w:hint="cs"/>
          <w:rtl/>
        </w:rPr>
        <w:t xml:space="preserve">   </w:t>
      </w:r>
      <w:r w:rsidR="008418C6">
        <w:rPr>
          <w:rFonts w:hint="cs"/>
          <w:rtl/>
        </w:rPr>
        <w:t xml:space="preserve">                         </w:t>
      </w:r>
      <w:bookmarkStart w:id="0" w:name="_GoBack"/>
      <w:bookmarkEnd w:id="0"/>
      <w:r>
        <w:rPr>
          <w:rFonts w:hint="cs"/>
          <w:rtl/>
        </w:rPr>
        <w:t xml:space="preserve">           </w:t>
      </w:r>
      <w:proofErr w:type="spellStart"/>
      <w:r w:rsidRPr="00F73E1D">
        <w:rPr>
          <w:rFonts w:hint="cs"/>
          <w:b/>
          <w:bCs/>
          <w:sz w:val="36"/>
          <w:szCs w:val="36"/>
          <w:rtl/>
        </w:rPr>
        <w:t>אנן</w:t>
      </w:r>
      <w:proofErr w:type="spellEnd"/>
      <w:r w:rsidRPr="00F73E1D">
        <w:rPr>
          <w:rFonts w:hint="cs"/>
          <w:b/>
          <w:bCs/>
          <w:sz w:val="36"/>
          <w:szCs w:val="36"/>
          <w:rtl/>
        </w:rPr>
        <w:t xml:space="preserve"> יד עניים </w:t>
      </w:r>
      <w:proofErr w:type="spellStart"/>
      <w:r w:rsidRPr="00F73E1D">
        <w:rPr>
          <w:rFonts w:hint="cs"/>
          <w:b/>
          <w:bCs/>
          <w:sz w:val="36"/>
          <w:szCs w:val="36"/>
          <w:rtl/>
        </w:rPr>
        <w:t>אנן</w:t>
      </w:r>
      <w:proofErr w:type="spellEnd"/>
      <w:r w:rsidR="008418C6">
        <w:rPr>
          <w:rFonts w:hint="cs"/>
          <w:b/>
          <w:bCs/>
          <w:sz w:val="36"/>
          <w:szCs w:val="36"/>
          <w:rtl/>
        </w:rPr>
        <w:t xml:space="preserve">- דף </w:t>
      </w:r>
      <w:proofErr w:type="spellStart"/>
      <w:r w:rsidR="008418C6">
        <w:rPr>
          <w:rFonts w:hint="cs"/>
          <w:b/>
          <w:bCs/>
          <w:sz w:val="36"/>
          <w:szCs w:val="36"/>
          <w:rtl/>
        </w:rPr>
        <w:t>לו,ב</w:t>
      </w:r>
      <w:proofErr w:type="spellEnd"/>
    </w:p>
    <w:p w:rsidR="008418C6" w:rsidRDefault="008418C6">
      <w:pPr>
        <w:rPr>
          <w:b/>
          <w:bCs/>
          <w:sz w:val="36"/>
          <w:szCs w:val="36"/>
          <w:rtl/>
        </w:rPr>
      </w:pPr>
      <w:r>
        <w:rPr>
          <w:rFonts w:hint="cs"/>
          <w:b/>
          <w:bCs/>
          <w:sz w:val="36"/>
          <w:szCs w:val="36"/>
          <w:rtl/>
        </w:rPr>
        <w:t xml:space="preserve">                              </w:t>
      </w:r>
      <w:r>
        <w:rPr>
          <w:rFonts w:cs="Arial"/>
          <w:b/>
          <w:bCs/>
          <w:sz w:val="24"/>
          <w:szCs w:val="24"/>
          <w:rtl/>
        </w:rPr>
        <w:t>הרב משה חיים הר-נוי</w:t>
      </w:r>
    </w:p>
    <w:p w:rsidR="00F73E1D" w:rsidRDefault="00F73E1D">
      <w:pPr>
        <w:rPr>
          <w:sz w:val="24"/>
          <w:szCs w:val="24"/>
          <w:rtl/>
        </w:rPr>
      </w:pPr>
      <w:r>
        <w:rPr>
          <w:rFonts w:hint="cs"/>
          <w:sz w:val="24"/>
          <w:szCs w:val="24"/>
          <w:rtl/>
        </w:rPr>
        <w:t>הגמרא בבא קמא לו, ב מספרת על אדם שהיו חייבים לו חצי זוז עקב נזק שנעשה לו. הוא לא רצה בתחילה את חצי הזוז ואמר שיתנו אותו לעניים. לאחר מכן התחרט ורצה את חצי הזוז כדי לרפא את עצמו . רב יוסף סירב אשר לו את הדבר באומרו שהעניים כבר זכו בחצי זוז כיוון שבית הדין הוא כיד ארוכה של העניים .</w:t>
      </w:r>
    </w:p>
    <w:p w:rsidR="00F73E1D" w:rsidRDefault="00F73E1D">
      <w:pPr>
        <w:rPr>
          <w:sz w:val="24"/>
          <w:szCs w:val="24"/>
          <w:rtl/>
        </w:rPr>
      </w:pPr>
      <w:r>
        <w:rPr>
          <w:rFonts w:hint="cs"/>
          <w:sz w:val="24"/>
          <w:szCs w:val="24"/>
          <w:rtl/>
        </w:rPr>
        <w:t>נחלק את שיעורנו לשני נושאים מרכזיים.</w:t>
      </w:r>
    </w:p>
    <w:p w:rsidR="00F73E1D" w:rsidRDefault="00F73E1D">
      <w:pPr>
        <w:rPr>
          <w:sz w:val="24"/>
          <w:szCs w:val="24"/>
          <w:rtl/>
        </w:rPr>
      </w:pPr>
      <w:r>
        <w:rPr>
          <w:rFonts w:hint="cs"/>
          <w:sz w:val="24"/>
          <w:szCs w:val="24"/>
          <w:rtl/>
        </w:rPr>
        <w:t>א. האם כל אדם יכול לזכות לעניים או רק בית הדין/גבאי צדקה/שבעת טובי העיר וכו'</w:t>
      </w:r>
    </w:p>
    <w:p w:rsidR="00F73E1D" w:rsidRDefault="00F73E1D" w:rsidP="00F73E1D">
      <w:pPr>
        <w:rPr>
          <w:sz w:val="24"/>
          <w:szCs w:val="24"/>
          <w:rtl/>
        </w:rPr>
      </w:pPr>
      <w:r>
        <w:rPr>
          <w:rFonts w:hint="cs"/>
          <w:sz w:val="24"/>
          <w:szCs w:val="24"/>
          <w:rtl/>
        </w:rPr>
        <w:t xml:space="preserve">ב. הרי גמרא מפורשת היא במסכת ראש השנה שאדם שנדר צדקה אינו יכול לחזור בו ולמה צריך רב יוסף </w:t>
      </w:r>
      <w:proofErr w:type="spellStart"/>
      <w:r>
        <w:rPr>
          <w:rFonts w:hint="cs"/>
          <w:sz w:val="24"/>
          <w:szCs w:val="24"/>
          <w:rtl/>
        </w:rPr>
        <w:t>למימר</w:t>
      </w:r>
      <w:proofErr w:type="spellEnd"/>
      <w:r>
        <w:rPr>
          <w:rFonts w:hint="cs"/>
          <w:sz w:val="24"/>
          <w:szCs w:val="24"/>
          <w:rtl/>
        </w:rPr>
        <w:t xml:space="preserve"> "</w:t>
      </w:r>
      <w:proofErr w:type="spellStart"/>
      <w:r>
        <w:rPr>
          <w:rFonts w:hint="cs"/>
          <w:sz w:val="24"/>
          <w:szCs w:val="24"/>
          <w:rtl/>
        </w:rPr>
        <w:t>אנן</w:t>
      </w:r>
      <w:proofErr w:type="spellEnd"/>
      <w:r>
        <w:rPr>
          <w:rFonts w:hint="cs"/>
          <w:sz w:val="24"/>
          <w:szCs w:val="24"/>
          <w:rtl/>
        </w:rPr>
        <w:t xml:space="preserve"> יד עניים </w:t>
      </w:r>
      <w:proofErr w:type="spellStart"/>
      <w:r>
        <w:rPr>
          <w:rFonts w:hint="cs"/>
          <w:sz w:val="24"/>
          <w:szCs w:val="24"/>
          <w:rtl/>
        </w:rPr>
        <w:t>אנן</w:t>
      </w:r>
      <w:proofErr w:type="spellEnd"/>
      <w:r>
        <w:rPr>
          <w:rFonts w:hint="cs"/>
          <w:sz w:val="24"/>
          <w:szCs w:val="24"/>
          <w:rtl/>
        </w:rPr>
        <w:t xml:space="preserve">"? </w:t>
      </w:r>
    </w:p>
    <w:p w:rsidR="00F73E1D" w:rsidRDefault="00B71384" w:rsidP="00F73E1D">
      <w:pPr>
        <w:rPr>
          <w:sz w:val="24"/>
          <w:szCs w:val="24"/>
          <w:rtl/>
        </w:rPr>
      </w:pPr>
      <w:r>
        <w:rPr>
          <w:rFonts w:hint="cs"/>
          <w:sz w:val="24"/>
          <w:szCs w:val="24"/>
          <w:rtl/>
        </w:rPr>
        <w:t xml:space="preserve">נתחיל בנושא הראשון. </w:t>
      </w:r>
    </w:p>
    <w:p w:rsidR="00B71384" w:rsidRDefault="00B71384" w:rsidP="00B71384">
      <w:pPr>
        <w:rPr>
          <w:sz w:val="24"/>
          <w:szCs w:val="24"/>
          <w:rtl/>
        </w:rPr>
      </w:pPr>
      <w:r w:rsidRPr="00B71384">
        <w:rPr>
          <w:rFonts w:hint="cs"/>
          <w:b/>
          <w:bCs/>
          <w:sz w:val="24"/>
          <w:szCs w:val="24"/>
          <w:rtl/>
        </w:rPr>
        <w:t>רש"י</w:t>
      </w:r>
      <w:r>
        <w:rPr>
          <w:rFonts w:hint="cs"/>
          <w:sz w:val="24"/>
          <w:szCs w:val="24"/>
          <w:rtl/>
        </w:rPr>
        <w:t xml:space="preserve"> מציין כי רב יוסף היה גבאי צדקה כמבואר בפרק החובל (צג, א). </w:t>
      </w:r>
    </w:p>
    <w:p w:rsidR="00B71384" w:rsidRDefault="00B71384" w:rsidP="00F73E1D">
      <w:pPr>
        <w:rPr>
          <w:sz w:val="24"/>
          <w:szCs w:val="24"/>
          <w:rtl/>
        </w:rPr>
      </w:pPr>
      <w:r>
        <w:rPr>
          <w:rFonts w:hint="cs"/>
          <w:sz w:val="24"/>
          <w:szCs w:val="24"/>
          <w:rtl/>
        </w:rPr>
        <w:t xml:space="preserve">בספר </w:t>
      </w:r>
      <w:r w:rsidRPr="00B71384">
        <w:rPr>
          <w:rFonts w:hint="cs"/>
          <w:b/>
          <w:bCs/>
          <w:sz w:val="24"/>
          <w:szCs w:val="24"/>
          <w:rtl/>
        </w:rPr>
        <w:t>דברי מלכיאל</w:t>
      </w:r>
      <w:r>
        <w:rPr>
          <w:rFonts w:hint="cs"/>
          <w:sz w:val="24"/>
          <w:szCs w:val="24"/>
          <w:rtl/>
        </w:rPr>
        <w:t xml:space="preserve"> על הגמרא מפקפק בכך שרב יוסף היה גבאי צדקה דווקא מהגמרא בפרק החובל. הגמרא מספרת כי הגיעה תרומה לעניים לעיר ורב יוסף ביקש מפלוני שישמור על התרומה עד שתחולק לעניים. לכאורה רומז דברי מלכיאל, אם הוא היה גבאי הצדקה כיצד במקום לשמור בעצמו הוא ביקש מאדם אחר שישמור על כספי העניים</w:t>
      </w:r>
    </w:p>
    <w:p w:rsidR="00B71384" w:rsidRDefault="00B71384" w:rsidP="00F73E1D">
      <w:pPr>
        <w:rPr>
          <w:sz w:val="24"/>
          <w:szCs w:val="24"/>
          <w:rtl/>
        </w:rPr>
      </w:pPr>
      <w:r>
        <w:rPr>
          <w:rFonts w:hint="cs"/>
          <w:sz w:val="24"/>
          <w:szCs w:val="24"/>
          <w:rtl/>
        </w:rPr>
        <w:t xml:space="preserve">ואני הקטן, ראיתי לתרץ כי רב יוסף היה עיוור ואינו יכול לשמור בעצמו על ארנק הכסף ולכן כאשר הגיעו תרומות לעיר , הוא ביקש ממשהו אחר שהיה נאמן עליו לשמור את הכסף עד יחולק לעניים. </w:t>
      </w:r>
    </w:p>
    <w:p w:rsidR="00B71384" w:rsidRDefault="00B71384" w:rsidP="004F061B">
      <w:pPr>
        <w:rPr>
          <w:sz w:val="24"/>
          <w:szCs w:val="24"/>
          <w:rtl/>
        </w:rPr>
      </w:pPr>
      <w:r>
        <w:rPr>
          <w:rFonts w:hint="cs"/>
          <w:sz w:val="24"/>
          <w:szCs w:val="24"/>
          <w:rtl/>
        </w:rPr>
        <w:t xml:space="preserve">לעומת דברי רש"י, </w:t>
      </w:r>
      <w:r w:rsidRPr="00002BDE">
        <w:rPr>
          <w:rFonts w:hint="cs"/>
          <w:b/>
          <w:bCs/>
          <w:sz w:val="24"/>
          <w:szCs w:val="24"/>
          <w:rtl/>
        </w:rPr>
        <w:t>רבינו ירוחם</w:t>
      </w:r>
      <w:r>
        <w:rPr>
          <w:rFonts w:hint="cs"/>
          <w:sz w:val="24"/>
          <w:szCs w:val="24"/>
          <w:rtl/>
        </w:rPr>
        <w:t xml:space="preserve"> </w:t>
      </w:r>
      <w:r w:rsidRPr="00B71384">
        <w:rPr>
          <w:rFonts w:cs="Arial"/>
          <w:sz w:val="24"/>
          <w:szCs w:val="24"/>
          <w:rtl/>
        </w:rPr>
        <w:t>(</w:t>
      </w:r>
      <w:proofErr w:type="spellStart"/>
      <w:r w:rsidRPr="00B71384">
        <w:rPr>
          <w:rFonts w:cs="Arial"/>
          <w:sz w:val="24"/>
          <w:szCs w:val="24"/>
          <w:rtl/>
        </w:rPr>
        <w:t>ני"ט</w:t>
      </w:r>
      <w:proofErr w:type="spellEnd"/>
      <w:r w:rsidRPr="00B71384">
        <w:rPr>
          <w:rFonts w:cs="Arial"/>
          <w:sz w:val="24"/>
          <w:szCs w:val="24"/>
          <w:rtl/>
        </w:rPr>
        <w:t xml:space="preserve"> ח"א </w:t>
      </w:r>
      <w:proofErr w:type="spellStart"/>
      <w:r w:rsidRPr="00B71384">
        <w:rPr>
          <w:rFonts w:cs="Arial"/>
          <w:sz w:val="24"/>
          <w:szCs w:val="24"/>
          <w:rtl/>
        </w:rPr>
        <w:t>קסו</w:t>
      </w:r>
      <w:proofErr w:type="spellEnd"/>
      <w:r w:rsidRPr="00B71384">
        <w:rPr>
          <w:rFonts w:cs="Arial"/>
          <w:sz w:val="24"/>
          <w:szCs w:val="24"/>
          <w:rtl/>
        </w:rPr>
        <w:t xml:space="preserve"> ע"א)</w:t>
      </w:r>
      <w:r>
        <w:rPr>
          <w:rFonts w:hint="cs"/>
          <w:sz w:val="24"/>
          <w:szCs w:val="24"/>
          <w:rtl/>
        </w:rPr>
        <w:t xml:space="preserve"> המבוא </w:t>
      </w:r>
      <w:proofErr w:type="spellStart"/>
      <w:r>
        <w:rPr>
          <w:rFonts w:hint="cs"/>
          <w:sz w:val="24"/>
          <w:szCs w:val="24"/>
          <w:rtl/>
        </w:rPr>
        <w:t>ברא"ש</w:t>
      </w:r>
      <w:proofErr w:type="spellEnd"/>
      <w:r>
        <w:rPr>
          <w:rFonts w:hint="cs"/>
          <w:sz w:val="24"/>
          <w:szCs w:val="24"/>
          <w:rtl/>
        </w:rPr>
        <w:t xml:space="preserve"> סובר כי אדם שתרם לצדקה אינו יכול לחזור בו מדין </w:t>
      </w:r>
      <w:r>
        <w:rPr>
          <w:rFonts w:hint="cs"/>
          <w:b/>
          <w:bCs/>
          <w:sz w:val="24"/>
          <w:szCs w:val="24"/>
          <w:rtl/>
        </w:rPr>
        <w:t>מעמד שלושתן</w:t>
      </w:r>
      <w:r w:rsidR="00531C27">
        <w:rPr>
          <w:rStyle w:val="a5"/>
          <w:sz w:val="24"/>
          <w:szCs w:val="24"/>
          <w:rtl/>
        </w:rPr>
        <w:footnoteReference w:id="1"/>
      </w:r>
      <w:r>
        <w:rPr>
          <w:rFonts w:hint="cs"/>
          <w:sz w:val="24"/>
          <w:szCs w:val="24"/>
          <w:rtl/>
        </w:rPr>
        <w:t xml:space="preserve"> (כדב</w:t>
      </w:r>
      <w:r w:rsidR="004F061B">
        <w:rPr>
          <w:rFonts w:hint="cs"/>
          <w:sz w:val="24"/>
          <w:szCs w:val="24"/>
          <w:rtl/>
        </w:rPr>
        <w:t xml:space="preserve">רי רבינו חננאל בסוגיה) ולכן לא חייבת ההתחייבות להיות במעמד גבי הצדקה אלא גם התחייבות  במעמד בית הדין או טובי העיר היא בלתי הפיכה (והוכיח כי </w:t>
      </w:r>
      <w:proofErr w:type="spellStart"/>
      <w:r w:rsidR="004F061B">
        <w:rPr>
          <w:rFonts w:hint="cs"/>
          <w:sz w:val="24"/>
          <w:szCs w:val="24"/>
          <w:rtl/>
        </w:rPr>
        <w:t>מייד</w:t>
      </w:r>
      <w:proofErr w:type="spellEnd"/>
      <w:r w:rsidR="004F061B">
        <w:rPr>
          <w:rFonts w:hint="cs"/>
          <w:sz w:val="24"/>
          <w:szCs w:val="24"/>
          <w:rtl/>
        </w:rPr>
        <w:t xml:space="preserve"> הגמרא אומרת "רבן גמליאל ובית דינו אביהם של יתומים"). </w:t>
      </w:r>
    </w:p>
    <w:p w:rsidR="004F061B" w:rsidRPr="004F061B" w:rsidRDefault="004F061B" w:rsidP="004F061B">
      <w:pPr>
        <w:rPr>
          <w:b/>
          <w:bCs/>
          <w:sz w:val="24"/>
          <w:szCs w:val="24"/>
          <w:rtl/>
        </w:rPr>
      </w:pPr>
      <w:r w:rsidRPr="003311C5">
        <w:rPr>
          <w:rFonts w:hint="cs"/>
          <w:b/>
          <w:bCs/>
          <w:sz w:val="24"/>
          <w:szCs w:val="24"/>
          <w:u w:val="single"/>
          <w:rtl/>
        </w:rPr>
        <w:t xml:space="preserve">סיכום ביניים: </w:t>
      </w:r>
      <w:r>
        <w:rPr>
          <w:rFonts w:hint="cs"/>
          <w:sz w:val="24"/>
          <w:szCs w:val="24"/>
          <w:rtl/>
        </w:rPr>
        <w:t xml:space="preserve">לשיטת רש"י </w:t>
      </w:r>
      <w:proofErr w:type="spellStart"/>
      <w:r>
        <w:rPr>
          <w:rFonts w:hint="cs"/>
          <w:sz w:val="24"/>
          <w:szCs w:val="24"/>
          <w:rtl/>
        </w:rPr>
        <w:t>הזכיה</w:t>
      </w:r>
      <w:proofErr w:type="spellEnd"/>
      <w:r>
        <w:rPr>
          <w:rFonts w:hint="cs"/>
          <w:sz w:val="24"/>
          <w:szCs w:val="24"/>
          <w:rtl/>
        </w:rPr>
        <w:t xml:space="preserve"> של גבאי הצדקה עבור העניים הוא מעצם היותו </w:t>
      </w:r>
      <w:proofErr w:type="spellStart"/>
      <w:r>
        <w:rPr>
          <w:rFonts w:hint="cs"/>
          <w:b/>
          <w:bCs/>
          <w:sz w:val="24"/>
          <w:szCs w:val="24"/>
          <w:rtl/>
        </w:rPr>
        <w:t>ידא</w:t>
      </w:r>
      <w:proofErr w:type="spellEnd"/>
      <w:r>
        <w:rPr>
          <w:rFonts w:hint="cs"/>
          <w:b/>
          <w:bCs/>
          <w:sz w:val="24"/>
          <w:szCs w:val="24"/>
          <w:rtl/>
        </w:rPr>
        <w:t xml:space="preserve"> </w:t>
      </w:r>
      <w:proofErr w:type="spellStart"/>
      <w:r>
        <w:rPr>
          <w:rFonts w:hint="cs"/>
          <w:b/>
          <w:bCs/>
          <w:sz w:val="24"/>
          <w:szCs w:val="24"/>
          <w:rtl/>
        </w:rPr>
        <w:t>אריכתא</w:t>
      </w:r>
      <w:proofErr w:type="spellEnd"/>
      <w:r>
        <w:rPr>
          <w:rFonts w:hint="cs"/>
          <w:b/>
          <w:bCs/>
          <w:sz w:val="24"/>
          <w:szCs w:val="24"/>
          <w:rtl/>
        </w:rPr>
        <w:t xml:space="preserve"> </w:t>
      </w:r>
      <w:r>
        <w:rPr>
          <w:rFonts w:hint="cs"/>
          <w:sz w:val="24"/>
          <w:szCs w:val="24"/>
          <w:rtl/>
        </w:rPr>
        <w:t xml:space="preserve"> של העניים בעוד לשיטת רבינו חננאל ורבינו ירוחם זה מדין </w:t>
      </w:r>
      <w:r>
        <w:rPr>
          <w:rFonts w:hint="cs"/>
          <w:b/>
          <w:bCs/>
          <w:sz w:val="24"/>
          <w:szCs w:val="24"/>
          <w:rtl/>
        </w:rPr>
        <w:t xml:space="preserve">מעמד שלושתן. </w:t>
      </w:r>
    </w:p>
    <w:p w:rsidR="00531C27" w:rsidRDefault="00531C27" w:rsidP="00531C27">
      <w:pPr>
        <w:rPr>
          <w:sz w:val="24"/>
          <w:szCs w:val="24"/>
          <w:rtl/>
        </w:rPr>
      </w:pPr>
      <w:r w:rsidRPr="000B54FA">
        <w:rPr>
          <w:rFonts w:hint="cs"/>
          <w:b/>
          <w:bCs/>
          <w:sz w:val="24"/>
          <w:szCs w:val="24"/>
          <w:rtl/>
        </w:rPr>
        <w:t xml:space="preserve">בשולחן ערוך (יו"ד </w:t>
      </w:r>
      <w:proofErr w:type="spellStart"/>
      <w:r w:rsidRPr="000B54FA">
        <w:rPr>
          <w:rFonts w:hint="cs"/>
          <w:b/>
          <w:bCs/>
          <w:sz w:val="24"/>
          <w:szCs w:val="24"/>
          <w:rtl/>
        </w:rPr>
        <w:t>רנח</w:t>
      </w:r>
      <w:proofErr w:type="spellEnd"/>
      <w:r w:rsidRPr="000B54FA">
        <w:rPr>
          <w:rFonts w:hint="cs"/>
          <w:b/>
          <w:bCs/>
          <w:sz w:val="24"/>
          <w:szCs w:val="24"/>
          <w:rtl/>
        </w:rPr>
        <w:t>, ח)</w:t>
      </w:r>
      <w:r>
        <w:rPr>
          <w:rFonts w:hint="cs"/>
          <w:sz w:val="24"/>
          <w:szCs w:val="24"/>
          <w:rtl/>
        </w:rPr>
        <w:t xml:space="preserve"> פסק המחבר כדעת רבינו ירוחם .</w:t>
      </w:r>
    </w:p>
    <w:p w:rsidR="00531C27" w:rsidRDefault="00531C27" w:rsidP="000B54FA">
      <w:pPr>
        <w:rPr>
          <w:sz w:val="24"/>
          <w:szCs w:val="24"/>
          <w:rtl/>
        </w:rPr>
      </w:pPr>
      <w:r w:rsidRPr="00531C27">
        <w:rPr>
          <w:rFonts w:cs="Arial"/>
          <w:sz w:val="24"/>
          <w:szCs w:val="24"/>
          <w:rtl/>
        </w:rPr>
        <w:t xml:space="preserve">ואפילו האומר: חוב שיש לי ביד פלוני יהיה לצדקה, אם אמר כן בפני ב"ח </w:t>
      </w:r>
      <w:r>
        <w:rPr>
          <w:rFonts w:cs="Arial" w:hint="cs"/>
          <w:sz w:val="24"/>
          <w:szCs w:val="24"/>
          <w:rtl/>
        </w:rPr>
        <w:t xml:space="preserve"> </w:t>
      </w:r>
      <w:r w:rsidRPr="00531C27">
        <w:rPr>
          <w:rFonts w:cs="Arial"/>
          <w:sz w:val="24"/>
          <w:szCs w:val="24"/>
          <w:rtl/>
        </w:rPr>
        <w:t xml:space="preserve">ובפני הגבאי, או בפני טובי העיר (או אדם חשוב שבעיר) זכה בו הגבאי </w:t>
      </w:r>
      <w:r>
        <w:rPr>
          <w:rFonts w:cs="Arial" w:hint="cs"/>
          <w:sz w:val="24"/>
          <w:szCs w:val="24"/>
          <w:rtl/>
        </w:rPr>
        <w:t xml:space="preserve"> </w:t>
      </w:r>
      <w:r w:rsidRPr="00531C27">
        <w:rPr>
          <w:rFonts w:cs="Arial"/>
          <w:sz w:val="24"/>
          <w:szCs w:val="24"/>
          <w:rtl/>
        </w:rPr>
        <w:t>מדין מעמד שלשתם, והרי הוא צדקה ואינו יכול לחזור בו, ואסור לשנותו.</w:t>
      </w:r>
    </w:p>
    <w:p w:rsidR="000B54FA" w:rsidRDefault="000B54FA" w:rsidP="000B54FA">
      <w:pPr>
        <w:rPr>
          <w:sz w:val="24"/>
          <w:szCs w:val="24"/>
          <w:rtl/>
        </w:rPr>
      </w:pPr>
      <w:proofErr w:type="spellStart"/>
      <w:r w:rsidRPr="0060098E">
        <w:rPr>
          <w:rFonts w:hint="cs"/>
          <w:b/>
          <w:bCs/>
          <w:sz w:val="24"/>
          <w:szCs w:val="24"/>
          <w:rtl/>
        </w:rPr>
        <w:t>הרמ"א</w:t>
      </w:r>
      <w:proofErr w:type="spellEnd"/>
      <w:r>
        <w:rPr>
          <w:rFonts w:hint="cs"/>
          <w:sz w:val="24"/>
          <w:szCs w:val="24"/>
          <w:rtl/>
        </w:rPr>
        <w:t xml:space="preserve"> </w:t>
      </w:r>
      <w:r>
        <w:rPr>
          <w:rFonts w:hint="cs"/>
          <w:b/>
          <w:bCs/>
          <w:sz w:val="24"/>
          <w:szCs w:val="24"/>
          <w:rtl/>
        </w:rPr>
        <w:t xml:space="preserve">(שו"ת סימן מח) </w:t>
      </w:r>
      <w:r>
        <w:rPr>
          <w:rFonts w:hint="cs"/>
          <w:sz w:val="24"/>
          <w:szCs w:val="24"/>
          <w:rtl/>
        </w:rPr>
        <w:t xml:space="preserve">מתייחס לתשובה שכתב רבי יוסף קארו בנוגע לאדם שתרם את ממונו לעניי ארץ ישראל. יש בתשובה זו </w:t>
      </w:r>
      <w:proofErr w:type="spellStart"/>
      <w:r>
        <w:rPr>
          <w:rFonts w:hint="cs"/>
          <w:sz w:val="24"/>
          <w:szCs w:val="24"/>
          <w:rtl/>
        </w:rPr>
        <w:t>הבטים</w:t>
      </w:r>
      <w:proofErr w:type="spellEnd"/>
      <w:r>
        <w:rPr>
          <w:rFonts w:hint="cs"/>
          <w:sz w:val="24"/>
          <w:szCs w:val="24"/>
          <w:rtl/>
        </w:rPr>
        <w:t xml:space="preserve"> שונים </w:t>
      </w:r>
      <w:proofErr w:type="spellStart"/>
      <w:r>
        <w:rPr>
          <w:rFonts w:hint="cs"/>
          <w:sz w:val="24"/>
          <w:szCs w:val="24"/>
          <w:rtl/>
        </w:rPr>
        <w:t>והרמ"א</w:t>
      </w:r>
      <w:proofErr w:type="spellEnd"/>
      <w:r>
        <w:rPr>
          <w:rFonts w:hint="cs"/>
          <w:sz w:val="24"/>
          <w:szCs w:val="24"/>
          <w:rtl/>
        </w:rPr>
        <w:t xml:space="preserve"> מתייחס לכולם, אך לעניינו , פסק רבי יוסף קארו כי כיוון שמעמד כתיבת הצוואה נוכחים אנשים מנכבדי הקהילה הרי הדבר תואם לדעת רבינו ירוחם וממילא זכו העניים בכספו של אותו אדם ואין אפשרות לחזור. </w:t>
      </w:r>
      <w:proofErr w:type="spellStart"/>
      <w:r>
        <w:rPr>
          <w:rFonts w:hint="cs"/>
          <w:sz w:val="24"/>
          <w:szCs w:val="24"/>
          <w:rtl/>
        </w:rPr>
        <w:t>הרמ"א</w:t>
      </w:r>
      <w:proofErr w:type="spellEnd"/>
      <w:r>
        <w:rPr>
          <w:rFonts w:hint="cs"/>
          <w:sz w:val="24"/>
          <w:szCs w:val="24"/>
          <w:rtl/>
        </w:rPr>
        <w:t xml:space="preserve"> שולל בראשונה את הוכחתו של רבינו ירוחם שהובאה לעיל, ואומר כי רק גבאי צדקה </w:t>
      </w:r>
      <w:r>
        <w:rPr>
          <w:rFonts w:hint="cs"/>
          <w:sz w:val="24"/>
          <w:szCs w:val="24"/>
          <w:rtl/>
        </w:rPr>
        <w:lastRenderedPageBreak/>
        <w:t>זוכה לעניים ואי אפשר לחזור , אך מה שכתוב "רבן גמליאל ובית דינו אביהם של יתומים" פירושו כי היחס בין יתומים לבית הדין הוא כמו היחס בין גבאי הצדקה לעניים. אך אין כוונת הגמרא לומר כי גם בית הדין או טובי העיר דינם כגבאי צדקה לגבי אי היכולת לחזור בו</w:t>
      </w:r>
      <w:r w:rsidR="00D83779">
        <w:rPr>
          <w:rStyle w:val="a5"/>
          <w:sz w:val="24"/>
          <w:szCs w:val="24"/>
          <w:rtl/>
        </w:rPr>
        <w:footnoteReference w:id="2"/>
      </w:r>
      <w:r>
        <w:rPr>
          <w:rFonts w:hint="cs"/>
          <w:sz w:val="24"/>
          <w:szCs w:val="24"/>
          <w:rtl/>
        </w:rPr>
        <w:t xml:space="preserve"> . </w:t>
      </w:r>
    </w:p>
    <w:p w:rsidR="0060098E" w:rsidRDefault="0060098E" w:rsidP="000B54FA">
      <w:pPr>
        <w:rPr>
          <w:sz w:val="24"/>
          <w:szCs w:val="24"/>
          <w:rtl/>
        </w:rPr>
      </w:pPr>
      <w:proofErr w:type="spellStart"/>
      <w:r>
        <w:rPr>
          <w:rFonts w:hint="cs"/>
          <w:sz w:val="24"/>
          <w:szCs w:val="24"/>
          <w:rtl/>
        </w:rPr>
        <w:t>הרמ"א</w:t>
      </w:r>
      <w:proofErr w:type="spellEnd"/>
      <w:r>
        <w:rPr>
          <w:rFonts w:hint="cs"/>
          <w:sz w:val="24"/>
          <w:szCs w:val="24"/>
          <w:rtl/>
        </w:rPr>
        <w:t xml:space="preserve"> גם מערער על הקביעה כי היו אנשים מחשובי העיר בעת כתיבת הצוואה לצדקה, מאחר שפעמים רבות דווקא צוואות כותבים בסתר מסיבות אלו ואחרות. </w:t>
      </w:r>
    </w:p>
    <w:p w:rsidR="0060098E" w:rsidRDefault="0060098E" w:rsidP="000B54FA">
      <w:pPr>
        <w:rPr>
          <w:sz w:val="24"/>
          <w:szCs w:val="24"/>
          <w:rtl/>
        </w:rPr>
      </w:pPr>
      <w:r>
        <w:rPr>
          <w:rFonts w:hint="cs"/>
          <w:sz w:val="24"/>
          <w:szCs w:val="24"/>
          <w:rtl/>
        </w:rPr>
        <w:t xml:space="preserve">לפלא לי הדבר כי </w:t>
      </w:r>
      <w:proofErr w:type="spellStart"/>
      <w:r>
        <w:rPr>
          <w:rFonts w:hint="cs"/>
          <w:sz w:val="24"/>
          <w:szCs w:val="24"/>
          <w:rtl/>
        </w:rPr>
        <w:t>הרמ"א</w:t>
      </w:r>
      <w:proofErr w:type="spellEnd"/>
      <w:r>
        <w:rPr>
          <w:rFonts w:hint="cs"/>
          <w:sz w:val="24"/>
          <w:szCs w:val="24"/>
          <w:rtl/>
        </w:rPr>
        <w:t xml:space="preserve"> לא חלק בסימן </w:t>
      </w:r>
      <w:proofErr w:type="spellStart"/>
      <w:r>
        <w:rPr>
          <w:rFonts w:hint="cs"/>
          <w:sz w:val="24"/>
          <w:szCs w:val="24"/>
          <w:rtl/>
        </w:rPr>
        <w:t>רנח</w:t>
      </w:r>
      <w:proofErr w:type="spellEnd"/>
      <w:r>
        <w:rPr>
          <w:rFonts w:hint="cs"/>
          <w:sz w:val="24"/>
          <w:szCs w:val="24"/>
          <w:rtl/>
        </w:rPr>
        <w:t xml:space="preserve"> סעיף ח , נאמן למה שכתב </w:t>
      </w:r>
      <w:proofErr w:type="spellStart"/>
      <w:r>
        <w:rPr>
          <w:rFonts w:hint="cs"/>
          <w:sz w:val="24"/>
          <w:szCs w:val="24"/>
          <w:rtl/>
        </w:rPr>
        <w:t>בשו"ת</w:t>
      </w:r>
      <w:proofErr w:type="spellEnd"/>
      <w:r>
        <w:rPr>
          <w:rFonts w:hint="cs"/>
          <w:sz w:val="24"/>
          <w:szCs w:val="24"/>
          <w:rtl/>
        </w:rPr>
        <w:t xml:space="preserve">. </w:t>
      </w:r>
    </w:p>
    <w:p w:rsidR="00A30923" w:rsidRDefault="00A30923" w:rsidP="000B54FA">
      <w:pPr>
        <w:rPr>
          <w:sz w:val="24"/>
          <w:szCs w:val="24"/>
          <w:rtl/>
        </w:rPr>
      </w:pPr>
      <w:r>
        <w:rPr>
          <w:rFonts w:hint="cs"/>
          <w:sz w:val="24"/>
          <w:szCs w:val="24"/>
          <w:rtl/>
        </w:rPr>
        <w:t xml:space="preserve">ונעבור עתה לשאלה </w:t>
      </w:r>
      <w:proofErr w:type="spellStart"/>
      <w:r>
        <w:rPr>
          <w:rFonts w:hint="cs"/>
          <w:sz w:val="24"/>
          <w:szCs w:val="24"/>
          <w:rtl/>
        </w:rPr>
        <w:t>השניה</w:t>
      </w:r>
      <w:proofErr w:type="spellEnd"/>
      <w:r>
        <w:rPr>
          <w:rFonts w:hint="cs"/>
          <w:sz w:val="24"/>
          <w:szCs w:val="24"/>
          <w:rtl/>
        </w:rPr>
        <w:t>. הגמרא במסכת ראש השנה אומרת כי אדם שנדר לצדקה אינו יכול לחזור בו  ("מוצא שפתיך תשמור ועשית...כאשר דברת בפיך", הגמרא אומרת "בפיך" זו צדקה). ומדוע צריך היה רב יוסף לנמק "</w:t>
      </w:r>
      <w:proofErr w:type="spellStart"/>
      <w:r>
        <w:rPr>
          <w:rFonts w:hint="cs"/>
          <w:sz w:val="24"/>
          <w:szCs w:val="24"/>
          <w:rtl/>
        </w:rPr>
        <w:t>אנן</w:t>
      </w:r>
      <w:proofErr w:type="spellEnd"/>
      <w:r>
        <w:rPr>
          <w:rFonts w:hint="cs"/>
          <w:sz w:val="24"/>
          <w:szCs w:val="24"/>
          <w:rtl/>
        </w:rPr>
        <w:t xml:space="preserve"> יד עניים </w:t>
      </w:r>
      <w:proofErr w:type="spellStart"/>
      <w:r>
        <w:rPr>
          <w:rFonts w:hint="cs"/>
          <w:sz w:val="24"/>
          <w:szCs w:val="24"/>
          <w:rtl/>
        </w:rPr>
        <w:t>אנן</w:t>
      </w:r>
      <w:proofErr w:type="spellEnd"/>
      <w:r>
        <w:rPr>
          <w:rFonts w:hint="cs"/>
          <w:sz w:val="24"/>
          <w:szCs w:val="24"/>
          <w:rtl/>
        </w:rPr>
        <w:t>" הרי ממילא אינו יכול לחזור בו?</w:t>
      </w:r>
    </w:p>
    <w:p w:rsidR="00A30923" w:rsidRDefault="006012AD" w:rsidP="000B54FA">
      <w:pPr>
        <w:rPr>
          <w:sz w:val="24"/>
          <w:szCs w:val="24"/>
          <w:rtl/>
        </w:rPr>
      </w:pPr>
      <w:r w:rsidRPr="006012AD">
        <w:rPr>
          <w:rFonts w:hint="cs"/>
          <w:b/>
          <w:bCs/>
          <w:sz w:val="24"/>
          <w:szCs w:val="24"/>
          <w:rtl/>
        </w:rPr>
        <w:t>תוספות</w:t>
      </w:r>
      <w:r>
        <w:rPr>
          <w:rFonts w:hint="cs"/>
          <w:sz w:val="24"/>
          <w:szCs w:val="24"/>
          <w:rtl/>
        </w:rPr>
        <w:t xml:space="preserve"> (ד"ה "יד") תירצו שני תירוצים:</w:t>
      </w:r>
    </w:p>
    <w:p w:rsidR="006012AD" w:rsidRDefault="006012AD" w:rsidP="000B54FA">
      <w:pPr>
        <w:rPr>
          <w:sz w:val="24"/>
          <w:szCs w:val="24"/>
          <w:rtl/>
        </w:rPr>
      </w:pPr>
      <w:r>
        <w:rPr>
          <w:rFonts w:hint="cs"/>
          <w:sz w:val="24"/>
          <w:szCs w:val="24"/>
          <w:rtl/>
        </w:rPr>
        <w:t xml:space="preserve">א. מדובר בצדקה שלא באה לעולם  (הרי הניזק לא קיבל עדיין את הכסף מן המזיק , הוא רק שמע שמגיע לו חצי זוז)  ואין אדם יכול להתחייב על צדקה שלא באה לעולם כמו שאין אפשרות להקדיש דבר שלא בא לעולם ("ואיש כי יקדיש את ביתו..."- מה ביתו ברשותו אף כל הקדש ברשותו). </w:t>
      </w:r>
    </w:p>
    <w:p w:rsidR="006012AD" w:rsidRDefault="006012AD" w:rsidP="003311C5">
      <w:pPr>
        <w:rPr>
          <w:sz w:val="24"/>
          <w:szCs w:val="24"/>
          <w:rtl/>
        </w:rPr>
      </w:pPr>
      <w:r>
        <w:rPr>
          <w:rFonts w:hint="cs"/>
          <w:sz w:val="24"/>
          <w:szCs w:val="24"/>
          <w:rtl/>
        </w:rPr>
        <w:t xml:space="preserve">ב. הסבר </w:t>
      </w:r>
      <w:r w:rsidRPr="006012AD">
        <w:rPr>
          <w:rFonts w:hint="cs"/>
          <w:b/>
          <w:bCs/>
          <w:sz w:val="24"/>
          <w:szCs w:val="24"/>
          <w:rtl/>
        </w:rPr>
        <w:t>רבינו חננאל</w:t>
      </w:r>
      <w:r>
        <w:rPr>
          <w:rFonts w:hint="cs"/>
          <w:sz w:val="24"/>
          <w:szCs w:val="24"/>
          <w:rtl/>
        </w:rPr>
        <w:t xml:space="preserve"> כי הוא לא התכוון לבטל את התחייבות שלו אלא רצה להשאיר את הכסף אצלו כהלוואה מקופת הצדקה ולפרוע בשלב מאוחר יותר . ואמר לו רב יוסף כי כיוון שהיה כאן מעמד שלושתן (משלם, ניזק והוא כיד העניים) זכו העניים </w:t>
      </w:r>
      <w:r w:rsidR="003311C5">
        <w:rPr>
          <w:rFonts w:hint="cs"/>
          <w:sz w:val="24"/>
          <w:szCs w:val="24"/>
          <w:rtl/>
        </w:rPr>
        <w:t xml:space="preserve"> שהרי כיוון שבאת פרוטה ליד גבאי הצדקה אסור לשנותה</w:t>
      </w:r>
    </w:p>
    <w:p w:rsidR="003311C5" w:rsidRDefault="003311C5" w:rsidP="003311C5">
      <w:pPr>
        <w:rPr>
          <w:sz w:val="24"/>
          <w:szCs w:val="24"/>
          <w:rtl/>
        </w:rPr>
      </w:pPr>
      <w:r>
        <w:rPr>
          <w:rFonts w:hint="cs"/>
          <w:sz w:val="24"/>
          <w:szCs w:val="24"/>
          <w:rtl/>
        </w:rPr>
        <w:t xml:space="preserve">על דברים הללו מציין </w:t>
      </w:r>
      <w:r w:rsidRPr="003311C5">
        <w:rPr>
          <w:rFonts w:hint="cs"/>
          <w:b/>
          <w:bCs/>
          <w:sz w:val="24"/>
          <w:szCs w:val="24"/>
          <w:rtl/>
        </w:rPr>
        <w:t xml:space="preserve">המאירי </w:t>
      </w:r>
      <w:r>
        <w:rPr>
          <w:rFonts w:hint="cs"/>
          <w:sz w:val="24"/>
          <w:szCs w:val="24"/>
          <w:rtl/>
        </w:rPr>
        <w:t xml:space="preserve"> כי ישנה דעה (הוא שולל אותה) כי כיוון שמעמד שלושתן הוא חידוש, אין ל</w:t>
      </w:r>
      <w:r w:rsidR="00A2262A">
        <w:rPr>
          <w:rFonts w:hint="cs"/>
          <w:sz w:val="24"/>
          <w:szCs w:val="24"/>
          <w:rtl/>
        </w:rPr>
        <w:t>ך</w:t>
      </w:r>
      <w:r>
        <w:rPr>
          <w:rFonts w:hint="cs"/>
          <w:sz w:val="24"/>
          <w:szCs w:val="24"/>
          <w:rtl/>
        </w:rPr>
        <w:t xml:space="preserve"> בו אלא חידושו כלומר שצריכים השלושה לעמוד יחד באותו מעמד ולא מועיל שהאדם השלישי במעמד שלושתן יזכה בשביל אדם רביעי כמו במקרה שלנו. </w:t>
      </w:r>
    </w:p>
    <w:p w:rsidR="00A2262A" w:rsidRDefault="003F3437" w:rsidP="003F3437">
      <w:pPr>
        <w:rPr>
          <w:sz w:val="24"/>
          <w:szCs w:val="24"/>
          <w:rtl/>
        </w:rPr>
      </w:pPr>
      <w:proofErr w:type="spellStart"/>
      <w:r>
        <w:rPr>
          <w:rFonts w:hint="cs"/>
          <w:sz w:val="24"/>
          <w:szCs w:val="24"/>
          <w:rtl/>
        </w:rPr>
        <w:t>הרא"ה</w:t>
      </w:r>
      <w:proofErr w:type="spellEnd"/>
      <w:r>
        <w:rPr>
          <w:rFonts w:hint="cs"/>
          <w:sz w:val="24"/>
          <w:szCs w:val="24"/>
          <w:rtl/>
        </w:rPr>
        <w:t xml:space="preserve"> מחדד הבנה לגבי מעמדו של רב יוסף.</w:t>
      </w:r>
      <w:r w:rsidR="00A2262A">
        <w:rPr>
          <w:rFonts w:hint="cs"/>
          <w:sz w:val="24"/>
          <w:szCs w:val="24"/>
          <w:rtl/>
        </w:rPr>
        <w:t xml:space="preserve"> רב יוסף אינו </w:t>
      </w:r>
      <w:r w:rsidR="00A2262A">
        <w:rPr>
          <w:rFonts w:hint="cs"/>
          <w:b/>
          <w:bCs/>
          <w:sz w:val="24"/>
          <w:szCs w:val="24"/>
          <w:rtl/>
        </w:rPr>
        <w:t>שליח</w:t>
      </w:r>
      <w:r w:rsidR="00A2262A">
        <w:rPr>
          <w:rFonts w:hint="cs"/>
          <w:sz w:val="24"/>
          <w:szCs w:val="24"/>
          <w:rtl/>
        </w:rPr>
        <w:t xml:space="preserve"> העניים</w:t>
      </w:r>
      <w:r>
        <w:rPr>
          <w:rFonts w:hint="cs"/>
          <w:sz w:val="24"/>
          <w:szCs w:val="24"/>
          <w:rtl/>
        </w:rPr>
        <w:t xml:space="preserve"> </w:t>
      </w:r>
      <w:r w:rsidR="00A2262A">
        <w:rPr>
          <w:rFonts w:hint="cs"/>
          <w:sz w:val="24"/>
          <w:szCs w:val="24"/>
          <w:rtl/>
        </w:rPr>
        <w:t xml:space="preserve"> אלא הוא נחשב </w:t>
      </w:r>
      <w:r w:rsidR="00A2262A" w:rsidRPr="00A2262A">
        <w:rPr>
          <w:rFonts w:hint="cs"/>
          <w:b/>
          <w:bCs/>
          <w:sz w:val="24"/>
          <w:szCs w:val="24"/>
          <w:rtl/>
        </w:rPr>
        <w:t>כעניים עצמם</w:t>
      </w:r>
      <w:r w:rsidR="00A2262A">
        <w:rPr>
          <w:rFonts w:hint="cs"/>
          <w:sz w:val="24"/>
          <w:szCs w:val="24"/>
          <w:rtl/>
        </w:rPr>
        <w:t xml:space="preserve"> ו</w:t>
      </w:r>
      <w:r>
        <w:rPr>
          <w:rFonts w:hint="cs"/>
          <w:sz w:val="24"/>
          <w:szCs w:val="24"/>
          <w:rtl/>
        </w:rPr>
        <w:t xml:space="preserve">מטעם זה </w:t>
      </w:r>
      <w:r w:rsidR="00A2262A">
        <w:rPr>
          <w:rFonts w:hint="cs"/>
          <w:sz w:val="24"/>
          <w:szCs w:val="24"/>
          <w:rtl/>
        </w:rPr>
        <w:t>זכה בכסף ואין אפשרות לחזור.</w:t>
      </w:r>
      <w:r>
        <w:rPr>
          <w:rFonts w:hint="cs"/>
          <w:sz w:val="24"/>
          <w:szCs w:val="24"/>
          <w:rtl/>
        </w:rPr>
        <w:t xml:space="preserve"> </w:t>
      </w:r>
    </w:p>
    <w:p w:rsidR="00A2262A" w:rsidRDefault="00A2262A" w:rsidP="003F3437">
      <w:pPr>
        <w:rPr>
          <w:sz w:val="24"/>
          <w:szCs w:val="24"/>
          <w:rtl/>
        </w:rPr>
      </w:pPr>
      <w:r w:rsidRPr="003F3437">
        <w:rPr>
          <w:rFonts w:hint="cs"/>
          <w:b/>
          <w:bCs/>
          <w:sz w:val="24"/>
          <w:szCs w:val="24"/>
          <w:rtl/>
        </w:rPr>
        <w:t xml:space="preserve">הרב שטיינמן </w:t>
      </w:r>
      <w:r>
        <w:rPr>
          <w:rFonts w:hint="cs"/>
          <w:sz w:val="24"/>
          <w:szCs w:val="24"/>
          <w:rtl/>
        </w:rPr>
        <w:t>בספרו "איילת השחר" מ</w:t>
      </w:r>
      <w:r w:rsidR="003F3437">
        <w:rPr>
          <w:rFonts w:hint="cs"/>
          <w:sz w:val="24"/>
          <w:szCs w:val="24"/>
          <w:rtl/>
        </w:rPr>
        <w:t xml:space="preserve">ביא </w:t>
      </w:r>
      <w:r>
        <w:rPr>
          <w:rFonts w:hint="cs"/>
          <w:sz w:val="24"/>
          <w:szCs w:val="24"/>
          <w:rtl/>
        </w:rPr>
        <w:t xml:space="preserve"> נפקא מינה  בין גבאי הצדקה הוא  שליח העניים לבין אם הוא העניים עצמם. אם נאמר שגבאי הצדקה הוא שליח העניים הרי שהוא צריך לחלק את הכסף לכל העניים ואין לו שיקול דעת למי לחלק</w:t>
      </w:r>
      <w:r w:rsidR="003F3437">
        <w:rPr>
          <w:rFonts w:hint="cs"/>
          <w:sz w:val="24"/>
          <w:szCs w:val="24"/>
          <w:rtl/>
        </w:rPr>
        <w:t xml:space="preserve"> שהרי הוא שליח של כל עניי העיר </w:t>
      </w:r>
      <w:r>
        <w:rPr>
          <w:rFonts w:hint="cs"/>
          <w:sz w:val="24"/>
          <w:szCs w:val="24"/>
          <w:rtl/>
        </w:rPr>
        <w:t xml:space="preserve"> , אך אם נאמר בשל היותו גבאי צדקה הוא כאחד העניים הרי שהוא זוכה בכסף לעצמו ויכול לחלק את הכסף </w:t>
      </w:r>
      <w:r w:rsidR="003F3437">
        <w:rPr>
          <w:rFonts w:hint="cs"/>
          <w:sz w:val="24"/>
          <w:szCs w:val="24"/>
          <w:rtl/>
        </w:rPr>
        <w:t xml:space="preserve">כפי שיקול דעתו. </w:t>
      </w:r>
      <w:r>
        <w:rPr>
          <w:rFonts w:hint="cs"/>
          <w:sz w:val="24"/>
          <w:szCs w:val="24"/>
          <w:rtl/>
        </w:rPr>
        <w:t xml:space="preserve"> </w:t>
      </w:r>
    </w:p>
    <w:p w:rsidR="0060098E" w:rsidRDefault="00EF1F51" w:rsidP="000B54FA">
      <w:pPr>
        <w:rPr>
          <w:sz w:val="24"/>
          <w:szCs w:val="24"/>
          <w:rtl/>
        </w:rPr>
      </w:pPr>
      <w:r>
        <w:rPr>
          <w:rFonts w:hint="cs"/>
          <w:sz w:val="24"/>
          <w:szCs w:val="24"/>
          <w:rtl/>
        </w:rPr>
        <w:t xml:space="preserve">לסיום נציין נקודה נוספת אותה מזכיר </w:t>
      </w:r>
      <w:proofErr w:type="spellStart"/>
      <w:r>
        <w:rPr>
          <w:rFonts w:hint="cs"/>
          <w:sz w:val="24"/>
          <w:szCs w:val="24"/>
          <w:rtl/>
        </w:rPr>
        <w:t>השו"ע</w:t>
      </w:r>
      <w:proofErr w:type="spellEnd"/>
      <w:r>
        <w:rPr>
          <w:rFonts w:hint="cs"/>
          <w:sz w:val="24"/>
          <w:szCs w:val="24"/>
          <w:rtl/>
        </w:rPr>
        <w:t xml:space="preserve"> (</w:t>
      </w:r>
      <w:proofErr w:type="spellStart"/>
      <w:r>
        <w:rPr>
          <w:rFonts w:hint="cs"/>
          <w:sz w:val="24"/>
          <w:szCs w:val="24"/>
          <w:rtl/>
        </w:rPr>
        <w:t>רנח</w:t>
      </w:r>
      <w:proofErr w:type="spellEnd"/>
      <w:r>
        <w:rPr>
          <w:rFonts w:hint="cs"/>
          <w:sz w:val="24"/>
          <w:szCs w:val="24"/>
          <w:rtl/>
        </w:rPr>
        <w:t>, י):</w:t>
      </w:r>
    </w:p>
    <w:p w:rsidR="00EF1F51" w:rsidRDefault="00EF1F51" w:rsidP="00EF1F51">
      <w:pPr>
        <w:rPr>
          <w:sz w:val="24"/>
          <w:szCs w:val="24"/>
          <w:rtl/>
        </w:rPr>
      </w:pPr>
      <w:r w:rsidRPr="00EF1F51">
        <w:rPr>
          <w:rFonts w:cs="Arial"/>
          <w:sz w:val="24"/>
          <w:szCs w:val="24"/>
          <w:rtl/>
        </w:rPr>
        <w:t xml:space="preserve">נדר לצדקה באסמכתא, כגון: אם אעשה דבר פלוני אתן כך וכך לצדקה, </w:t>
      </w:r>
      <w:proofErr w:type="spellStart"/>
      <w:r w:rsidRPr="00EF1F51">
        <w:rPr>
          <w:rFonts w:cs="Arial"/>
          <w:sz w:val="24"/>
          <w:szCs w:val="24"/>
          <w:rtl/>
        </w:rPr>
        <w:t>ועשאו</w:t>
      </w:r>
      <w:proofErr w:type="spellEnd"/>
      <w:r w:rsidRPr="00EF1F51">
        <w:rPr>
          <w:rFonts w:cs="Arial"/>
          <w:sz w:val="24"/>
          <w:szCs w:val="24"/>
          <w:rtl/>
        </w:rPr>
        <w:t xml:space="preserve">, חייב </w:t>
      </w:r>
      <w:proofErr w:type="spellStart"/>
      <w:r w:rsidRPr="00EF1F51">
        <w:rPr>
          <w:rFonts w:cs="Arial"/>
          <w:sz w:val="24"/>
          <w:szCs w:val="24"/>
          <w:rtl/>
        </w:rPr>
        <w:t>ליתן</w:t>
      </w:r>
      <w:proofErr w:type="spellEnd"/>
      <w:r w:rsidRPr="00EF1F51">
        <w:rPr>
          <w:rFonts w:cs="Arial"/>
          <w:sz w:val="24"/>
          <w:szCs w:val="24"/>
          <w:rtl/>
        </w:rPr>
        <w:t>.</w:t>
      </w:r>
    </w:p>
    <w:p w:rsidR="005059E8" w:rsidRPr="00EF1F51" w:rsidRDefault="005059E8" w:rsidP="00EF1F51">
      <w:pPr>
        <w:rPr>
          <w:sz w:val="24"/>
          <w:szCs w:val="24"/>
          <w:rtl/>
        </w:rPr>
      </w:pPr>
    </w:p>
    <w:p w:rsidR="000B54FA" w:rsidRPr="00531C27" w:rsidRDefault="000B54FA" w:rsidP="000B54FA">
      <w:pPr>
        <w:rPr>
          <w:sz w:val="24"/>
          <w:szCs w:val="24"/>
        </w:rPr>
      </w:pPr>
    </w:p>
    <w:sectPr w:rsidR="000B54FA" w:rsidRPr="00531C27"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0A" w:rsidRDefault="00A2710A" w:rsidP="00531C27">
      <w:pPr>
        <w:spacing w:after="0" w:line="240" w:lineRule="auto"/>
      </w:pPr>
      <w:r>
        <w:separator/>
      </w:r>
    </w:p>
  </w:endnote>
  <w:endnote w:type="continuationSeparator" w:id="0">
    <w:p w:rsidR="00A2710A" w:rsidRDefault="00A2710A" w:rsidP="0053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0A" w:rsidRDefault="00A2710A" w:rsidP="00531C27">
      <w:pPr>
        <w:spacing w:after="0" w:line="240" w:lineRule="auto"/>
      </w:pPr>
      <w:r>
        <w:separator/>
      </w:r>
    </w:p>
  </w:footnote>
  <w:footnote w:type="continuationSeparator" w:id="0">
    <w:p w:rsidR="00A2710A" w:rsidRDefault="00A2710A" w:rsidP="00531C27">
      <w:pPr>
        <w:spacing w:after="0" w:line="240" w:lineRule="auto"/>
      </w:pPr>
      <w:r>
        <w:continuationSeparator/>
      </w:r>
    </w:p>
  </w:footnote>
  <w:footnote w:id="1">
    <w:p w:rsidR="00531C27" w:rsidRDefault="00531C27">
      <w:pPr>
        <w:pStyle w:val="a3"/>
        <w:rPr>
          <w:rtl/>
        </w:rPr>
      </w:pPr>
      <w:r>
        <w:rPr>
          <w:rStyle w:val="a5"/>
        </w:rPr>
        <w:footnoteRef/>
      </w:r>
      <w:r>
        <w:rPr>
          <w:rtl/>
        </w:rPr>
        <w:t xml:space="preserve"> </w:t>
      </w:r>
      <w:r>
        <w:rPr>
          <w:rFonts w:hint="cs"/>
          <w:rtl/>
        </w:rPr>
        <w:t xml:space="preserve">המזיק , הניזק  </w:t>
      </w:r>
      <w:proofErr w:type="spellStart"/>
      <w:r>
        <w:rPr>
          <w:rFonts w:hint="cs"/>
          <w:rtl/>
        </w:rPr>
        <w:t>שויתר</w:t>
      </w:r>
      <w:proofErr w:type="spellEnd"/>
      <w:r>
        <w:rPr>
          <w:rFonts w:hint="cs"/>
          <w:rtl/>
        </w:rPr>
        <w:t xml:space="preserve"> בתחילה על התשלום לטובת העניים ורב יוסף כמייצג את העניים</w:t>
      </w:r>
    </w:p>
  </w:footnote>
  <w:footnote w:id="2">
    <w:p w:rsidR="00D83779" w:rsidRDefault="00D83779">
      <w:pPr>
        <w:pStyle w:val="a3"/>
        <w:rPr>
          <w:rtl/>
        </w:rPr>
      </w:pPr>
      <w:r>
        <w:rPr>
          <w:rStyle w:val="a5"/>
        </w:rPr>
        <w:footnoteRef/>
      </w:r>
      <w:r>
        <w:rPr>
          <w:rtl/>
        </w:rPr>
        <w:t xml:space="preserve"> </w:t>
      </w:r>
      <w:r>
        <w:rPr>
          <w:rFonts w:hint="cs"/>
          <w:rtl/>
        </w:rPr>
        <w:t xml:space="preserve">דבר משה- לולי </w:t>
      </w:r>
      <w:proofErr w:type="spellStart"/>
      <w:r>
        <w:rPr>
          <w:rFonts w:hint="cs"/>
          <w:rtl/>
        </w:rPr>
        <w:t>שמסתפינא</w:t>
      </w:r>
      <w:proofErr w:type="spellEnd"/>
      <w:r>
        <w:rPr>
          <w:rFonts w:hint="cs"/>
          <w:rtl/>
        </w:rPr>
        <w:t xml:space="preserve"> הייתי אומר כי לכן אמר רב יוסף את המילה "</w:t>
      </w:r>
      <w:proofErr w:type="spellStart"/>
      <w:r>
        <w:rPr>
          <w:rFonts w:hint="cs"/>
          <w:rtl/>
        </w:rPr>
        <w:t>אנן</w:t>
      </w:r>
      <w:proofErr w:type="spellEnd"/>
      <w:r>
        <w:rPr>
          <w:rFonts w:hint="cs"/>
          <w:rtl/>
        </w:rPr>
        <w:t xml:space="preserve">" פעמיים, כדי להדגיש כשיטת רש"י שרק אם התחייב לתת צדקה בפני גבאי צדקה אינו יכול לחזור בו ולא בפני אדם חשוב אחר.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1D"/>
    <w:rsid w:val="00002BDE"/>
    <w:rsid w:val="000B54FA"/>
    <w:rsid w:val="003311C5"/>
    <w:rsid w:val="003F3437"/>
    <w:rsid w:val="004023F5"/>
    <w:rsid w:val="004F061B"/>
    <w:rsid w:val="005059E8"/>
    <w:rsid w:val="00531C27"/>
    <w:rsid w:val="00534AE6"/>
    <w:rsid w:val="0060098E"/>
    <w:rsid w:val="006012AD"/>
    <w:rsid w:val="0077491F"/>
    <w:rsid w:val="008027CA"/>
    <w:rsid w:val="008418C6"/>
    <w:rsid w:val="0084540B"/>
    <w:rsid w:val="00905C59"/>
    <w:rsid w:val="00A2262A"/>
    <w:rsid w:val="00A2710A"/>
    <w:rsid w:val="00A30923"/>
    <w:rsid w:val="00B71384"/>
    <w:rsid w:val="00BB545D"/>
    <w:rsid w:val="00D83779"/>
    <w:rsid w:val="00EF1F51"/>
    <w:rsid w:val="00F73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CC26"/>
  <w15:chartTrackingRefBased/>
  <w15:docId w15:val="{260D2A2B-F6F8-48E8-A278-4E640E39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1C27"/>
    <w:pPr>
      <w:spacing w:after="0" w:line="240" w:lineRule="auto"/>
    </w:pPr>
    <w:rPr>
      <w:sz w:val="20"/>
      <w:szCs w:val="20"/>
    </w:rPr>
  </w:style>
  <w:style w:type="character" w:customStyle="1" w:styleId="a4">
    <w:name w:val="טקסט הערת שוליים תו"/>
    <w:basedOn w:val="a0"/>
    <w:link w:val="a3"/>
    <w:uiPriority w:val="99"/>
    <w:semiHidden/>
    <w:rsid w:val="00531C27"/>
    <w:rPr>
      <w:sz w:val="20"/>
      <w:szCs w:val="20"/>
    </w:rPr>
  </w:style>
  <w:style w:type="character" w:styleId="a5">
    <w:name w:val="footnote reference"/>
    <w:basedOn w:val="a0"/>
    <w:uiPriority w:val="99"/>
    <w:semiHidden/>
    <w:unhideWhenUsed/>
    <w:rsid w:val="00531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AE9C-BC55-4CF8-B39A-2F2388F7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731</Words>
  <Characters>3655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2023-08-06T06:51:00Z</dcterms:created>
  <dcterms:modified xsi:type="dcterms:W3CDTF">2023-10-15T18:45:00Z</dcterms:modified>
</cp:coreProperties>
</file>