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CBF6" w14:textId="77777777" w:rsidR="000477C6" w:rsidRDefault="000477C6" w:rsidP="004066FB">
      <w:pPr>
        <w:spacing w:line="360" w:lineRule="auto"/>
        <w:rPr>
          <w:rFonts w:ascii="David" w:hAnsi="David" w:cs="David"/>
          <w:sz w:val="24"/>
          <w:szCs w:val="24"/>
          <w:rtl/>
        </w:rPr>
      </w:pPr>
    </w:p>
    <w:p w14:paraId="56BECE81" w14:textId="77777777" w:rsidR="00783586" w:rsidRPr="0096346A" w:rsidRDefault="00783586" w:rsidP="00783586">
      <w:pPr>
        <w:spacing w:after="0" w:line="360" w:lineRule="auto"/>
        <w:jc w:val="center"/>
        <w:rPr>
          <w:rFonts w:asciiTheme="majorBidi" w:hAnsiTheme="majorBidi" w:cstheme="majorBidi"/>
          <w:b/>
          <w:bCs/>
          <w:sz w:val="28"/>
          <w:szCs w:val="28"/>
          <w:u w:val="single"/>
          <w:rtl/>
        </w:rPr>
      </w:pPr>
      <w:r w:rsidRPr="0096346A">
        <w:rPr>
          <w:rFonts w:asciiTheme="majorBidi" w:hAnsiTheme="majorBidi" w:cstheme="majorBidi" w:hint="cs"/>
          <w:b/>
          <w:bCs/>
          <w:sz w:val="28"/>
          <w:szCs w:val="28"/>
          <w:u w:val="single"/>
          <w:rtl/>
        </w:rPr>
        <w:t>פעול</w:t>
      </w:r>
      <w:r>
        <w:rPr>
          <w:rFonts w:asciiTheme="majorBidi" w:hAnsiTheme="majorBidi" w:cstheme="majorBidi" w:hint="cs"/>
          <w:b/>
          <w:bCs/>
          <w:sz w:val="28"/>
          <w:szCs w:val="28"/>
          <w:u w:val="single"/>
          <w:rtl/>
        </w:rPr>
        <w:t>ו</w:t>
      </w:r>
      <w:r w:rsidRPr="0096346A">
        <w:rPr>
          <w:rFonts w:asciiTheme="majorBidi" w:hAnsiTheme="majorBidi" w:cstheme="majorBidi" w:hint="cs"/>
          <w:b/>
          <w:bCs/>
          <w:sz w:val="28"/>
          <w:szCs w:val="28"/>
          <w:u w:val="single"/>
          <w:rtl/>
        </w:rPr>
        <w:t>ת זר במנחות</w:t>
      </w:r>
    </w:p>
    <w:p w14:paraId="4266C14D" w14:textId="60747BAE" w:rsidR="00783586" w:rsidRDefault="00783586" w:rsidP="004066FB">
      <w:pPr>
        <w:spacing w:line="360" w:lineRule="auto"/>
        <w:rPr>
          <w:rFonts w:ascii="David" w:hAnsi="David" w:cs="David"/>
          <w:sz w:val="24"/>
          <w:szCs w:val="24"/>
          <w:rtl/>
        </w:rPr>
      </w:pPr>
    </w:p>
    <w:p w14:paraId="43A5590F" w14:textId="52F08507" w:rsidR="000477C6" w:rsidRPr="000477C6" w:rsidRDefault="000477C6" w:rsidP="004066FB">
      <w:pPr>
        <w:spacing w:line="360" w:lineRule="auto"/>
        <w:rPr>
          <w:rFonts w:ascii="David" w:hAnsi="David" w:cs="David"/>
          <w:sz w:val="24"/>
          <w:szCs w:val="24"/>
          <w:rtl/>
        </w:rPr>
      </w:pPr>
      <w:r w:rsidRPr="000477C6">
        <w:rPr>
          <w:rFonts w:ascii="David" w:hAnsi="David" w:cs="David"/>
          <w:sz w:val="24"/>
          <w:szCs w:val="24"/>
          <w:rtl/>
        </w:rPr>
        <w:t xml:space="preserve">מנחות </w:t>
      </w:r>
      <w:proofErr w:type="spellStart"/>
      <w:r w:rsidRPr="000477C6">
        <w:rPr>
          <w:rFonts w:ascii="David" w:hAnsi="David" w:cs="David"/>
          <w:sz w:val="24"/>
          <w:szCs w:val="24"/>
          <w:rtl/>
        </w:rPr>
        <w:t>יג</w:t>
      </w:r>
      <w:proofErr w:type="spellEnd"/>
      <w:r w:rsidR="00783586">
        <w:rPr>
          <w:rFonts w:ascii="David" w:hAnsi="David" w:cs="David" w:hint="cs"/>
          <w:sz w:val="24"/>
          <w:szCs w:val="24"/>
          <w:rtl/>
        </w:rPr>
        <w:t>,</w:t>
      </w:r>
      <w:r w:rsidRPr="000477C6">
        <w:rPr>
          <w:rFonts w:ascii="David" w:hAnsi="David" w:cs="David"/>
          <w:sz w:val="24"/>
          <w:szCs w:val="24"/>
          <w:rtl/>
        </w:rPr>
        <w:t xml:space="preserve"> ב</w:t>
      </w:r>
    </w:p>
    <w:p w14:paraId="3956733C" w14:textId="0AF96A03" w:rsidR="000477C6" w:rsidRDefault="000477C6" w:rsidP="004066FB">
      <w:pPr>
        <w:spacing w:line="360" w:lineRule="auto"/>
        <w:rPr>
          <w:rFonts w:ascii="David" w:hAnsi="David" w:cs="David"/>
          <w:sz w:val="24"/>
          <w:szCs w:val="24"/>
          <w:rtl/>
        </w:rPr>
      </w:pPr>
      <w:proofErr w:type="spellStart"/>
      <w:r w:rsidRPr="000477C6">
        <w:rPr>
          <w:rFonts w:ascii="David" w:hAnsi="David" w:cs="David"/>
          <w:sz w:val="24"/>
          <w:szCs w:val="24"/>
          <w:rtl/>
        </w:rPr>
        <w:t>א"ר</w:t>
      </w:r>
      <w:proofErr w:type="spellEnd"/>
      <w:r w:rsidRPr="000477C6">
        <w:rPr>
          <w:rFonts w:ascii="David" w:hAnsi="David" w:cs="David"/>
          <w:sz w:val="24"/>
          <w:szCs w:val="24"/>
          <w:rtl/>
        </w:rPr>
        <w:t xml:space="preserve"> ינאי: ליקוט לבונה בזר - פסול. מ"ט? </w:t>
      </w:r>
      <w:proofErr w:type="spellStart"/>
      <w:r w:rsidRPr="000477C6">
        <w:rPr>
          <w:rFonts w:ascii="David" w:hAnsi="David" w:cs="David"/>
          <w:sz w:val="24"/>
          <w:szCs w:val="24"/>
          <w:rtl/>
        </w:rPr>
        <w:t>א"ר</w:t>
      </w:r>
      <w:proofErr w:type="spellEnd"/>
      <w:r w:rsidRPr="000477C6">
        <w:rPr>
          <w:rFonts w:ascii="David" w:hAnsi="David" w:cs="David"/>
          <w:sz w:val="24"/>
          <w:szCs w:val="24"/>
          <w:rtl/>
        </w:rPr>
        <w:t xml:space="preserve"> ירמיה: משום הולכה נגעו בה, </w:t>
      </w:r>
      <w:proofErr w:type="spellStart"/>
      <w:r w:rsidRPr="000477C6">
        <w:rPr>
          <w:rFonts w:ascii="David" w:hAnsi="David" w:cs="David"/>
          <w:sz w:val="24"/>
          <w:szCs w:val="24"/>
          <w:rtl/>
        </w:rPr>
        <w:t>קסבר</w:t>
      </w:r>
      <w:proofErr w:type="spellEnd"/>
      <w:r w:rsidRPr="000477C6">
        <w:rPr>
          <w:rFonts w:ascii="David" w:hAnsi="David" w:cs="David"/>
          <w:sz w:val="24"/>
          <w:szCs w:val="24"/>
          <w:rtl/>
        </w:rPr>
        <w:t xml:space="preserve">: הולכה שלא ברגל שמה הולכה, והולכה בזר - פסולה. אמר רב מרי: אף אנן נמי </w:t>
      </w:r>
      <w:proofErr w:type="spellStart"/>
      <w:r w:rsidRPr="000477C6">
        <w:rPr>
          <w:rFonts w:ascii="David" w:hAnsi="David" w:cs="David"/>
          <w:sz w:val="24"/>
          <w:szCs w:val="24"/>
          <w:rtl/>
        </w:rPr>
        <w:t>תנינא</w:t>
      </w:r>
      <w:proofErr w:type="spellEnd"/>
      <w:r w:rsidRPr="000477C6">
        <w:rPr>
          <w:rFonts w:ascii="David" w:hAnsi="David" w:cs="David"/>
          <w:sz w:val="24"/>
          <w:szCs w:val="24"/>
          <w:rtl/>
        </w:rPr>
        <w:t xml:space="preserve">, זה הכלל: כל הקומץ ונותן בכלי והמוליך והמקטיר; </w:t>
      </w:r>
      <w:proofErr w:type="spellStart"/>
      <w:r w:rsidRPr="000477C6">
        <w:rPr>
          <w:rFonts w:ascii="David" w:hAnsi="David" w:cs="David"/>
          <w:sz w:val="24"/>
          <w:szCs w:val="24"/>
          <w:rtl/>
        </w:rPr>
        <w:t>בשלמא</w:t>
      </w:r>
      <w:proofErr w:type="spellEnd"/>
      <w:r w:rsidRPr="000477C6">
        <w:rPr>
          <w:rFonts w:ascii="David" w:hAnsi="David" w:cs="David"/>
          <w:sz w:val="24"/>
          <w:szCs w:val="24"/>
          <w:rtl/>
        </w:rPr>
        <w:t xml:space="preserve"> קומץ היינו שוחט, מוליך נמי היינו מוליך, מקטיר היינו זורק, אלא נותן בכלי מאי </w:t>
      </w:r>
      <w:proofErr w:type="spellStart"/>
      <w:r w:rsidRPr="000477C6">
        <w:rPr>
          <w:rFonts w:ascii="David" w:hAnsi="David" w:cs="David"/>
          <w:sz w:val="24"/>
          <w:szCs w:val="24"/>
          <w:rtl/>
        </w:rPr>
        <w:t>קא</w:t>
      </w:r>
      <w:proofErr w:type="spellEnd"/>
      <w:r w:rsidRPr="000477C6">
        <w:rPr>
          <w:rFonts w:ascii="David" w:hAnsi="David" w:cs="David"/>
          <w:sz w:val="24"/>
          <w:szCs w:val="24"/>
          <w:rtl/>
        </w:rPr>
        <w:t xml:space="preserve"> עביד? </w:t>
      </w:r>
      <w:proofErr w:type="spellStart"/>
      <w:r w:rsidRPr="000477C6">
        <w:rPr>
          <w:rFonts w:ascii="David" w:hAnsi="David" w:cs="David"/>
          <w:sz w:val="24"/>
          <w:szCs w:val="24"/>
          <w:rtl/>
        </w:rPr>
        <w:t>אילימא</w:t>
      </w:r>
      <w:proofErr w:type="spellEnd"/>
      <w:r w:rsidRPr="000477C6">
        <w:rPr>
          <w:rFonts w:ascii="David" w:hAnsi="David" w:cs="David"/>
          <w:sz w:val="24"/>
          <w:szCs w:val="24"/>
          <w:rtl/>
        </w:rPr>
        <w:t xml:space="preserve"> משום </w:t>
      </w:r>
      <w:proofErr w:type="spellStart"/>
      <w:r w:rsidRPr="000477C6">
        <w:rPr>
          <w:rFonts w:ascii="David" w:hAnsi="David" w:cs="David"/>
          <w:sz w:val="24"/>
          <w:szCs w:val="24"/>
          <w:rtl/>
        </w:rPr>
        <w:t>דדמי</w:t>
      </w:r>
      <w:proofErr w:type="spellEnd"/>
      <w:r w:rsidRPr="000477C6">
        <w:rPr>
          <w:rFonts w:ascii="David" w:hAnsi="David" w:cs="David"/>
          <w:sz w:val="24"/>
          <w:szCs w:val="24"/>
          <w:rtl/>
        </w:rPr>
        <w:t xml:space="preserve"> לקבלה, מי דמי? התם ממילא, הכא </w:t>
      </w:r>
      <w:proofErr w:type="spellStart"/>
      <w:r w:rsidRPr="000477C6">
        <w:rPr>
          <w:rFonts w:ascii="David" w:hAnsi="David" w:cs="David"/>
          <w:sz w:val="24"/>
          <w:szCs w:val="24"/>
          <w:rtl/>
        </w:rPr>
        <w:t>קא</w:t>
      </w:r>
      <w:proofErr w:type="spellEnd"/>
      <w:r w:rsidRPr="000477C6">
        <w:rPr>
          <w:rFonts w:ascii="David" w:hAnsi="David" w:cs="David"/>
          <w:sz w:val="24"/>
          <w:szCs w:val="24"/>
          <w:rtl/>
        </w:rPr>
        <w:t xml:space="preserve"> שקיל ורמי! אלא משום </w:t>
      </w:r>
      <w:proofErr w:type="spellStart"/>
      <w:r w:rsidRPr="000477C6">
        <w:rPr>
          <w:rFonts w:ascii="David" w:hAnsi="David" w:cs="David"/>
          <w:sz w:val="24"/>
          <w:szCs w:val="24"/>
          <w:rtl/>
        </w:rPr>
        <w:t>דכיון</w:t>
      </w:r>
      <w:proofErr w:type="spellEnd"/>
      <w:r w:rsidRPr="000477C6">
        <w:rPr>
          <w:rFonts w:ascii="David" w:hAnsi="David" w:cs="David"/>
          <w:sz w:val="24"/>
          <w:szCs w:val="24"/>
          <w:rtl/>
        </w:rPr>
        <w:t xml:space="preserve"> דלא </w:t>
      </w:r>
      <w:proofErr w:type="spellStart"/>
      <w:r w:rsidRPr="000477C6">
        <w:rPr>
          <w:rFonts w:ascii="David" w:hAnsi="David" w:cs="David"/>
          <w:sz w:val="24"/>
          <w:szCs w:val="24"/>
          <w:rtl/>
        </w:rPr>
        <w:t>סגיא</w:t>
      </w:r>
      <w:proofErr w:type="spellEnd"/>
      <w:r w:rsidRPr="000477C6">
        <w:rPr>
          <w:rFonts w:ascii="David" w:hAnsi="David" w:cs="David"/>
          <w:sz w:val="24"/>
          <w:szCs w:val="24"/>
          <w:rtl/>
        </w:rPr>
        <w:t xml:space="preserve"> ליה דלא עבד לה עבודה חשובה היא, על כרחיך משוי לה כקבלה, </w:t>
      </w:r>
      <w:proofErr w:type="spellStart"/>
      <w:r w:rsidRPr="000477C6">
        <w:rPr>
          <w:rFonts w:ascii="David" w:hAnsi="David" w:cs="David"/>
          <w:sz w:val="24"/>
          <w:szCs w:val="24"/>
          <w:rtl/>
        </w:rPr>
        <w:t>ה"נ</w:t>
      </w:r>
      <w:proofErr w:type="spellEnd"/>
      <w:r w:rsidRPr="000477C6">
        <w:rPr>
          <w:rFonts w:ascii="David" w:hAnsi="David" w:cs="David"/>
          <w:sz w:val="24"/>
          <w:szCs w:val="24"/>
          <w:rtl/>
        </w:rPr>
        <w:t xml:space="preserve"> כיון דלא </w:t>
      </w:r>
      <w:proofErr w:type="spellStart"/>
      <w:r w:rsidRPr="000477C6">
        <w:rPr>
          <w:rFonts w:ascii="David" w:hAnsi="David" w:cs="David"/>
          <w:sz w:val="24"/>
          <w:szCs w:val="24"/>
          <w:rtl/>
        </w:rPr>
        <w:t>סגיא</w:t>
      </w:r>
      <w:proofErr w:type="spellEnd"/>
      <w:r w:rsidRPr="000477C6">
        <w:rPr>
          <w:rFonts w:ascii="David" w:hAnsi="David" w:cs="David"/>
          <w:sz w:val="24"/>
          <w:szCs w:val="24"/>
          <w:rtl/>
        </w:rPr>
        <w:t xml:space="preserve"> לה דלא עבד לה עבודה חשובה היא, על כרחיך משוי לה כי הולכה! לא, לעולם </w:t>
      </w:r>
      <w:proofErr w:type="spellStart"/>
      <w:r w:rsidRPr="000477C6">
        <w:rPr>
          <w:rFonts w:ascii="David" w:hAnsi="David" w:cs="David"/>
          <w:sz w:val="24"/>
          <w:szCs w:val="24"/>
          <w:rtl/>
        </w:rPr>
        <w:t>דדמי</w:t>
      </w:r>
      <w:proofErr w:type="spellEnd"/>
      <w:r w:rsidRPr="000477C6">
        <w:rPr>
          <w:rFonts w:ascii="David" w:hAnsi="David" w:cs="David"/>
          <w:sz w:val="24"/>
          <w:szCs w:val="24"/>
          <w:rtl/>
        </w:rPr>
        <w:t xml:space="preserve"> לקבלה, </w:t>
      </w:r>
      <w:proofErr w:type="spellStart"/>
      <w:r w:rsidRPr="000477C6">
        <w:rPr>
          <w:rFonts w:ascii="David" w:hAnsi="David" w:cs="David"/>
          <w:sz w:val="24"/>
          <w:szCs w:val="24"/>
          <w:rtl/>
        </w:rPr>
        <w:t>ודקא</w:t>
      </w:r>
      <w:proofErr w:type="spellEnd"/>
      <w:r w:rsidRPr="000477C6">
        <w:rPr>
          <w:rFonts w:ascii="David" w:hAnsi="David" w:cs="David"/>
          <w:sz w:val="24"/>
          <w:szCs w:val="24"/>
          <w:rtl/>
        </w:rPr>
        <w:t xml:space="preserve"> </w:t>
      </w:r>
      <w:proofErr w:type="spellStart"/>
      <w:r w:rsidRPr="000477C6">
        <w:rPr>
          <w:rFonts w:ascii="David" w:hAnsi="David" w:cs="David"/>
          <w:sz w:val="24"/>
          <w:szCs w:val="24"/>
          <w:rtl/>
        </w:rPr>
        <w:t>קשיא</w:t>
      </w:r>
      <w:proofErr w:type="spellEnd"/>
      <w:r w:rsidRPr="000477C6">
        <w:rPr>
          <w:rFonts w:ascii="David" w:hAnsi="David" w:cs="David"/>
          <w:sz w:val="24"/>
          <w:szCs w:val="24"/>
          <w:rtl/>
        </w:rPr>
        <w:t xml:space="preserve"> לך: התם ממילא, הכא </w:t>
      </w:r>
      <w:proofErr w:type="spellStart"/>
      <w:r w:rsidRPr="000477C6">
        <w:rPr>
          <w:rFonts w:ascii="David" w:hAnsi="David" w:cs="David"/>
          <w:sz w:val="24"/>
          <w:szCs w:val="24"/>
          <w:rtl/>
        </w:rPr>
        <w:t>קא</w:t>
      </w:r>
      <w:proofErr w:type="spellEnd"/>
      <w:r w:rsidRPr="000477C6">
        <w:rPr>
          <w:rFonts w:ascii="David" w:hAnsi="David" w:cs="David"/>
          <w:sz w:val="24"/>
          <w:szCs w:val="24"/>
          <w:rtl/>
        </w:rPr>
        <w:t xml:space="preserve"> שקיל ורמי! מכדי </w:t>
      </w:r>
      <w:proofErr w:type="spellStart"/>
      <w:r w:rsidRPr="000477C6">
        <w:rPr>
          <w:rFonts w:ascii="David" w:hAnsi="David" w:cs="David"/>
          <w:sz w:val="24"/>
          <w:szCs w:val="24"/>
          <w:rtl/>
        </w:rPr>
        <w:t>תרוייהו</w:t>
      </w:r>
      <w:proofErr w:type="spellEnd"/>
      <w:r w:rsidRPr="000477C6">
        <w:rPr>
          <w:rFonts w:ascii="David" w:hAnsi="David" w:cs="David"/>
          <w:sz w:val="24"/>
          <w:szCs w:val="24"/>
          <w:rtl/>
        </w:rPr>
        <w:t xml:space="preserve"> קדושת כלי הוא, מה לי ממילא, מה לי </w:t>
      </w:r>
      <w:proofErr w:type="spellStart"/>
      <w:r w:rsidRPr="000477C6">
        <w:rPr>
          <w:rFonts w:ascii="David" w:hAnsi="David" w:cs="David"/>
          <w:sz w:val="24"/>
          <w:szCs w:val="24"/>
          <w:rtl/>
        </w:rPr>
        <w:t>קא</w:t>
      </w:r>
      <w:proofErr w:type="spellEnd"/>
      <w:r w:rsidRPr="000477C6">
        <w:rPr>
          <w:rFonts w:ascii="David" w:hAnsi="David" w:cs="David"/>
          <w:sz w:val="24"/>
          <w:szCs w:val="24"/>
          <w:rtl/>
        </w:rPr>
        <w:t xml:space="preserve"> שקיל ורמי.</w:t>
      </w:r>
    </w:p>
    <w:p w14:paraId="448FA17C" w14:textId="77777777" w:rsidR="004066FB" w:rsidRPr="00C26014" w:rsidRDefault="004066FB" w:rsidP="0096346A">
      <w:pPr>
        <w:pStyle w:val="a6"/>
        <w:numPr>
          <w:ilvl w:val="0"/>
          <w:numId w:val="2"/>
        </w:numPr>
        <w:spacing w:after="0" w:line="360" w:lineRule="auto"/>
        <w:rPr>
          <w:rFonts w:ascii="David" w:hAnsi="David" w:cs="David"/>
          <w:b/>
          <w:bCs/>
          <w:sz w:val="24"/>
          <w:szCs w:val="24"/>
          <w:rtl/>
        </w:rPr>
      </w:pPr>
      <w:r w:rsidRPr="00C26014">
        <w:rPr>
          <w:rFonts w:ascii="David" w:hAnsi="David" w:cs="David" w:hint="cs"/>
          <w:b/>
          <w:bCs/>
          <w:sz w:val="24"/>
          <w:szCs w:val="24"/>
          <w:rtl/>
        </w:rPr>
        <w:t>פעולת ליקוט הלבונה</w:t>
      </w:r>
      <w:r w:rsidR="002007A4" w:rsidRPr="00C26014">
        <w:rPr>
          <w:rFonts w:ascii="David" w:hAnsi="David" w:cs="David" w:hint="cs"/>
          <w:b/>
          <w:bCs/>
          <w:sz w:val="24"/>
          <w:szCs w:val="24"/>
          <w:rtl/>
        </w:rPr>
        <w:t xml:space="preserve"> ו</w:t>
      </w:r>
      <w:r w:rsidR="00C26014">
        <w:rPr>
          <w:rFonts w:ascii="David" w:hAnsi="David" w:cs="David" w:hint="cs"/>
          <w:b/>
          <w:bCs/>
          <w:sz w:val="24"/>
          <w:szCs w:val="24"/>
          <w:rtl/>
        </w:rPr>
        <w:t>עיתוי</w:t>
      </w:r>
      <w:r w:rsidR="002007A4" w:rsidRPr="00C26014">
        <w:rPr>
          <w:rFonts w:ascii="David" w:hAnsi="David" w:cs="David" w:hint="cs"/>
          <w:b/>
          <w:bCs/>
          <w:sz w:val="24"/>
          <w:szCs w:val="24"/>
          <w:rtl/>
        </w:rPr>
        <w:t>ה</w:t>
      </w:r>
    </w:p>
    <w:p w14:paraId="5532DFF9" w14:textId="77777777" w:rsidR="004066FB" w:rsidRPr="004066FB" w:rsidRDefault="004066FB" w:rsidP="009634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נסקור את סדר הבאת המנחה:</w:t>
      </w:r>
    </w:p>
    <w:p w14:paraId="1BC729B4" w14:textId="493749D1" w:rsidR="004066FB" w:rsidRDefault="004066FB" w:rsidP="00BD0ED3">
      <w:pPr>
        <w:spacing w:after="0" w:line="360" w:lineRule="auto"/>
        <w:ind w:left="720"/>
        <w:rPr>
          <w:rFonts w:ascii="David" w:hAnsi="David" w:cs="David"/>
          <w:sz w:val="24"/>
          <w:szCs w:val="24"/>
          <w:rtl/>
        </w:rPr>
      </w:pPr>
      <w:r w:rsidRPr="004066FB">
        <w:rPr>
          <w:rFonts w:ascii="David" w:hAnsi="David" w:cs="David"/>
          <w:sz w:val="24"/>
          <w:szCs w:val="24"/>
          <w:rtl/>
        </w:rPr>
        <w:t>סדר הבאת המנחה כיצד</w:t>
      </w:r>
      <w:r w:rsidR="0096346A">
        <w:rPr>
          <w:rFonts w:ascii="David" w:hAnsi="David" w:cs="David" w:hint="cs"/>
          <w:sz w:val="24"/>
          <w:szCs w:val="24"/>
          <w:rtl/>
        </w:rPr>
        <w:t>?</w:t>
      </w:r>
      <w:r w:rsidRPr="004066FB">
        <w:rPr>
          <w:rFonts w:ascii="David" w:hAnsi="David" w:cs="David"/>
          <w:sz w:val="24"/>
          <w:szCs w:val="24"/>
          <w:rtl/>
        </w:rPr>
        <w:t xml:space="preserve"> מביא אדם סולת מתוך ביתו בקלתות של כסף או של זהב או של שאר מיני מתכות</w:t>
      </w:r>
      <w:r w:rsidR="0096346A">
        <w:rPr>
          <w:rFonts w:ascii="David" w:hAnsi="David" w:cs="David" w:hint="cs"/>
          <w:sz w:val="24"/>
          <w:szCs w:val="24"/>
          <w:rtl/>
        </w:rPr>
        <w:t>,</w:t>
      </w:r>
      <w:r w:rsidRPr="004066FB">
        <w:rPr>
          <w:rFonts w:ascii="David" w:hAnsi="David" w:cs="David"/>
          <w:sz w:val="24"/>
          <w:szCs w:val="24"/>
          <w:rtl/>
        </w:rPr>
        <w:t xml:space="preserve"> כלי שהוא ראוי לכלי שרת</w:t>
      </w:r>
      <w:r w:rsidR="0096346A">
        <w:rPr>
          <w:rFonts w:ascii="David" w:hAnsi="David" w:cs="David" w:hint="cs"/>
          <w:sz w:val="24"/>
          <w:szCs w:val="24"/>
          <w:rtl/>
        </w:rPr>
        <w:t>.</w:t>
      </w:r>
      <w:r w:rsidRPr="004066FB">
        <w:rPr>
          <w:rFonts w:ascii="David" w:hAnsi="David" w:cs="David"/>
          <w:sz w:val="24"/>
          <w:szCs w:val="24"/>
          <w:rtl/>
        </w:rPr>
        <w:t xml:space="preserve"> ואם </w:t>
      </w:r>
      <w:proofErr w:type="spellStart"/>
      <w:r w:rsidRPr="004066FB">
        <w:rPr>
          <w:rFonts w:ascii="David" w:hAnsi="David" w:cs="David"/>
          <w:sz w:val="24"/>
          <w:szCs w:val="24"/>
          <w:rtl/>
        </w:rPr>
        <w:t>היתה</w:t>
      </w:r>
      <w:proofErr w:type="spellEnd"/>
      <w:r w:rsidRPr="004066FB">
        <w:rPr>
          <w:rFonts w:ascii="David" w:hAnsi="David" w:cs="David"/>
          <w:sz w:val="24"/>
          <w:szCs w:val="24"/>
          <w:rtl/>
        </w:rPr>
        <w:t xml:space="preserve"> מנחת </w:t>
      </w:r>
      <w:proofErr w:type="spellStart"/>
      <w:r w:rsidRPr="004066FB">
        <w:rPr>
          <w:rFonts w:ascii="David" w:hAnsi="David" w:cs="David"/>
          <w:sz w:val="24"/>
          <w:szCs w:val="24"/>
          <w:rtl/>
        </w:rPr>
        <w:t>הסלת</w:t>
      </w:r>
      <w:proofErr w:type="spellEnd"/>
      <w:r w:rsidR="00783586">
        <w:rPr>
          <w:rFonts w:ascii="David" w:hAnsi="David" w:cs="David" w:hint="cs"/>
          <w:sz w:val="24"/>
          <w:szCs w:val="24"/>
          <w:rtl/>
        </w:rPr>
        <w:t xml:space="preserve"> </w:t>
      </w:r>
      <w:r w:rsidR="0096346A">
        <w:rPr>
          <w:rFonts w:ascii="David" w:hAnsi="David" w:cs="David" w:hint="cs"/>
          <w:sz w:val="24"/>
          <w:szCs w:val="24"/>
          <w:rtl/>
        </w:rPr>
        <w:t>-</w:t>
      </w:r>
      <w:r w:rsidRPr="004066FB">
        <w:rPr>
          <w:rFonts w:ascii="David" w:hAnsi="David" w:cs="David"/>
          <w:sz w:val="24"/>
          <w:szCs w:val="24"/>
          <w:rtl/>
        </w:rPr>
        <w:t xml:space="preserve"> נותנה לכלי שרת ומקדשה בכלי שרת</w:t>
      </w:r>
      <w:r w:rsidR="0096346A">
        <w:rPr>
          <w:rFonts w:ascii="David" w:hAnsi="David" w:cs="David" w:hint="cs"/>
          <w:sz w:val="24"/>
          <w:szCs w:val="24"/>
          <w:rtl/>
        </w:rPr>
        <w:t>.</w:t>
      </w:r>
      <w:r w:rsidRPr="004066FB">
        <w:rPr>
          <w:rFonts w:ascii="David" w:hAnsi="David" w:cs="David"/>
          <w:sz w:val="24"/>
          <w:szCs w:val="24"/>
          <w:rtl/>
        </w:rPr>
        <w:t xml:space="preserve"> ואם </w:t>
      </w:r>
      <w:proofErr w:type="spellStart"/>
      <w:r w:rsidRPr="004066FB">
        <w:rPr>
          <w:rFonts w:ascii="David" w:hAnsi="David" w:cs="David"/>
          <w:sz w:val="24"/>
          <w:szCs w:val="24"/>
          <w:rtl/>
        </w:rPr>
        <w:t>היתה</w:t>
      </w:r>
      <w:proofErr w:type="spellEnd"/>
      <w:r w:rsidRPr="004066FB">
        <w:rPr>
          <w:rFonts w:ascii="David" w:hAnsi="David" w:cs="David"/>
          <w:sz w:val="24"/>
          <w:szCs w:val="24"/>
          <w:rtl/>
        </w:rPr>
        <w:t xml:space="preserve"> מן המנחות הנאפות</w:t>
      </w:r>
      <w:r w:rsidR="0096346A">
        <w:rPr>
          <w:rFonts w:ascii="David" w:hAnsi="David" w:cs="David" w:hint="cs"/>
          <w:sz w:val="24"/>
          <w:szCs w:val="24"/>
          <w:rtl/>
        </w:rPr>
        <w:t>,</w:t>
      </w:r>
      <w:r w:rsidRPr="004066FB">
        <w:rPr>
          <w:rFonts w:ascii="David" w:hAnsi="David" w:cs="David"/>
          <w:sz w:val="24"/>
          <w:szCs w:val="24"/>
          <w:rtl/>
        </w:rPr>
        <w:t xml:space="preserve"> אופה אותה שם במקדש </w:t>
      </w:r>
      <w:proofErr w:type="spellStart"/>
      <w:r w:rsidRPr="004066FB">
        <w:rPr>
          <w:rFonts w:ascii="David" w:hAnsi="David" w:cs="David"/>
          <w:sz w:val="24"/>
          <w:szCs w:val="24"/>
          <w:rtl/>
        </w:rPr>
        <w:t>ופותת</w:t>
      </w:r>
      <w:proofErr w:type="spellEnd"/>
      <w:r w:rsidRPr="004066FB">
        <w:rPr>
          <w:rFonts w:ascii="David" w:hAnsi="David" w:cs="David"/>
          <w:sz w:val="24"/>
          <w:szCs w:val="24"/>
          <w:rtl/>
        </w:rPr>
        <w:t xml:space="preserve"> כמו שביארנו</w:t>
      </w:r>
      <w:r w:rsidR="0096346A">
        <w:rPr>
          <w:rFonts w:ascii="David" w:hAnsi="David" w:cs="David" w:hint="cs"/>
          <w:sz w:val="24"/>
          <w:szCs w:val="24"/>
          <w:rtl/>
        </w:rPr>
        <w:t>.</w:t>
      </w:r>
      <w:r w:rsidRPr="004066FB">
        <w:rPr>
          <w:rFonts w:ascii="David" w:hAnsi="David" w:cs="David"/>
          <w:sz w:val="24"/>
          <w:szCs w:val="24"/>
          <w:rtl/>
        </w:rPr>
        <w:t xml:space="preserve"> ונותן </w:t>
      </w:r>
      <w:proofErr w:type="spellStart"/>
      <w:r w:rsidRPr="004066FB">
        <w:rPr>
          <w:rFonts w:ascii="David" w:hAnsi="David" w:cs="David"/>
          <w:sz w:val="24"/>
          <w:szCs w:val="24"/>
          <w:rtl/>
        </w:rPr>
        <w:t>הפתיתין</w:t>
      </w:r>
      <w:proofErr w:type="spellEnd"/>
      <w:r w:rsidRPr="004066FB">
        <w:rPr>
          <w:rFonts w:ascii="David" w:hAnsi="David" w:cs="David"/>
          <w:sz w:val="24"/>
          <w:szCs w:val="24"/>
          <w:rtl/>
        </w:rPr>
        <w:t xml:space="preserve"> לכלי שרת ונותן עליה שמנה </w:t>
      </w:r>
      <w:proofErr w:type="spellStart"/>
      <w:r w:rsidRPr="004066FB">
        <w:rPr>
          <w:rFonts w:ascii="David" w:hAnsi="David" w:cs="David"/>
          <w:sz w:val="24"/>
          <w:szCs w:val="24"/>
          <w:rtl/>
        </w:rPr>
        <w:t>ולבונתה</w:t>
      </w:r>
      <w:proofErr w:type="spellEnd"/>
      <w:r w:rsidRPr="004066FB">
        <w:rPr>
          <w:rFonts w:ascii="David" w:hAnsi="David" w:cs="David"/>
          <w:sz w:val="24"/>
          <w:szCs w:val="24"/>
          <w:rtl/>
        </w:rPr>
        <w:t xml:space="preserve"> ומוליכה אצל כהן, והכהן מוליכה אצל המזבח ומגישה בקרן דרומית מערבית כנגד חודה של קרן ודיו</w:t>
      </w:r>
      <w:r w:rsidR="0096346A">
        <w:rPr>
          <w:rFonts w:ascii="David" w:hAnsi="David" w:cs="David" w:hint="cs"/>
          <w:sz w:val="24"/>
          <w:szCs w:val="24"/>
          <w:rtl/>
        </w:rPr>
        <w:t>.</w:t>
      </w:r>
      <w:r w:rsidR="00774A4B">
        <w:rPr>
          <w:rFonts w:ascii="David" w:hAnsi="David" w:cs="David" w:hint="cs"/>
          <w:sz w:val="24"/>
          <w:szCs w:val="24"/>
          <w:rtl/>
        </w:rPr>
        <w:t xml:space="preserve"> </w:t>
      </w:r>
      <w:r w:rsidRPr="004066FB">
        <w:rPr>
          <w:rFonts w:ascii="David" w:hAnsi="David" w:cs="David"/>
          <w:sz w:val="24"/>
          <w:szCs w:val="24"/>
          <w:rtl/>
        </w:rPr>
        <w:t xml:space="preserve">ומסלק את כל </w:t>
      </w:r>
      <w:proofErr w:type="spellStart"/>
      <w:r w:rsidRPr="004066FB">
        <w:rPr>
          <w:rFonts w:ascii="David" w:hAnsi="David" w:cs="David"/>
          <w:sz w:val="24"/>
          <w:szCs w:val="24"/>
          <w:rtl/>
        </w:rPr>
        <w:t>לבונתה</w:t>
      </w:r>
      <w:proofErr w:type="spellEnd"/>
      <w:r w:rsidRPr="004066FB">
        <w:rPr>
          <w:rFonts w:ascii="David" w:hAnsi="David" w:cs="David"/>
          <w:sz w:val="24"/>
          <w:szCs w:val="24"/>
          <w:rtl/>
        </w:rPr>
        <w:t xml:space="preserve"> לצד אחד</w:t>
      </w:r>
      <w:r w:rsidR="0096346A">
        <w:rPr>
          <w:rFonts w:ascii="David" w:hAnsi="David" w:cs="David" w:hint="cs"/>
          <w:sz w:val="24"/>
          <w:szCs w:val="24"/>
          <w:rtl/>
        </w:rPr>
        <w:t>,</w:t>
      </w:r>
      <w:r w:rsidRPr="004066FB">
        <w:rPr>
          <w:rFonts w:ascii="David" w:hAnsi="David" w:cs="David"/>
          <w:sz w:val="24"/>
          <w:szCs w:val="24"/>
          <w:rtl/>
        </w:rPr>
        <w:t xml:space="preserve"> וקומץ ממקום שנתרבה שמנה</w:t>
      </w:r>
      <w:r w:rsidR="0096346A">
        <w:rPr>
          <w:rFonts w:ascii="David" w:hAnsi="David" w:cs="David" w:hint="cs"/>
          <w:sz w:val="24"/>
          <w:szCs w:val="24"/>
          <w:rtl/>
        </w:rPr>
        <w:t>,</w:t>
      </w:r>
      <w:r w:rsidRPr="004066FB">
        <w:rPr>
          <w:rFonts w:ascii="David" w:hAnsi="David" w:cs="David"/>
          <w:sz w:val="24"/>
          <w:szCs w:val="24"/>
          <w:rtl/>
        </w:rPr>
        <w:t xml:space="preserve"> שנאמר</w:t>
      </w:r>
      <w:r w:rsidR="0096346A">
        <w:rPr>
          <w:rFonts w:ascii="David" w:hAnsi="David" w:cs="David" w:hint="cs"/>
          <w:sz w:val="24"/>
          <w:szCs w:val="24"/>
          <w:rtl/>
        </w:rPr>
        <w:t>:</w:t>
      </w:r>
      <w:r w:rsidRPr="004066FB">
        <w:rPr>
          <w:rFonts w:ascii="David" w:hAnsi="David" w:cs="David"/>
          <w:sz w:val="24"/>
          <w:szCs w:val="24"/>
          <w:rtl/>
        </w:rPr>
        <w:t xml:space="preserve"> </w:t>
      </w:r>
      <w:r w:rsidR="0096346A">
        <w:rPr>
          <w:rFonts w:ascii="David" w:hAnsi="David" w:cs="David" w:hint="cs"/>
          <w:sz w:val="24"/>
          <w:szCs w:val="24"/>
          <w:rtl/>
        </w:rPr>
        <w:t>'</w:t>
      </w:r>
      <w:proofErr w:type="spellStart"/>
      <w:r w:rsidRPr="004066FB">
        <w:rPr>
          <w:rFonts w:ascii="David" w:hAnsi="David" w:cs="David"/>
          <w:sz w:val="24"/>
          <w:szCs w:val="24"/>
          <w:rtl/>
        </w:rPr>
        <w:t>מסלתה</w:t>
      </w:r>
      <w:proofErr w:type="spellEnd"/>
      <w:r w:rsidRPr="004066FB">
        <w:rPr>
          <w:rFonts w:ascii="David" w:hAnsi="David" w:cs="David"/>
          <w:sz w:val="24"/>
          <w:szCs w:val="24"/>
          <w:rtl/>
        </w:rPr>
        <w:t xml:space="preserve"> ומשמנה</w:t>
      </w:r>
      <w:r w:rsidR="0096346A">
        <w:rPr>
          <w:rFonts w:ascii="David" w:hAnsi="David" w:cs="David" w:hint="cs"/>
          <w:sz w:val="24"/>
          <w:szCs w:val="24"/>
          <w:rtl/>
        </w:rPr>
        <w:t xml:space="preserve">'. </w:t>
      </w:r>
      <w:r w:rsidRPr="004066FB">
        <w:rPr>
          <w:rFonts w:ascii="David" w:hAnsi="David" w:cs="David"/>
          <w:sz w:val="24"/>
          <w:szCs w:val="24"/>
          <w:rtl/>
        </w:rPr>
        <w:t>ונותן הקומץ לכלי שרת ומקדשו בכלי שרת</w:t>
      </w:r>
      <w:r w:rsidR="0096346A">
        <w:rPr>
          <w:rFonts w:ascii="David" w:hAnsi="David" w:cs="David" w:hint="cs"/>
          <w:sz w:val="24"/>
          <w:szCs w:val="24"/>
          <w:rtl/>
        </w:rPr>
        <w:t>.</w:t>
      </w:r>
      <w:r w:rsidRPr="004066FB">
        <w:rPr>
          <w:rFonts w:ascii="David" w:hAnsi="David" w:cs="David"/>
          <w:sz w:val="24"/>
          <w:szCs w:val="24"/>
          <w:rtl/>
        </w:rPr>
        <w:t xml:space="preserve"> וקומץ שחלקו בשני כלים אינו קדוש וחוזר ומקדש</w:t>
      </w:r>
      <w:r w:rsidR="0096346A">
        <w:rPr>
          <w:rFonts w:ascii="David" w:hAnsi="David" w:cs="David" w:hint="cs"/>
          <w:sz w:val="24"/>
          <w:szCs w:val="24"/>
          <w:rtl/>
        </w:rPr>
        <w:t>.</w:t>
      </w:r>
      <w:r w:rsidRPr="004066FB">
        <w:rPr>
          <w:rFonts w:ascii="David" w:hAnsi="David" w:cs="David"/>
          <w:sz w:val="24"/>
          <w:szCs w:val="24"/>
          <w:rtl/>
        </w:rPr>
        <w:t xml:space="preserve"> </w:t>
      </w:r>
      <w:r w:rsidRPr="004066FB">
        <w:rPr>
          <w:rFonts w:ascii="David" w:hAnsi="David" w:cs="David"/>
          <w:b/>
          <w:bCs/>
          <w:sz w:val="24"/>
          <w:szCs w:val="24"/>
          <w:rtl/>
        </w:rPr>
        <w:t xml:space="preserve">ומלקט את כל </w:t>
      </w:r>
      <w:proofErr w:type="spellStart"/>
      <w:r w:rsidRPr="004066FB">
        <w:rPr>
          <w:rFonts w:ascii="David" w:hAnsi="David" w:cs="David"/>
          <w:b/>
          <w:bCs/>
          <w:sz w:val="24"/>
          <w:szCs w:val="24"/>
          <w:rtl/>
        </w:rPr>
        <w:t>לבונתה</w:t>
      </w:r>
      <w:proofErr w:type="spellEnd"/>
      <w:r w:rsidRPr="004066FB">
        <w:rPr>
          <w:rFonts w:ascii="David" w:hAnsi="David" w:cs="David"/>
          <w:b/>
          <w:bCs/>
          <w:sz w:val="24"/>
          <w:szCs w:val="24"/>
          <w:rtl/>
        </w:rPr>
        <w:t xml:space="preserve"> ונותנה על הקומץ שבכלי ומעלהו על המזבח </w:t>
      </w:r>
      <w:proofErr w:type="spellStart"/>
      <w:r w:rsidRPr="004066FB">
        <w:rPr>
          <w:rFonts w:ascii="David" w:hAnsi="David" w:cs="David"/>
          <w:b/>
          <w:bCs/>
          <w:sz w:val="24"/>
          <w:szCs w:val="24"/>
          <w:rtl/>
        </w:rPr>
        <w:t>ומולחו</w:t>
      </w:r>
      <w:proofErr w:type="spellEnd"/>
      <w:r w:rsidRPr="004066FB">
        <w:rPr>
          <w:rFonts w:ascii="David" w:hAnsi="David" w:cs="David"/>
          <w:b/>
          <w:bCs/>
          <w:sz w:val="24"/>
          <w:szCs w:val="24"/>
          <w:rtl/>
        </w:rPr>
        <w:t>, ונותנו על גבי האשים מכלי שרת</w:t>
      </w:r>
      <w:r w:rsidR="0096346A">
        <w:rPr>
          <w:rFonts w:ascii="David" w:hAnsi="David" w:cs="David" w:hint="cs"/>
          <w:sz w:val="24"/>
          <w:szCs w:val="24"/>
          <w:rtl/>
        </w:rPr>
        <w:t xml:space="preserve">. </w:t>
      </w:r>
      <w:r w:rsidRPr="004066FB">
        <w:rPr>
          <w:rFonts w:ascii="David" w:hAnsi="David" w:cs="David"/>
          <w:sz w:val="24"/>
          <w:szCs w:val="24"/>
          <w:rtl/>
        </w:rPr>
        <w:t xml:space="preserve">ואם מנחת כהנים היא אינו קומץ אלא נותן מלח על כלה ומשליך </w:t>
      </w:r>
      <w:proofErr w:type="spellStart"/>
      <w:r w:rsidRPr="004066FB">
        <w:rPr>
          <w:rFonts w:ascii="David" w:hAnsi="David" w:cs="David"/>
          <w:sz w:val="24"/>
          <w:szCs w:val="24"/>
          <w:rtl/>
        </w:rPr>
        <w:t>הכל</w:t>
      </w:r>
      <w:proofErr w:type="spellEnd"/>
      <w:r w:rsidRPr="004066FB">
        <w:rPr>
          <w:rFonts w:ascii="David" w:hAnsi="David" w:cs="David"/>
          <w:sz w:val="24"/>
          <w:szCs w:val="24"/>
          <w:rtl/>
        </w:rPr>
        <w:t xml:space="preserve"> על גבי האשים</w:t>
      </w:r>
      <w:r>
        <w:rPr>
          <w:rStyle w:val="a5"/>
          <w:rFonts w:ascii="David" w:hAnsi="David" w:cs="David"/>
          <w:sz w:val="24"/>
          <w:szCs w:val="24"/>
          <w:rtl/>
        </w:rPr>
        <w:footnoteReference w:id="1"/>
      </w:r>
      <w:r w:rsidRPr="004066FB">
        <w:rPr>
          <w:rFonts w:ascii="David" w:hAnsi="David" w:cs="David"/>
          <w:sz w:val="24"/>
          <w:szCs w:val="24"/>
          <w:rtl/>
        </w:rPr>
        <w:t>.</w:t>
      </w:r>
    </w:p>
    <w:p w14:paraId="4297947D" w14:textId="6917A1B4" w:rsidR="004066FB" w:rsidRDefault="004066FB" w:rsidP="0096346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אם כן, ליקוט הלבונה </w:t>
      </w:r>
      <w:r w:rsidR="00783586">
        <w:rPr>
          <w:rFonts w:asciiTheme="majorBidi" w:hAnsiTheme="majorBidi" w:cstheme="majorBidi" w:hint="cs"/>
          <w:sz w:val="24"/>
          <w:szCs w:val="24"/>
          <w:rtl/>
        </w:rPr>
        <w:t>מ</w:t>
      </w:r>
      <w:r>
        <w:rPr>
          <w:rFonts w:asciiTheme="majorBidi" w:hAnsiTheme="majorBidi" w:cstheme="majorBidi" w:hint="cs"/>
          <w:sz w:val="24"/>
          <w:szCs w:val="24"/>
          <w:rtl/>
        </w:rPr>
        <w:t xml:space="preserve">צטרף לקומץ, ויחד הם מועלים על המזבח. רש"י בסוגייתנו כותב: </w:t>
      </w:r>
    </w:p>
    <w:p w14:paraId="495E77FA" w14:textId="77E1E6BD" w:rsidR="00783586" w:rsidRDefault="004066FB" w:rsidP="0096346A">
      <w:pPr>
        <w:spacing w:after="0" w:line="360" w:lineRule="auto"/>
        <w:rPr>
          <w:rFonts w:asciiTheme="majorBidi" w:hAnsiTheme="majorBidi" w:cs="Times New Roman"/>
          <w:sz w:val="24"/>
          <w:szCs w:val="24"/>
          <w:rtl/>
        </w:rPr>
      </w:pPr>
      <w:r w:rsidRPr="004066FB">
        <w:rPr>
          <w:rFonts w:ascii="David" w:hAnsi="David" w:cs="David"/>
          <w:sz w:val="24"/>
          <w:szCs w:val="24"/>
          <w:rtl/>
        </w:rPr>
        <w:t xml:space="preserve">לאחר הקטרת הקומץ היה מלקט הלבונה מעל </w:t>
      </w:r>
      <w:proofErr w:type="spellStart"/>
      <w:r w:rsidRPr="004066FB">
        <w:rPr>
          <w:rFonts w:ascii="David" w:hAnsi="David" w:cs="David"/>
          <w:sz w:val="24"/>
          <w:szCs w:val="24"/>
          <w:rtl/>
        </w:rPr>
        <w:t>הסלת</w:t>
      </w:r>
      <w:proofErr w:type="spellEnd"/>
      <w:r w:rsidRPr="004066FB">
        <w:rPr>
          <w:rFonts w:ascii="David" w:hAnsi="David" w:cs="David"/>
          <w:sz w:val="24"/>
          <w:szCs w:val="24"/>
          <w:rtl/>
        </w:rPr>
        <w:t xml:space="preserve"> ומקטירו</w:t>
      </w:r>
      <w:r w:rsidRPr="004066FB">
        <w:rPr>
          <w:rStyle w:val="a5"/>
          <w:rFonts w:ascii="David" w:hAnsi="David" w:cs="David"/>
          <w:sz w:val="24"/>
          <w:szCs w:val="24"/>
          <w:rtl/>
        </w:rPr>
        <w:footnoteReference w:id="2"/>
      </w:r>
      <w:r w:rsidRPr="004066FB">
        <w:rPr>
          <w:rFonts w:ascii="David" w:hAnsi="David" w:cs="David"/>
          <w:sz w:val="24"/>
          <w:szCs w:val="24"/>
          <w:rtl/>
        </w:rPr>
        <w:t>.</w:t>
      </w:r>
      <w:r w:rsidR="003059EC">
        <w:rPr>
          <w:rFonts w:ascii="David" w:hAnsi="David" w:cs="David" w:hint="cs"/>
          <w:sz w:val="24"/>
          <w:szCs w:val="24"/>
          <w:rtl/>
        </w:rPr>
        <w:t xml:space="preserve"> </w:t>
      </w:r>
      <w:r w:rsidR="003059EC">
        <w:rPr>
          <w:rFonts w:asciiTheme="majorBidi" w:hAnsiTheme="majorBidi" w:cstheme="majorBidi" w:hint="cs"/>
          <w:sz w:val="24"/>
          <w:szCs w:val="24"/>
          <w:rtl/>
        </w:rPr>
        <w:t xml:space="preserve">אולם בגמרא בסוטה הסדר מעט אחר: </w:t>
      </w:r>
    </w:p>
    <w:p w14:paraId="0EF8A9E2" w14:textId="226BB425" w:rsidR="00783586" w:rsidRDefault="003059EC" w:rsidP="00BD0ED3">
      <w:pPr>
        <w:spacing w:after="0" w:line="360" w:lineRule="auto"/>
        <w:ind w:left="720"/>
        <w:rPr>
          <w:rFonts w:asciiTheme="majorBidi" w:hAnsiTheme="majorBidi" w:cstheme="majorBidi"/>
          <w:sz w:val="24"/>
          <w:szCs w:val="24"/>
          <w:rtl/>
        </w:rPr>
      </w:pPr>
      <w:r w:rsidRPr="003059EC">
        <w:rPr>
          <w:rFonts w:ascii="David" w:hAnsi="David" w:cs="David"/>
          <w:sz w:val="24"/>
          <w:szCs w:val="24"/>
          <w:rtl/>
        </w:rPr>
        <w:t xml:space="preserve">סדר מנחות כיצד? אדם מביא מנחה מתוך ביתו בקלתות של כסף ושל זהב, ונותנה לתוך כלי שרת ומקדשה בכלי שרת, ונותן עליה שמנה </w:t>
      </w:r>
      <w:proofErr w:type="spellStart"/>
      <w:r w:rsidRPr="003059EC">
        <w:rPr>
          <w:rFonts w:ascii="David" w:hAnsi="David" w:cs="David"/>
          <w:sz w:val="24"/>
          <w:szCs w:val="24"/>
          <w:rtl/>
        </w:rPr>
        <w:t>ולבונתה</w:t>
      </w:r>
      <w:proofErr w:type="spellEnd"/>
      <w:r w:rsidRPr="003059EC">
        <w:rPr>
          <w:rFonts w:ascii="David" w:hAnsi="David" w:cs="David"/>
          <w:sz w:val="24"/>
          <w:szCs w:val="24"/>
          <w:rtl/>
        </w:rPr>
        <w:t xml:space="preserve"> ומוליכה אצל כהן, וכהן מוליכה אצל מזבח ומגישה בקרן דרומית מערבית כנגד חודה של קרן ודיו, ומסלק את הלבונה לצד אחד וקומץ ממקום שנתרבה שמנה, ונותנו לתוך כלי שרת ומקדשו בכלי שרת, </w:t>
      </w:r>
      <w:r w:rsidRPr="003059EC">
        <w:rPr>
          <w:rFonts w:ascii="David" w:hAnsi="David" w:cs="David"/>
          <w:b/>
          <w:bCs/>
          <w:sz w:val="24"/>
          <w:szCs w:val="24"/>
          <w:rtl/>
        </w:rPr>
        <w:lastRenderedPageBreak/>
        <w:t xml:space="preserve">ומלקט את </w:t>
      </w:r>
      <w:proofErr w:type="spellStart"/>
      <w:r w:rsidRPr="003059EC">
        <w:rPr>
          <w:rFonts w:ascii="David" w:hAnsi="David" w:cs="David"/>
          <w:b/>
          <w:bCs/>
          <w:sz w:val="24"/>
          <w:szCs w:val="24"/>
          <w:rtl/>
        </w:rPr>
        <w:t>לבונתה</w:t>
      </w:r>
      <w:proofErr w:type="spellEnd"/>
      <w:r w:rsidRPr="003059EC">
        <w:rPr>
          <w:rFonts w:ascii="David" w:hAnsi="David" w:cs="David"/>
          <w:b/>
          <w:bCs/>
          <w:sz w:val="24"/>
          <w:szCs w:val="24"/>
          <w:rtl/>
        </w:rPr>
        <w:t xml:space="preserve"> ונותנה על גביו</w:t>
      </w:r>
      <w:r w:rsidRPr="003059EC">
        <w:rPr>
          <w:rFonts w:ascii="David" w:hAnsi="David" w:cs="David"/>
          <w:sz w:val="24"/>
          <w:szCs w:val="24"/>
          <w:rtl/>
        </w:rPr>
        <w:t xml:space="preserve"> (ומעלה אותו לגבי מזבח), ומעלהו ומקטירו בכלי שרת, </w:t>
      </w:r>
      <w:proofErr w:type="spellStart"/>
      <w:r w:rsidRPr="003059EC">
        <w:rPr>
          <w:rFonts w:ascii="David" w:hAnsi="David" w:cs="David"/>
          <w:sz w:val="24"/>
          <w:szCs w:val="24"/>
          <w:rtl/>
        </w:rPr>
        <w:t>ומולחו</w:t>
      </w:r>
      <w:proofErr w:type="spellEnd"/>
      <w:r w:rsidRPr="003059EC">
        <w:rPr>
          <w:rFonts w:ascii="David" w:hAnsi="David" w:cs="David"/>
          <w:sz w:val="24"/>
          <w:szCs w:val="24"/>
          <w:rtl/>
        </w:rPr>
        <w:t xml:space="preserve"> ונותנו על גבי האישים, קרב הקומץ - שיריה </w:t>
      </w:r>
      <w:proofErr w:type="spellStart"/>
      <w:r w:rsidRPr="003059EC">
        <w:rPr>
          <w:rFonts w:ascii="David" w:hAnsi="David" w:cs="David"/>
          <w:sz w:val="24"/>
          <w:szCs w:val="24"/>
          <w:rtl/>
        </w:rPr>
        <w:t>נאכלין</w:t>
      </w:r>
      <w:proofErr w:type="spellEnd"/>
      <w:r>
        <w:rPr>
          <w:rStyle w:val="a5"/>
          <w:rFonts w:asciiTheme="majorBidi" w:hAnsiTheme="majorBidi" w:cs="Times New Roman"/>
          <w:sz w:val="24"/>
          <w:szCs w:val="24"/>
          <w:rtl/>
        </w:rPr>
        <w:footnoteReference w:id="3"/>
      </w:r>
      <w:r>
        <w:rPr>
          <w:rFonts w:asciiTheme="majorBidi" w:hAnsiTheme="majorBidi" w:cstheme="majorBidi" w:hint="cs"/>
          <w:sz w:val="24"/>
          <w:szCs w:val="24"/>
          <w:rtl/>
        </w:rPr>
        <w:t>.</w:t>
      </w:r>
    </w:p>
    <w:p w14:paraId="4C285ECB" w14:textId="142FF5E2" w:rsidR="004066FB" w:rsidRPr="003059EC" w:rsidRDefault="003059EC" w:rsidP="009634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לפיכך תמה בלחם משנה:</w:t>
      </w:r>
    </w:p>
    <w:p w14:paraId="43C9745A" w14:textId="585A3FE8" w:rsidR="003059EC" w:rsidRPr="004066FB" w:rsidRDefault="003059EC" w:rsidP="00BD0ED3">
      <w:pPr>
        <w:spacing w:after="0" w:line="360" w:lineRule="auto"/>
        <w:ind w:left="720"/>
        <w:rPr>
          <w:rFonts w:ascii="David" w:hAnsi="David" w:cs="David"/>
          <w:sz w:val="24"/>
          <w:szCs w:val="24"/>
          <w:rtl/>
        </w:rPr>
      </w:pPr>
      <w:r w:rsidRPr="003059EC">
        <w:rPr>
          <w:rFonts w:ascii="David" w:hAnsi="David" w:cs="David"/>
          <w:sz w:val="24"/>
          <w:szCs w:val="24"/>
          <w:rtl/>
        </w:rPr>
        <w:t xml:space="preserve">דין זה הוא פשוט בגמרא </w:t>
      </w:r>
      <w:r w:rsidRPr="0096346A">
        <w:rPr>
          <w:rFonts w:ascii="David" w:hAnsi="David" w:cs="David"/>
          <w:sz w:val="20"/>
          <w:szCs w:val="20"/>
          <w:rtl/>
        </w:rPr>
        <w:t xml:space="preserve">פ"ב </w:t>
      </w:r>
      <w:proofErr w:type="spellStart"/>
      <w:r w:rsidRPr="0096346A">
        <w:rPr>
          <w:rFonts w:ascii="David" w:hAnsi="David" w:cs="David"/>
          <w:sz w:val="20"/>
          <w:szCs w:val="20"/>
          <w:rtl/>
        </w:rPr>
        <w:t>דסוטה</w:t>
      </w:r>
      <w:proofErr w:type="spellEnd"/>
      <w:r w:rsidRPr="0096346A">
        <w:rPr>
          <w:rFonts w:ascii="David" w:hAnsi="David" w:cs="David"/>
          <w:sz w:val="20"/>
          <w:szCs w:val="20"/>
          <w:rtl/>
        </w:rPr>
        <w:t xml:space="preserve"> (דף י"ד)</w:t>
      </w:r>
      <w:r w:rsidRPr="003059EC">
        <w:rPr>
          <w:rFonts w:ascii="David" w:hAnsi="David" w:cs="David"/>
          <w:sz w:val="24"/>
          <w:szCs w:val="24"/>
          <w:rtl/>
        </w:rPr>
        <w:t xml:space="preserve"> </w:t>
      </w:r>
      <w:proofErr w:type="spellStart"/>
      <w:r w:rsidRPr="003059EC">
        <w:rPr>
          <w:rFonts w:ascii="David" w:hAnsi="David" w:cs="David"/>
          <w:sz w:val="24"/>
          <w:szCs w:val="24"/>
          <w:rtl/>
        </w:rPr>
        <w:t>דבתחלה</w:t>
      </w:r>
      <w:proofErr w:type="spellEnd"/>
      <w:r w:rsidRPr="003059EC">
        <w:rPr>
          <w:rFonts w:ascii="David" w:hAnsi="David" w:cs="David"/>
          <w:sz w:val="24"/>
          <w:szCs w:val="24"/>
          <w:rtl/>
        </w:rPr>
        <w:t xml:space="preserve"> נותן הלבונה ע"ג הקומץ שבכלי</w:t>
      </w:r>
      <w:r w:rsidR="0096346A">
        <w:rPr>
          <w:rFonts w:ascii="David" w:hAnsi="David" w:cs="David" w:hint="cs"/>
          <w:sz w:val="24"/>
          <w:szCs w:val="24"/>
          <w:rtl/>
        </w:rPr>
        <w:t>,</w:t>
      </w:r>
      <w:r w:rsidRPr="003059EC">
        <w:rPr>
          <w:rFonts w:ascii="David" w:hAnsi="David" w:cs="David"/>
          <w:sz w:val="24"/>
          <w:szCs w:val="24"/>
          <w:rtl/>
        </w:rPr>
        <w:t xml:space="preserve"> ואח"כ מקטיר שניהם יחד. וראיתי לרש"י</w:t>
      </w:r>
      <w:r w:rsidR="0096346A">
        <w:rPr>
          <w:rFonts w:ascii="David" w:hAnsi="David" w:cs="David" w:hint="cs"/>
          <w:sz w:val="24"/>
          <w:szCs w:val="24"/>
          <w:rtl/>
        </w:rPr>
        <w:t xml:space="preserve">.. </w:t>
      </w:r>
      <w:r w:rsidRPr="003059EC">
        <w:rPr>
          <w:rFonts w:ascii="David" w:hAnsi="David" w:cs="David"/>
          <w:sz w:val="24"/>
          <w:szCs w:val="24"/>
          <w:rtl/>
        </w:rPr>
        <w:t xml:space="preserve">שכתב עלה </w:t>
      </w:r>
      <w:proofErr w:type="spellStart"/>
      <w:r w:rsidRPr="003059EC">
        <w:rPr>
          <w:rFonts w:ascii="David" w:hAnsi="David" w:cs="David"/>
          <w:sz w:val="24"/>
          <w:szCs w:val="24"/>
          <w:rtl/>
        </w:rPr>
        <w:t>דההיא</w:t>
      </w:r>
      <w:proofErr w:type="spellEnd"/>
      <w:r w:rsidRPr="003059EC">
        <w:rPr>
          <w:rFonts w:ascii="David" w:hAnsi="David" w:cs="David"/>
          <w:sz w:val="24"/>
          <w:szCs w:val="24"/>
          <w:rtl/>
        </w:rPr>
        <w:t xml:space="preserve"> </w:t>
      </w:r>
      <w:proofErr w:type="spellStart"/>
      <w:r w:rsidRPr="003059EC">
        <w:rPr>
          <w:rFonts w:ascii="David" w:hAnsi="David" w:cs="David"/>
          <w:sz w:val="24"/>
          <w:szCs w:val="24"/>
          <w:rtl/>
        </w:rPr>
        <w:t>דלקט</w:t>
      </w:r>
      <w:proofErr w:type="spellEnd"/>
      <w:r w:rsidRPr="003059EC">
        <w:rPr>
          <w:rFonts w:ascii="David" w:hAnsi="David" w:cs="David"/>
          <w:sz w:val="24"/>
          <w:szCs w:val="24"/>
          <w:rtl/>
        </w:rPr>
        <w:t xml:space="preserve"> לבונה בזר פסולה</w:t>
      </w:r>
      <w:r w:rsidR="0096346A">
        <w:rPr>
          <w:rFonts w:ascii="David" w:hAnsi="David" w:cs="David" w:hint="cs"/>
          <w:sz w:val="24"/>
          <w:szCs w:val="24"/>
          <w:rtl/>
        </w:rPr>
        <w:t>,</w:t>
      </w:r>
      <w:r w:rsidRPr="003059EC">
        <w:rPr>
          <w:rFonts w:ascii="David" w:hAnsi="David" w:cs="David"/>
          <w:sz w:val="24"/>
          <w:szCs w:val="24"/>
          <w:rtl/>
        </w:rPr>
        <w:t xml:space="preserve"> </w:t>
      </w:r>
      <w:proofErr w:type="spellStart"/>
      <w:r w:rsidRPr="003059EC">
        <w:rPr>
          <w:rFonts w:ascii="David" w:hAnsi="David" w:cs="David"/>
          <w:sz w:val="24"/>
          <w:szCs w:val="24"/>
          <w:rtl/>
        </w:rPr>
        <w:t>דלאחר</w:t>
      </w:r>
      <w:proofErr w:type="spellEnd"/>
      <w:r w:rsidRPr="003059EC">
        <w:rPr>
          <w:rFonts w:ascii="David" w:hAnsi="David" w:cs="David"/>
          <w:sz w:val="24"/>
          <w:szCs w:val="24"/>
          <w:rtl/>
        </w:rPr>
        <w:t xml:space="preserve"> הקטרת הקומץ היה מלקט הלבונה מעל </w:t>
      </w:r>
      <w:proofErr w:type="spellStart"/>
      <w:r w:rsidRPr="003059EC">
        <w:rPr>
          <w:rFonts w:ascii="David" w:hAnsi="David" w:cs="David"/>
          <w:sz w:val="24"/>
          <w:szCs w:val="24"/>
          <w:rtl/>
        </w:rPr>
        <w:t>הסלת</w:t>
      </w:r>
      <w:proofErr w:type="spellEnd"/>
      <w:r w:rsidRPr="003059EC">
        <w:rPr>
          <w:rFonts w:ascii="David" w:hAnsi="David" w:cs="David"/>
          <w:sz w:val="24"/>
          <w:szCs w:val="24"/>
          <w:rtl/>
        </w:rPr>
        <w:t xml:space="preserve"> ומקטירו ע"כ. נראה </w:t>
      </w:r>
      <w:proofErr w:type="spellStart"/>
      <w:r w:rsidRPr="003059EC">
        <w:rPr>
          <w:rFonts w:ascii="David" w:hAnsi="David" w:cs="David"/>
          <w:sz w:val="24"/>
          <w:szCs w:val="24"/>
          <w:rtl/>
        </w:rPr>
        <w:t>דס"ל</w:t>
      </w:r>
      <w:proofErr w:type="spellEnd"/>
      <w:r w:rsidRPr="003059EC">
        <w:rPr>
          <w:rFonts w:ascii="David" w:hAnsi="David" w:cs="David"/>
          <w:sz w:val="24"/>
          <w:szCs w:val="24"/>
          <w:rtl/>
        </w:rPr>
        <w:t xml:space="preserve"> שלא </w:t>
      </w:r>
      <w:proofErr w:type="spellStart"/>
      <w:r w:rsidRPr="003059EC">
        <w:rPr>
          <w:rFonts w:ascii="David" w:hAnsi="David" w:cs="David"/>
          <w:sz w:val="24"/>
          <w:szCs w:val="24"/>
          <w:rtl/>
        </w:rPr>
        <w:t>היתה</w:t>
      </w:r>
      <w:proofErr w:type="spellEnd"/>
      <w:r w:rsidRPr="003059EC">
        <w:rPr>
          <w:rFonts w:ascii="David" w:hAnsi="David" w:cs="David"/>
          <w:sz w:val="24"/>
          <w:szCs w:val="24"/>
          <w:rtl/>
        </w:rPr>
        <w:t xml:space="preserve"> ההקטרה בבת אחת אלא בזה אחר זה והוא </w:t>
      </w:r>
      <w:proofErr w:type="spellStart"/>
      <w:r w:rsidRPr="003059EC">
        <w:rPr>
          <w:rFonts w:ascii="David" w:hAnsi="David" w:cs="David"/>
          <w:sz w:val="24"/>
          <w:szCs w:val="24"/>
          <w:rtl/>
        </w:rPr>
        <w:t>תימה</w:t>
      </w:r>
      <w:proofErr w:type="spellEnd"/>
      <w:r w:rsidRPr="003059EC">
        <w:rPr>
          <w:rFonts w:ascii="David" w:hAnsi="David" w:cs="David"/>
          <w:sz w:val="24"/>
          <w:szCs w:val="24"/>
          <w:rtl/>
        </w:rPr>
        <w:t xml:space="preserve"> בעיני</w:t>
      </w:r>
      <w:r w:rsidR="00331826">
        <w:rPr>
          <w:rFonts w:ascii="David" w:hAnsi="David" w:cs="David" w:hint="cs"/>
          <w:sz w:val="24"/>
          <w:szCs w:val="24"/>
          <w:rtl/>
        </w:rPr>
        <w:t xml:space="preserve">. </w:t>
      </w:r>
      <w:proofErr w:type="spellStart"/>
      <w:r w:rsidRPr="003059EC">
        <w:rPr>
          <w:rFonts w:ascii="David" w:hAnsi="David" w:cs="David"/>
          <w:sz w:val="24"/>
          <w:szCs w:val="24"/>
          <w:rtl/>
        </w:rPr>
        <w:t>ובפ</w:t>
      </w:r>
      <w:proofErr w:type="spellEnd"/>
      <w:r w:rsidRPr="003059EC">
        <w:rPr>
          <w:rFonts w:ascii="David" w:hAnsi="David" w:cs="David"/>
          <w:sz w:val="24"/>
          <w:szCs w:val="24"/>
          <w:rtl/>
        </w:rPr>
        <w:t>' צו כתב רש"י שמלקט הלבונה לאחר קמיצה ומקטירו הרי שהליקוט הוא לאחר קמיצה לא לאחר הקטרה וצ"ע</w:t>
      </w:r>
      <w:r>
        <w:rPr>
          <w:rStyle w:val="a5"/>
          <w:rFonts w:ascii="David" w:hAnsi="David" w:cs="David"/>
          <w:sz w:val="24"/>
          <w:szCs w:val="24"/>
          <w:rtl/>
        </w:rPr>
        <w:footnoteReference w:id="4"/>
      </w:r>
      <w:r>
        <w:rPr>
          <w:rFonts w:ascii="David" w:hAnsi="David" w:cs="David" w:hint="cs"/>
          <w:sz w:val="24"/>
          <w:szCs w:val="24"/>
          <w:rtl/>
        </w:rPr>
        <w:t>.</w:t>
      </w:r>
    </w:p>
    <w:p w14:paraId="22817C09" w14:textId="627BA7A9" w:rsidR="00932C35" w:rsidRPr="00932C35" w:rsidRDefault="00932C35" w:rsidP="0096346A">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הרש"ש</w:t>
      </w:r>
      <w:proofErr w:type="spellEnd"/>
      <w:r>
        <w:rPr>
          <w:rStyle w:val="a5"/>
          <w:rFonts w:asciiTheme="majorBidi" w:hAnsiTheme="majorBidi" w:cstheme="majorBidi"/>
          <w:sz w:val="24"/>
          <w:szCs w:val="24"/>
          <w:rtl/>
        </w:rPr>
        <w:footnoteReference w:id="5"/>
      </w:r>
      <w:r>
        <w:rPr>
          <w:rFonts w:asciiTheme="majorBidi" w:hAnsiTheme="majorBidi" w:cstheme="majorBidi" w:hint="cs"/>
          <w:sz w:val="24"/>
          <w:szCs w:val="24"/>
          <w:rtl/>
        </w:rPr>
        <w:t xml:space="preserve"> מפנה</w:t>
      </w:r>
      <w:r w:rsidR="00774A4B">
        <w:rPr>
          <w:rFonts w:asciiTheme="majorBidi" w:hAnsiTheme="majorBidi" w:cstheme="majorBidi" w:hint="cs"/>
          <w:sz w:val="24"/>
          <w:szCs w:val="24"/>
          <w:rtl/>
        </w:rPr>
        <w:t xml:space="preserve"> </w:t>
      </w:r>
      <w:r>
        <w:rPr>
          <w:rFonts w:asciiTheme="majorBidi" w:hAnsiTheme="majorBidi" w:cstheme="majorBidi" w:hint="cs"/>
          <w:sz w:val="24"/>
          <w:szCs w:val="24"/>
          <w:rtl/>
        </w:rPr>
        <w:t>לנאמר בדברי רבי יוסי שורות ספורות</w:t>
      </w:r>
      <w:r w:rsidR="00331826">
        <w:rPr>
          <w:rFonts w:asciiTheme="majorBidi" w:hAnsiTheme="majorBidi" w:cstheme="majorBidi" w:hint="cs"/>
          <w:sz w:val="24"/>
          <w:szCs w:val="24"/>
          <w:rtl/>
        </w:rPr>
        <w:t xml:space="preserve"> לפני סוגייתנו</w:t>
      </w:r>
      <w:r>
        <w:rPr>
          <w:rFonts w:asciiTheme="majorBidi" w:hAnsiTheme="majorBidi" w:cstheme="majorBidi" w:hint="cs"/>
          <w:sz w:val="24"/>
          <w:szCs w:val="24"/>
          <w:rtl/>
        </w:rPr>
        <w:t>:</w:t>
      </w:r>
    </w:p>
    <w:p w14:paraId="21ABCB34" w14:textId="5E168D03" w:rsidR="00783586" w:rsidRDefault="00932C35" w:rsidP="00BD0ED3">
      <w:pPr>
        <w:spacing w:after="0" w:line="360" w:lineRule="auto"/>
        <w:ind w:left="720"/>
        <w:rPr>
          <w:rFonts w:ascii="David" w:hAnsi="David" w:cs="David"/>
          <w:sz w:val="24"/>
          <w:szCs w:val="24"/>
          <w:rtl/>
        </w:rPr>
      </w:pPr>
      <w:proofErr w:type="spellStart"/>
      <w:r w:rsidRPr="00932C35">
        <w:rPr>
          <w:rFonts w:ascii="David" w:hAnsi="David" w:cs="David"/>
          <w:sz w:val="24"/>
          <w:szCs w:val="24"/>
          <w:rtl/>
        </w:rPr>
        <w:t>דלאו</w:t>
      </w:r>
      <w:proofErr w:type="spellEnd"/>
      <w:r w:rsidRPr="00932C35">
        <w:rPr>
          <w:rFonts w:ascii="David" w:hAnsi="David" w:cs="David"/>
          <w:sz w:val="24"/>
          <w:szCs w:val="24"/>
          <w:rtl/>
        </w:rPr>
        <w:t xml:space="preserve"> כי היכי </w:t>
      </w:r>
      <w:proofErr w:type="spellStart"/>
      <w:r w:rsidRPr="00932C35">
        <w:rPr>
          <w:rFonts w:ascii="David" w:hAnsi="David" w:cs="David"/>
          <w:sz w:val="24"/>
          <w:szCs w:val="24"/>
          <w:rtl/>
        </w:rPr>
        <w:t>דמעכב</w:t>
      </w:r>
      <w:proofErr w:type="spellEnd"/>
      <w:r w:rsidRPr="00932C35">
        <w:rPr>
          <w:rFonts w:ascii="David" w:hAnsi="David" w:cs="David"/>
          <w:sz w:val="24"/>
          <w:szCs w:val="24"/>
          <w:rtl/>
        </w:rPr>
        <w:t xml:space="preserve"> להו קומץ לשירים.</w:t>
      </w:r>
      <w:r w:rsidR="00783586">
        <w:rPr>
          <w:rFonts w:ascii="David" w:hAnsi="David" w:cs="David" w:hint="cs"/>
          <w:sz w:val="24"/>
          <w:szCs w:val="24"/>
          <w:rtl/>
        </w:rPr>
        <w:t>.</w:t>
      </w:r>
      <w:r w:rsidRPr="00932C35">
        <w:rPr>
          <w:rFonts w:ascii="David" w:hAnsi="David" w:cs="David"/>
          <w:sz w:val="24"/>
          <w:szCs w:val="24"/>
          <w:rtl/>
        </w:rPr>
        <w:t xml:space="preserve">. </w:t>
      </w:r>
      <w:proofErr w:type="spellStart"/>
      <w:r w:rsidRPr="00932C35">
        <w:rPr>
          <w:rFonts w:ascii="David" w:hAnsi="David" w:cs="David"/>
          <w:sz w:val="24"/>
          <w:szCs w:val="24"/>
          <w:rtl/>
        </w:rPr>
        <w:t>ה"נ</w:t>
      </w:r>
      <w:proofErr w:type="spellEnd"/>
      <w:r w:rsidRPr="00932C35">
        <w:rPr>
          <w:rFonts w:ascii="David" w:hAnsi="David" w:cs="David"/>
          <w:sz w:val="24"/>
          <w:szCs w:val="24"/>
          <w:rtl/>
        </w:rPr>
        <w:t xml:space="preserve"> מעכב לה ללבונה, אלא אי בעי האי מקטר ברישא</w:t>
      </w:r>
      <w:r w:rsidR="00331826">
        <w:rPr>
          <w:rFonts w:ascii="David" w:hAnsi="David" w:cs="David" w:hint="cs"/>
          <w:sz w:val="24"/>
          <w:szCs w:val="24"/>
          <w:rtl/>
        </w:rPr>
        <w:t>,</w:t>
      </w:r>
      <w:r w:rsidRPr="00932C35">
        <w:rPr>
          <w:rFonts w:ascii="David" w:hAnsi="David" w:cs="David"/>
          <w:sz w:val="24"/>
          <w:szCs w:val="24"/>
          <w:rtl/>
        </w:rPr>
        <w:t xml:space="preserve"> ואי בעי האי מקטר ברישא.</w:t>
      </w:r>
      <w:r>
        <w:rPr>
          <w:rFonts w:ascii="David" w:hAnsi="David" w:cs="David" w:hint="cs"/>
          <w:sz w:val="24"/>
          <w:szCs w:val="24"/>
          <w:rtl/>
        </w:rPr>
        <w:t xml:space="preserve"> </w:t>
      </w:r>
    </w:p>
    <w:p w14:paraId="5C8028DA" w14:textId="222C9691" w:rsidR="004066FB" w:rsidRDefault="00932C35" w:rsidP="009634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כלומר ששתי האפשרויות טובות. </w:t>
      </w:r>
      <w:r w:rsidR="005F2503">
        <w:rPr>
          <w:rFonts w:asciiTheme="majorBidi" w:hAnsiTheme="majorBidi" w:cstheme="majorBidi" w:hint="cs"/>
          <w:sz w:val="24"/>
          <w:szCs w:val="24"/>
          <w:rtl/>
        </w:rPr>
        <w:t>אם כן הסוגיות חולקות</w:t>
      </w:r>
      <w:r w:rsidR="005F2503">
        <w:rPr>
          <w:rStyle w:val="a5"/>
          <w:rFonts w:asciiTheme="majorBidi" w:hAnsiTheme="majorBidi" w:cstheme="majorBidi"/>
          <w:sz w:val="24"/>
          <w:szCs w:val="24"/>
          <w:rtl/>
        </w:rPr>
        <w:footnoteReference w:id="6"/>
      </w:r>
      <w:r w:rsidR="005F2503">
        <w:rPr>
          <w:rFonts w:asciiTheme="majorBidi" w:hAnsiTheme="majorBidi" w:cstheme="majorBidi" w:hint="cs"/>
          <w:sz w:val="24"/>
          <w:szCs w:val="24"/>
          <w:rtl/>
        </w:rPr>
        <w:t xml:space="preserve">, או שהגמרא בסוטה נקטה אורחא </w:t>
      </w:r>
      <w:proofErr w:type="spellStart"/>
      <w:r w:rsidR="005F2503">
        <w:rPr>
          <w:rFonts w:asciiTheme="majorBidi" w:hAnsiTheme="majorBidi" w:cstheme="majorBidi" w:hint="cs"/>
          <w:sz w:val="24"/>
          <w:szCs w:val="24"/>
          <w:rtl/>
        </w:rPr>
        <w:t>דמילתא</w:t>
      </w:r>
      <w:proofErr w:type="spellEnd"/>
      <w:r w:rsidR="005F2503">
        <w:rPr>
          <w:rFonts w:asciiTheme="majorBidi" w:hAnsiTheme="majorBidi" w:cstheme="majorBidi" w:hint="cs"/>
          <w:sz w:val="24"/>
          <w:szCs w:val="24"/>
          <w:rtl/>
        </w:rPr>
        <w:t>, אך אין הכרח להקטירם יחד</w:t>
      </w:r>
      <w:r w:rsidR="005F2503">
        <w:rPr>
          <w:rStyle w:val="a5"/>
          <w:rFonts w:asciiTheme="majorBidi" w:hAnsiTheme="majorBidi" w:cstheme="majorBidi"/>
          <w:sz w:val="24"/>
          <w:szCs w:val="24"/>
          <w:rtl/>
        </w:rPr>
        <w:footnoteReference w:id="7"/>
      </w:r>
      <w:r w:rsidR="005F2503">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ניתן גם לחלק בין ההקטרה להקדשה: </w:t>
      </w:r>
    </w:p>
    <w:p w14:paraId="3BAC2D41" w14:textId="77777777" w:rsidR="00932C35" w:rsidRDefault="00932C35" w:rsidP="009634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w:t>
      </w:r>
      <w:r w:rsidR="002007A4">
        <w:rPr>
          <w:rFonts w:asciiTheme="majorBidi" w:hAnsiTheme="majorBidi" w:cstheme="majorBidi" w:hint="cs"/>
          <w:sz w:val="24"/>
          <w:szCs w:val="24"/>
          <w:rtl/>
        </w:rPr>
        <w:t>סוגיה</w:t>
      </w:r>
      <w:r>
        <w:rPr>
          <w:rFonts w:asciiTheme="majorBidi" w:hAnsiTheme="majorBidi" w:cstheme="majorBidi" w:hint="cs"/>
          <w:sz w:val="24"/>
          <w:szCs w:val="24"/>
          <w:rtl/>
        </w:rPr>
        <w:t xml:space="preserve"> </w:t>
      </w:r>
      <w:r w:rsidR="002007A4">
        <w:rPr>
          <w:rFonts w:asciiTheme="majorBidi" w:hAnsiTheme="majorBidi" w:cstheme="majorBidi" w:hint="cs"/>
          <w:sz w:val="24"/>
          <w:szCs w:val="24"/>
          <w:rtl/>
        </w:rPr>
        <w:t>ב</w:t>
      </w:r>
      <w:r>
        <w:rPr>
          <w:rFonts w:asciiTheme="majorBidi" w:hAnsiTheme="majorBidi" w:cstheme="majorBidi" w:hint="cs"/>
          <w:sz w:val="24"/>
          <w:szCs w:val="24"/>
          <w:rtl/>
        </w:rPr>
        <w:t>סוטה נאמר שיש צורך לקדש את הלבונה עם הקומץ בכלי שרת</w:t>
      </w:r>
      <w:r>
        <w:rPr>
          <w:rStyle w:val="a5"/>
          <w:rFonts w:asciiTheme="majorBidi" w:hAnsiTheme="majorBidi" w:cstheme="majorBidi"/>
          <w:sz w:val="24"/>
          <w:szCs w:val="24"/>
          <w:rtl/>
        </w:rPr>
        <w:footnoteReference w:id="8"/>
      </w:r>
      <w:r>
        <w:rPr>
          <w:rFonts w:asciiTheme="majorBidi" w:hAnsiTheme="majorBidi" w:cstheme="majorBidi" w:hint="cs"/>
          <w:sz w:val="24"/>
          <w:szCs w:val="24"/>
          <w:rtl/>
        </w:rPr>
        <w:t>. אין זה אומר בהכרח שיש להקטירם יחד</w:t>
      </w:r>
      <w:r>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w:t>
      </w:r>
    </w:p>
    <w:p w14:paraId="5750EC55" w14:textId="77777777" w:rsidR="005F2503" w:rsidRPr="00C26014" w:rsidRDefault="005F2503" w:rsidP="0096346A">
      <w:pPr>
        <w:pStyle w:val="a6"/>
        <w:numPr>
          <w:ilvl w:val="0"/>
          <w:numId w:val="2"/>
        </w:numPr>
        <w:spacing w:after="0" w:line="360" w:lineRule="auto"/>
        <w:rPr>
          <w:rFonts w:asciiTheme="majorBidi" w:hAnsiTheme="majorBidi" w:cstheme="majorBidi"/>
          <w:b/>
          <w:bCs/>
          <w:sz w:val="24"/>
          <w:szCs w:val="24"/>
          <w:rtl/>
        </w:rPr>
      </w:pPr>
      <w:r w:rsidRPr="00C26014">
        <w:rPr>
          <w:rFonts w:asciiTheme="majorBidi" w:hAnsiTheme="majorBidi" w:cstheme="majorBidi" w:hint="cs"/>
          <w:b/>
          <w:bCs/>
          <w:sz w:val="24"/>
          <w:szCs w:val="24"/>
          <w:rtl/>
        </w:rPr>
        <w:t>הסברי האמוראים</w:t>
      </w:r>
      <w:r w:rsidR="00F2791C">
        <w:rPr>
          <w:rFonts w:asciiTheme="majorBidi" w:hAnsiTheme="majorBidi" w:cstheme="majorBidi" w:hint="cs"/>
          <w:b/>
          <w:bCs/>
          <w:sz w:val="24"/>
          <w:szCs w:val="24"/>
          <w:rtl/>
        </w:rPr>
        <w:t xml:space="preserve"> לדינו של רבי ינאי</w:t>
      </w:r>
    </w:p>
    <w:p w14:paraId="56874AED" w14:textId="3C7C90AA" w:rsidR="005F2503" w:rsidRDefault="00331826" w:rsidP="0096346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ינאי פוסל ליקוט לבונה בזר. </w:t>
      </w:r>
      <w:r w:rsidR="005F2503">
        <w:rPr>
          <w:rFonts w:asciiTheme="majorBidi" w:hAnsiTheme="majorBidi" w:cstheme="majorBidi" w:hint="cs"/>
          <w:sz w:val="24"/>
          <w:szCs w:val="24"/>
          <w:rtl/>
        </w:rPr>
        <w:t>רבי ירמיה מ</w:t>
      </w:r>
      <w:r w:rsidR="00783586">
        <w:rPr>
          <w:rFonts w:asciiTheme="majorBidi" w:hAnsiTheme="majorBidi" w:cstheme="majorBidi" w:hint="cs"/>
          <w:sz w:val="24"/>
          <w:szCs w:val="24"/>
          <w:rtl/>
        </w:rPr>
        <w:t>סביר</w:t>
      </w:r>
      <w:r w:rsidR="005F2503">
        <w:rPr>
          <w:rFonts w:asciiTheme="majorBidi" w:hAnsiTheme="majorBidi" w:cstheme="majorBidi" w:hint="cs"/>
          <w:sz w:val="24"/>
          <w:szCs w:val="24"/>
          <w:rtl/>
        </w:rPr>
        <w:t xml:space="preserve"> שליקוט </w:t>
      </w:r>
      <w:r w:rsidR="00BD0ED3">
        <w:rPr>
          <w:rFonts w:asciiTheme="majorBidi" w:hAnsiTheme="majorBidi" w:cstheme="majorBidi" w:hint="cs"/>
          <w:sz w:val="24"/>
          <w:szCs w:val="24"/>
          <w:rtl/>
        </w:rPr>
        <w:t xml:space="preserve">הוא </w:t>
      </w:r>
      <w:r w:rsidR="005F2503">
        <w:rPr>
          <w:rFonts w:asciiTheme="majorBidi" w:hAnsiTheme="majorBidi" w:cstheme="majorBidi" w:hint="cs"/>
          <w:sz w:val="24"/>
          <w:szCs w:val="24"/>
          <w:rtl/>
        </w:rPr>
        <w:t xml:space="preserve">הולכה ביד, </w:t>
      </w:r>
      <w:r w:rsidR="00BD0ED3">
        <w:rPr>
          <w:rFonts w:asciiTheme="majorBidi" w:hAnsiTheme="majorBidi" w:cstheme="majorBidi" w:hint="cs"/>
          <w:sz w:val="24"/>
          <w:szCs w:val="24"/>
          <w:rtl/>
        </w:rPr>
        <w:t xml:space="preserve">שגם לה דיני הולכה. </w:t>
      </w:r>
      <w:r w:rsidR="005F2503">
        <w:rPr>
          <w:rFonts w:asciiTheme="majorBidi" w:hAnsiTheme="majorBidi" w:cstheme="majorBidi" w:hint="cs"/>
          <w:sz w:val="24"/>
          <w:szCs w:val="24"/>
          <w:rtl/>
        </w:rPr>
        <w:t xml:space="preserve"> הולכה </w:t>
      </w:r>
      <w:r w:rsidR="00BD0ED3">
        <w:rPr>
          <w:rFonts w:asciiTheme="majorBidi" w:hAnsiTheme="majorBidi" w:cstheme="majorBidi" w:hint="cs"/>
          <w:sz w:val="24"/>
          <w:szCs w:val="24"/>
          <w:rtl/>
        </w:rPr>
        <w:t xml:space="preserve"> פסולה</w:t>
      </w:r>
      <w:r w:rsidR="005F2503">
        <w:rPr>
          <w:rFonts w:asciiTheme="majorBidi" w:hAnsiTheme="majorBidi" w:cstheme="majorBidi" w:hint="cs"/>
          <w:sz w:val="24"/>
          <w:szCs w:val="24"/>
          <w:rtl/>
        </w:rPr>
        <w:t xml:space="preserve"> בזר</w:t>
      </w:r>
      <w:commentRangeStart w:id="0"/>
      <w:r w:rsidR="00F2791C">
        <w:rPr>
          <w:rStyle w:val="a5"/>
          <w:rFonts w:asciiTheme="majorBidi" w:hAnsiTheme="majorBidi" w:cstheme="majorBidi"/>
          <w:sz w:val="24"/>
          <w:szCs w:val="24"/>
          <w:rtl/>
        </w:rPr>
        <w:footnoteReference w:id="10"/>
      </w:r>
      <w:commentRangeEnd w:id="0"/>
      <w:r w:rsidR="00C955AD">
        <w:rPr>
          <w:rStyle w:val="ac"/>
          <w:rtl/>
        </w:rPr>
        <w:commentReference w:id="0"/>
      </w:r>
      <w:r w:rsidR="005F2503">
        <w:rPr>
          <w:rFonts w:asciiTheme="majorBidi" w:hAnsiTheme="majorBidi" w:cstheme="majorBidi" w:hint="cs"/>
          <w:sz w:val="24"/>
          <w:szCs w:val="24"/>
          <w:rtl/>
        </w:rPr>
        <w:t xml:space="preserve">. רב מרי מוכיח </w:t>
      </w:r>
      <w:r>
        <w:rPr>
          <w:rFonts w:asciiTheme="majorBidi" w:hAnsiTheme="majorBidi" w:cstheme="majorBidi" w:hint="cs"/>
          <w:sz w:val="24"/>
          <w:szCs w:val="24"/>
          <w:rtl/>
        </w:rPr>
        <w:t>פסול זר</w:t>
      </w:r>
      <w:r w:rsidR="005F2503">
        <w:rPr>
          <w:rFonts w:asciiTheme="majorBidi" w:hAnsiTheme="majorBidi" w:cstheme="majorBidi" w:hint="cs"/>
          <w:sz w:val="24"/>
          <w:szCs w:val="24"/>
          <w:rtl/>
        </w:rPr>
        <w:t xml:space="preserve"> מכך שנתינה בכלי גם היא אסורה בזר. נראה שכיוון שהיא עבודה חשובה,</w:t>
      </w:r>
      <w:r w:rsidR="000620EB">
        <w:rPr>
          <w:rFonts w:asciiTheme="majorBidi" w:hAnsiTheme="majorBidi" w:cstheme="majorBidi" w:hint="cs"/>
          <w:sz w:val="24"/>
          <w:szCs w:val="24"/>
          <w:rtl/>
        </w:rPr>
        <w:t xml:space="preserve"> שאי אפשר בלעדיה,</w:t>
      </w:r>
      <w:r w:rsidR="005F2503">
        <w:rPr>
          <w:rFonts w:asciiTheme="majorBidi" w:hAnsiTheme="majorBidi" w:cstheme="majorBidi" w:hint="cs"/>
          <w:sz w:val="24"/>
          <w:szCs w:val="24"/>
          <w:rtl/>
        </w:rPr>
        <w:t xml:space="preserve"> השוו אותה</w:t>
      </w:r>
      <w:r w:rsidR="00774A4B">
        <w:rPr>
          <w:rFonts w:asciiTheme="majorBidi" w:hAnsiTheme="majorBidi" w:cstheme="majorBidi" w:hint="cs"/>
          <w:sz w:val="24"/>
          <w:szCs w:val="24"/>
          <w:rtl/>
        </w:rPr>
        <w:t xml:space="preserve"> </w:t>
      </w:r>
      <w:r w:rsidR="005F2503">
        <w:rPr>
          <w:rFonts w:asciiTheme="majorBidi" w:hAnsiTheme="majorBidi" w:cstheme="majorBidi" w:hint="cs"/>
          <w:sz w:val="24"/>
          <w:szCs w:val="24"/>
          <w:rtl/>
        </w:rPr>
        <w:t>לקבלה. אם כן, גם ליקוט לבונה, בהיותו עבודה חשובה</w:t>
      </w:r>
      <w:r w:rsidR="000620EB">
        <w:rPr>
          <w:rFonts w:asciiTheme="majorBidi" w:hAnsiTheme="majorBidi" w:cstheme="majorBidi" w:hint="cs"/>
          <w:sz w:val="24"/>
          <w:szCs w:val="24"/>
          <w:rtl/>
        </w:rPr>
        <w:t xml:space="preserve"> שאי אפשר בלעדיה</w:t>
      </w:r>
      <w:r w:rsidR="005F2503">
        <w:rPr>
          <w:rFonts w:asciiTheme="majorBidi" w:hAnsiTheme="majorBidi" w:cstheme="majorBidi" w:hint="cs"/>
          <w:sz w:val="24"/>
          <w:szCs w:val="24"/>
          <w:rtl/>
        </w:rPr>
        <w:t>, הרי היא כהולכה</w:t>
      </w:r>
      <w:r w:rsidR="00F769E5">
        <w:rPr>
          <w:rStyle w:val="a5"/>
          <w:rFonts w:asciiTheme="majorBidi" w:hAnsiTheme="majorBidi" w:cstheme="majorBidi"/>
          <w:sz w:val="24"/>
          <w:szCs w:val="24"/>
          <w:rtl/>
        </w:rPr>
        <w:footnoteReference w:id="11"/>
      </w:r>
      <w:r w:rsidR="000620EB">
        <w:rPr>
          <w:rFonts w:asciiTheme="majorBidi" w:hAnsiTheme="majorBidi" w:cstheme="majorBidi" w:hint="cs"/>
          <w:sz w:val="24"/>
          <w:szCs w:val="24"/>
          <w:rtl/>
        </w:rPr>
        <w:t xml:space="preserve">. </w:t>
      </w:r>
      <w:r w:rsidR="00C955AD">
        <w:rPr>
          <w:rFonts w:asciiTheme="majorBidi" w:hAnsiTheme="majorBidi" w:cstheme="majorBidi" w:hint="cs"/>
          <w:sz w:val="24"/>
          <w:szCs w:val="24"/>
          <w:rtl/>
        </w:rPr>
        <w:t xml:space="preserve">הגמרא דוחה </w:t>
      </w:r>
      <w:r w:rsidR="000620EB">
        <w:rPr>
          <w:rFonts w:asciiTheme="majorBidi" w:hAnsiTheme="majorBidi" w:cstheme="majorBidi" w:hint="cs"/>
          <w:sz w:val="24"/>
          <w:szCs w:val="24"/>
          <w:rtl/>
        </w:rPr>
        <w:t xml:space="preserve">טיעון זה באומרה, שנתינה בכלי דומה לקבלה </w:t>
      </w:r>
      <w:r w:rsidR="00C955AD">
        <w:rPr>
          <w:rFonts w:asciiTheme="majorBidi" w:hAnsiTheme="majorBidi" w:cstheme="majorBidi" w:hint="cs"/>
          <w:sz w:val="24"/>
          <w:szCs w:val="24"/>
          <w:rtl/>
        </w:rPr>
        <w:t>ואפשר</w:t>
      </w:r>
      <w:r w:rsidR="000620EB">
        <w:rPr>
          <w:rFonts w:asciiTheme="majorBidi" w:hAnsiTheme="majorBidi" w:cstheme="majorBidi" w:hint="cs"/>
          <w:sz w:val="24"/>
          <w:szCs w:val="24"/>
          <w:rtl/>
        </w:rPr>
        <w:t xml:space="preserve"> ללמוד את הלכותיה מקבלה ישירות, </w:t>
      </w:r>
      <w:r w:rsidR="00C955AD">
        <w:rPr>
          <w:rFonts w:asciiTheme="majorBidi" w:hAnsiTheme="majorBidi" w:cstheme="majorBidi" w:hint="cs"/>
          <w:sz w:val="24"/>
          <w:szCs w:val="24"/>
          <w:rtl/>
        </w:rPr>
        <w:t>ואין צורך ב</w:t>
      </w:r>
      <w:r w:rsidR="000620EB">
        <w:rPr>
          <w:rFonts w:asciiTheme="majorBidi" w:hAnsiTheme="majorBidi" w:cstheme="majorBidi" w:hint="cs"/>
          <w:sz w:val="24"/>
          <w:szCs w:val="24"/>
          <w:rtl/>
        </w:rPr>
        <w:t>כלל של 'עבודות חשובות'.</w:t>
      </w:r>
    </w:p>
    <w:p w14:paraId="1F523BF8" w14:textId="4CC36BE4" w:rsidR="00F86A55" w:rsidRDefault="000620EB" w:rsidP="0096346A">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השאלה היא האם קיימת נפקא מינ</w:t>
      </w:r>
      <w:r w:rsidR="00C955AD">
        <w:rPr>
          <w:rFonts w:asciiTheme="majorBidi" w:hAnsiTheme="majorBidi" w:cstheme="majorBidi" w:hint="cs"/>
          <w:sz w:val="24"/>
          <w:szCs w:val="24"/>
          <w:rtl/>
        </w:rPr>
        <w:t>ה</w:t>
      </w:r>
      <w:r w:rsidR="00774A4B">
        <w:rPr>
          <w:rFonts w:asciiTheme="majorBidi" w:hAnsiTheme="majorBidi" w:cstheme="majorBidi" w:hint="cs"/>
          <w:sz w:val="24"/>
          <w:szCs w:val="24"/>
          <w:rtl/>
        </w:rPr>
        <w:t xml:space="preserve"> </w:t>
      </w:r>
      <w:r>
        <w:rPr>
          <w:rFonts w:asciiTheme="majorBidi" w:hAnsiTheme="majorBidi" w:cstheme="majorBidi" w:hint="cs"/>
          <w:sz w:val="24"/>
          <w:szCs w:val="24"/>
          <w:rtl/>
        </w:rPr>
        <w:t>בין רבי ירמיה לבין רב מרי.</w:t>
      </w:r>
      <w:r w:rsidR="00774A4B">
        <w:rPr>
          <w:rFonts w:asciiTheme="majorBidi" w:hAnsiTheme="majorBidi" w:cstheme="majorBidi" w:hint="cs"/>
          <w:sz w:val="24"/>
          <w:szCs w:val="24"/>
          <w:rtl/>
        </w:rPr>
        <w:t xml:space="preserve"> </w:t>
      </w:r>
      <w:r w:rsidR="00C26014">
        <w:rPr>
          <w:rFonts w:asciiTheme="majorBidi" w:hAnsiTheme="majorBidi" w:cstheme="majorBidi" w:hint="cs"/>
          <w:sz w:val="24"/>
          <w:szCs w:val="24"/>
          <w:rtl/>
        </w:rPr>
        <w:t>נביא מספר השלכות לשאלה זו:</w:t>
      </w:r>
    </w:p>
    <w:p w14:paraId="358999BC" w14:textId="29F42B23" w:rsidR="00C955AD" w:rsidRPr="00BD0ED3" w:rsidRDefault="00C955AD" w:rsidP="00C955AD">
      <w:pPr>
        <w:spacing w:after="0" w:line="360" w:lineRule="auto"/>
        <w:rPr>
          <w:rFonts w:asciiTheme="majorBidi" w:hAnsiTheme="majorBidi" w:cstheme="majorBidi"/>
          <w:sz w:val="24"/>
          <w:szCs w:val="24"/>
          <w:rtl/>
        </w:rPr>
      </w:pPr>
      <w:r w:rsidRPr="00C955AD">
        <w:rPr>
          <w:rFonts w:asciiTheme="majorBidi" w:hAnsiTheme="majorBidi" w:cstheme="majorBidi" w:hint="cs"/>
          <w:sz w:val="24"/>
          <w:szCs w:val="24"/>
          <w:rtl/>
        </w:rPr>
        <w:t>א.</w:t>
      </w:r>
      <w:r>
        <w:rPr>
          <w:rFonts w:asciiTheme="majorBidi" w:hAnsiTheme="majorBidi" w:cstheme="majorBidi" w:hint="cs"/>
          <w:sz w:val="24"/>
          <w:szCs w:val="24"/>
          <w:rtl/>
        </w:rPr>
        <w:t xml:space="preserve"> </w:t>
      </w:r>
      <w:r w:rsidR="00F86A55" w:rsidRPr="00BD0ED3">
        <w:rPr>
          <w:rFonts w:asciiTheme="majorBidi" w:hAnsiTheme="majorBidi" w:cstheme="majorBidi" w:hint="eastAsia"/>
          <w:sz w:val="24"/>
          <w:szCs w:val="24"/>
          <w:rtl/>
        </w:rPr>
        <w:t>רש</w:t>
      </w:r>
      <w:r w:rsidR="00F86A55" w:rsidRPr="00BD0ED3">
        <w:rPr>
          <w:rFonts w:asciiTheme="majorBidi" w:hAnsiTheme="majorBidi" w:cstheme="majorBidi"/>
          <w:sz w:val="24"/>
          <w:szCs w:val="24"/>
          <w:rtl/>
        </w:rPr>
        <w:t xml:space="preserve">"י מסביר שלקיטת הלבונה מהווה עבודה </w:t>
      </w:r>
      <w:r w:rsidR="00F86A55" w:rsidRPr="00BD0ED3">
        <w:rPr>
          <w:rFonts w:asciiTheme="majorBidi" w:hAnsiTheme="majorBidi" w:cs="Times New Roman"/>
          <w:sz w:val="24"/>
          <w:szCs w:val="24"/>
          <w:rtl/>
        </w:rPr>
        <w:t>"</w:t>
      </w:r>
      <w:r w:rsidR="00F86A55" w:rsidRPr="00BD0ED3">
        <w:rPr>
          <w:rFonts w:asciiTheme="majorBidi" w:hAnsiTheme="majorBidi" w:cs="Times New Roman"/>
          <w:b/>
          <w:bCs/>
          <w:sz w:val="24"/>
          <w:szCs w:val="24"/>
          <w:rtl/>
        </w:rPr>
        <w:t>שזה שליקטה ונתנה לכהן מיעט בהילוך הכהן</w:t>
      </w:r>
      <w:r w:rsidR="00F86A55">
        <w:rPr>
          <w:rStyle w:val="a5"/>
          <w:rFonts w:asciiTheme="majorBidi" w:hAnsiTheme="majorBidi" w:cstheme="majorBidi"/>
          <w:sz w:val="24"/>
          <w:szCs w:val="24"/>
          <w:rtl/>
        </w:rPr>
        <w:footnoteReference w:id="12"/>
      </w:r>
      <w:r w:rsidR="00F86A55" w:rsidRPr="00BD0ED3">
        <w:rPr>
          <w:rFonts w:asciiTheme="majorBidi" w:hAnsiTheme="majorBidi" w:cstheme="majorBidi"/>
          <w:sz w:val="24"/>
          <w:szCs w:val="24"/>
          <w:rtl/>
        </w:rPr>
        <w:t>".</w:t>
      </w:r>
      <w:r w:rsidR="00774A4B">
        <w:rPr>
          <w:rFonts w:asciiTheme="majorBidi" w:hAnsiTheme="majorBidi" w:cstheme="majorBidi" w:hint="cs"/>
          <w:sz w:val="24"/>
          <w:szCs w:val="24"/>
          <w:rtl/>
        </w:rPr>
        <w:t xml:space="preserve"> </w:t>
      </w:r>
      <w:r w:rsidR="00F86A55" w:rsidRPr="00BD0ED3">
        <w:rPr>
          <w:rFonts w:asciiTheme="majorBidi" w:hAnsiTheme="majorBidi" w:cstheme="majorBidi" w:hint="eastAsia"/>
          <w:sz w:val="24"/>
          <w:szCs w:val="24"/>
          <w:rtl/>
        </w:rPr>
        <w:t>אולם</w:t>
      </w:r>
      <w:r w:rsidR="00F86A55" w:rsidRPr="00BD0ED3">
        <w:rPr>
          <w:rFonts w:asciiTheme="majorBidi" w:hAnsiTheme="majorBidi" w:cstheme="majorBidi"/>
          <w:sz w:val="24"/>
          <w:szCs w:val="24"/>
          <w:rtl/>
        </w:rPr>
        <w:t xml:space="preserve"> בהמשך נאמר שזו עבודה חשובה, אם כן מדוע ישנו צורך בנתינה </w:t>
      </w:r>
      <w:r w:rsidR="00B13128" w:rsidRPr="00BD0ED3">
        <w:rPr>
          <w:rFonts w:asciiTheme="majorBidi" w:hAnsiTheme="majorBidi" w:cstheme="majorBidi" w:hint="eastAsia"/>
          <w:sz w:val="24"/>
          <w:szCs w:val="24"/>
          <w:rtl/>
        </w:rPr>
        <w:t>לכהן</w:t>
      </w:r>
      <w:r w:rsidR="00B13128" w:rsidRPr="00BD0ED3">
        <w:rPr>
          <w:rFonts w:asciiTheme="majorBidi" w:hAnsiTheme="majorBidi" w:cstheme="majorBidi"/>
          <w:sz w:val="24"/>
          <w:szCs w:val="24"/>
          <w:rtl/>
        </w:rPr>
        <w:t xml:space="preserve">? </w:t>
      </w:r>
      <w:r w:rsidR="00B13128" w:rsidRPr="00BD0ED3">
        <w:rPr>
          <w:rFonts w:asciiTheme="majorBidi" w:hAnsiTheme="majorBidi" w:cstheme="majorBidi" w:hint="eastAsia"/>
          <w:sz w:val="24"/>
          <w:szCs w:val="24"/>
          <w:rtl/>
        </w:rPr>
        <w:t>י</w:t>
      </w:r>
      <w:r w:rsidRPr="00BD0ED3">
        <w:rPr>
          <w:rFonts w:asciiTheme="majorBidi" w:hAnsiTheme="majorBidi" w:cstheme="majorBidi" w:hint="eastAsia"/>
          <w:sz w:val="24"/>
          <w:szCs w:val="24"/>
          <w:rtl/>
        </w:rPr>
        <w:t>י</w:t>
      </w:r>
      <w:r w:rsidR="00B13128" w:rsidRPr="00BD0ED3">
        <w:rPr>
          <w:rFonts w:asciiTheme="majorBidi" w:hAnsiTheme="majorBidi" w:cstheme="majorBidi" w:hint="eastAsia"/>
          <w:sz w:val="24"/>
          <w:szCs w:val="24"/>
          <w:rtl/>
        </w:rPr>
        <w:t>תכן</w:t>
      </w:r>
      <w:r w:rsidR="00B13128" w:rsidRPr="00BD0ED3">
        <w:rPr>
          <w:rFonts w:asciiTheme="majorBidi" w:hAnsiTheme="majorBidi" w:cstheme="majorBidi"/>
          <w:sz w:val="24"/>
          <w:szCs w:val="24"/>
          <w:rtl/>
        </w:rPr>
        <w:t xml:space="preserve"> </w:t>
      </w:r>
      <w:r w:rsidR="00B13128" w:rsidRPr="00BD0ED3">
        <w:rPr>
          <w:rFonts w:asciiTheme="majorBidi" w:hAnsiTheme="majorBidi" w:cstheme="majorBidi" w:hint="eastAsia"/>
          <w:sz w:val="24"/>
          <w:szCs w:val="24"/>
          <w:rtl/>
        </w:rPr>
        <w:t>שזו</w:t>
      </w:r>
      <w:r w:rsidR="00B13128" w:rsidRPr="00BD0ED3">
        <w:rPr>
          <w:rFonts w:asciiTheme="majorBidi" w:hAnsiTheme="majorBidi" w:cstheme="majorBidi"/>
          <w:sz w:val="24"/>
          <w:szCs w:val="24"/>
          <w:rtl/>
        </w:rPr>
        <w:t xml:space="preserve"> </w:t>
      </w:r>
      <w:r w:rsidR="00B13128" w:rsidRPr="00BD0ED3">
        <w:rPr>
          <w:rFonts w:asciiTheme="majorBidi" w:hAnsiTheme="majorBidi" w:cstheme="majorBidi" w:hint="eastAsia"/>
          <w:sz w:val="24"/>
          <w:szCs w:val="24"/>
          <w:rtl/>
        </w:rPr>
        <w:t>מחלוקת</w:t>
      </w:r>
      <w:r w:rsidR="00B13128" w:rsidRPr="00BD0ED3">
        <w:rPr>
          <w:rFonts w:asciiTheme="majorBidi" w:hAnsiTheme="majorBidi" w:cstheme="majorBidi"/>
          <w:sz w:val="24"/>
          <w:szCs w:val="24"/>
          <w:rtl/>
        </w:rPr>
        <w:t xml:space="preserve"> </w:t>
      </w:r>
      <w:r w:rsidR="00B13128" w:rsidRPr="00BD0ED3">
        <w:rPr>
          <w:rFonts w:asciiTheme="majorBidi" w:hAnsiTheme="majorBidi" w:cstheme="majorBidi" w:hint="eastAsia"/>
          <w:sz w:val="24"/>
          <w:szCs w:val="24"/>
          <w:rtl/>
        </w:rPr>
        <w:t>האמוראים</w:t>
      </w:r>
      <w:r w:rsidR="00B13128" w:rsidRPr="00BD0ED3">
        <w:rPr>
          <w:rFonts w:asciiTheme="majorBidi" w:hAnsiTheme="majorBidi" w:cstheme="majorBidi"/>
          <w:sz w:val="24"/>
          <w:szCs w:val="24"/>
          <w:rtl/>
        </w:rPr>
        <w:t>:</w:t>
      </w:r>
      <w:r w:rsidR="00774A4B">
        <w:rPr>
          <w:rFonts w:asciiTheme="majorBidi" w:hAnsiTheme="majorBidi" w:cstheme="majorBidi" w:hint="cs"/>
          <w:sz w:val="24"/>
          <w:szCs w:val="24"/>
          <w:rtl/>
        </w:rPr>
        <w:t xml:space="preserve"> </w:t>
      </w:r>
    </w:p>
    <w:p w14:paraId="30D352B7" w14:textId="668FE32B" w:rsidR="00607445" w:rsidRPr="00BD0ED3" w:rsidRDefault="00F86A55" w:rsidP="00BD0ED3">
      <w:pPr>
        <w:ind w:left="720"/>
        <w:rPr>
          <w:rtl/>
        </w:rPr>
      </w:pPr>
      <w:r w:rsidRPr="00BD0ED3">
        <w:rPr>
          <w:rFonts w:ascii="David" w:hAnsi="David" w:cs="David"/>
          <w:rtl/>
        </w:rPr>
        <w:t>דברי רש"י כאן הנם רק לדברי רב ירמיה</w:t>
      </w:r>
      <w:r w:rsidR="00331826" w:rsidRPr="00BD0ED3">
        <w:rPr>
          <w:rFonts w:ascii="David" w:hAnsi="David" w:cs="David"/>
          <w:rtl/>
        </w:rPr>
        <w:t>,</w:t>
      </w:r>
      <w:r w:rsidRPr="00BD0ED3">
        <w:rPr>
          <w:rFonts w:ascii="David" w:hAnsi="David" w:cs="David"/>
          <w:rtl/>
        </w:rPr>
        <w:t xml:space="preserve"> המדמה את מעשה הליקוט למעשה ההולכה והיינו משום הנתינה לכהן</w:t>
      </w:r>
      <w:r w:rsidR="00331826" w:rsidRPr="00BD0ED3">
        <w:rPr>
          <w:rFonts w:ascii="David" w:hAnsi="David" w:cs="David"/>
          <w:rtl/>
        </w:rPr>
        <w:t>.</w:t>
      </w:r>
      <w:r w:rsidRPr="00BD0ED3">
        <w:rPr>
          <w:rFonts w:ascii="David" w:hAnsi="David" w:cs="David"/>
          <w:rtl/>
        </w:rPr>
        <w:t xml:space="preserve"> אבל לדברי רב מרי שהוא מחמת היותו עבודה חשובה, אין צריך לנתינה זו אלא הליקוט מצד עצמו חשוב הולכה</w:t>
      </w:r>
      <w:r w:rsidR="00B13128">
        <w:rPr>
          <w:rStyle w:val="a5"/>
          <w:rFonts w:ascii="David" w:hAnsi="David" w:cs="David"/>
          <w:sz w:val="24"/>
          <w:szCs w:val="24"/>
          <w:rtl/>
        </w:rPr>
        <w:footnoteReference w:id="13"/>
      </w:r>
      <w:r w:rsidRPr="00BD0ED3">
        <w:rPr>
          <w:rFonts w:ascii="David" w:hAnsi="David" w:cs="David"/>
          <w:rtl/>
        </w:rPr>
        <w:t>.</w:t>
      </w:r>
      <w:r w:rsidR="00B13128" w:rsidRPr="00BD0ED3">
        <w:rPr>
          <w:rtl/>
        </w:rPr>
        <w:t xml:space="preserve"> </w:t>
      </w:r>
    </w:p>
    <w:p w14:paraId="3619041B" w14:textId="6F14C08B" w:rsidR="00607445" w:rsidRDefault="00607445" w:rsidP="003318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 לכאורה</w:t>
      </w:r>
      <w:r w:rsidR="00C955AD">
        <w:rPr>
          <w:rFonts w:asciiTheme="majorBidi" w:hAnsiTheme="majorBidi" w:cstheme="majorBidi" w:hint="cs"/>
          <w:sz w:val="24"/>
          <w:szCs w:val="24"/>
          <w:rtl/>
        </w:rPr>
        <w:t xml:space="preserve"> יש סתירה בהלכה כאן.</w:t>
      </w:r>
      <w:r>
        <w:rPr>
          <w:rFonts w:asciiTheme="majorBidi" w:hAnsiTheme="majorBidi" w:cstheme="majorBidi" w:hint="cs"/>
          <w:sz w:val="24"/>
          <w:szCs w:val="24"/>
          <w:rtl/>
        </w:rPr>
        <w:t xml:space="preserve"> </w:t>
      </w:r>
      <w:r w:rsidR="00C955AD">
        <w:rPr>
          <w:rFonts w:asciiTheme="majorBidi" w:hAnsiTheme="majorBidi" w:cstheme="majorBidi" w:hint="cs"/>
          <w:sz w:val="24"/>
          <w:szCs w:val="24"/>
          <w:rtl/>
        </w:rPr>
        <w:t xml:space="preserve">מחד, </w:t>
      </w:r>
      <w:r w:rsidR="00723851">
        <w:rPr>
          <w:rFonts w:asciiTheme="majorBidi" w:hAnsiTheme="majorBidi" w:cstheme="majorBidi" w:hint="cs"/>
          <w:sz w:val="24"/>
          <w:szCs w:val="24"/>
          <w:rtl/>
        </w:rPr>
        <w:t>הרמב"ם פוסק כרבי ינאי:</w:t>
      </w:r>
    </w:p>
    <w:p w14:paraId="1D2DD74A" w14:textId="417C30D0" w:rsidR="00C955AD" w:rsidRDefault="00723851" w:rsidP="00BD0ED3">
      <w:pPr>
        <w:spacing w:after="0" w:line="360" w:lineRule="auto"/>
        <w:ind w:left="720"/>
        <w:rPr>
          <w:rFonts w:asciiTheme="majorBidi" w:hAnsiTheme="majorBidi" w:cstheme="majorBidi"/>
          <w:sz w:val="24"/>
          <w:szCs w:val="24"/>
          <w:rtl/>
        </w:rPr>
      </w:pPr>
      <w:r w:rsidRPr="0081420E">
        <w:rPr>
          <w:rFonts w:ascii="David" w:hAnsi="David" w:cs="David"/>
          <w:sz w:val="24"/>
          <w:szCs w:val="24"/>
          <w:rtl/>
        </w:rPr>
        <w:t xml:space="preserve">כל המנחות שקמצן אחד מן </w:t>
      </w:r>
      <w:proofErr w:type="spellStart"/>
      <w:r w:rsidRPr="0081420E">
        <w:rPr>
          <w:rFonts w:ascii="David" w:hAnsi="David" w:cs="David"/>
          <w:sz w:val="24"/>
          <w:szCs w:val="24"/>
          <w:rtl/>
        </w:rPr>
        <w:t>הפסולין</w:t>
      </w:r>
      <w:proofErr w:type="spellEnd"/>
      <w:r w:rsidRPr="0081420E">
        <w:rPr>
          <w:rFonts w:ascii="David" w:hAnsi="David" w:cs="David"/>
          <w:sz w:val="24"/>
          <w:szCs w:val="24"/>
          <w:rtl/>
        </w:rPr>
        <w:t xml:space="preserve"> לעבודה הרי הם פסולות, וכן אם לקט הלבונה פסל אף על פי שלא קמץ</w:t>
      </w:r>
      <w:r w:rsidRPr="0081420E">
        <w:rPr>
          <w:rStyle w:val="a5"/>
          <w:rFonts w:ascii="David" w:hAnsi="David" w:cs="David"/>
          <w:sz w:val="24"/>
          <w:szCs w:val="24"/>
          <w:rtl/>
        </w:rPr>
        <w:footnoteReference w:id="14"/>
      </w:r>
      <w:r w:rsidRPr="0081420E">
        <w:rPr>
          <w:rFonts w:ascii="David" w:hAnsi="David" w:cs="David"/>
          <w:sz w:val="24"/>
          <w:szCs w:val="24"/>
          <w:rtl/>
        </w:rPr>
        <w:t>.</w:t>
      </w:r>
      <w:r w:rsidR="0081420E">
        <w:rPr>
          <w:rFonts w:ascii="David" w:hAnsi="David" w:cs="David" w:hint="cs"/>
          <w:sz w:val="24"/>
          <w:szCs w:val="24"/>
          <w:rtl/>
        </w:rPr>
        <w:t xml:space="preserve"> </w:t>
      </w:r>
      <w:r w:rsidR="00BD0ED3">
        <w:rPr>
          <w:rFonts w:asciiTheme="majorBidi" w:hAnsiTheme="majorBidi" w:cstheme="majorBidi" w:hint="cs"/>
          <w:sz w:val="24"/>
          <w:szCs w:val="24"/>
          <w:rtl/>
        </w:rPr>
        <w:t xml:space="preserve">לפחות לפי רבי ירמיה הטעם הוא שליקוט לבונה הרי הוא כהולכה. </w:t>
      </w:r>
    </w:p>
    <w:p w14:paraId="22113BAE" w14:textId="546963F1" w:rsidR="00BD0ED3" w:rsidRDefault="00BD0ED3" w:rsidP="003318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אולם </w:t>
      </w:r>
      <w:r w:rsidR="0081420E" w:rsidRPr="0081420E">
        <w:rPr>
          <w:rFonts w:asciiTheme="majorBidi" w:hAnsiTheme="majorBidi" w:cstheme="majorBidi"/>
          <w:sz w:val="24"/>
          <w:szCs w:val="24"/>
          <w:rtl/>
        </w:rPr>
        <w:t>מאידך פוסק הרמב"ם ש</w:t>
      </w:r>
      <w:r w:rsidR="0081420E">
        <w:rPr>
          <w:rFonts w:ascii="David" w:hAnsi="David" w:cs="David" w:hint="cs"/>
          <w:sz w:val="24"/>
          <w:szCs w:val="24"/>
          <w:rtl/>
        </w:rPr>
        <w:t>"</w:t>
      </w:r>
      <w:r w:rsidR="0081420E" w:rsidRPr="0081420E">
        <w:rPr>
          <w:rFonts w:ascii="David" w:hAnsi="David" w:cs="David"/>
          <w:sz w:val="24"/>
          <w:szCs w:val="24"/>
          <w:rtl/>
        </w:rPr>
        <w:t>הולכה שלא ברגל אינה הולכה</w:t>
      </w:r>
      <w:commentRangeStart w:id="1"/>
      <w:r w:rsidR="0081420E">
        <w:rPr>
          <w:rStyle w:val="a5"/>
          <w:rFonts w:ascii="David" w:hAnsi="David" w:cs="David"/>
          <w:sz w:val="24"/>
          <w:szCs w:val="24"/>
          <w:rtl/>
        </w:rPr>
        <w:footnoteReference w:id="15"/>
      </w:r>
      <w:commentRangeEnd w:id="1"/>
      <w:r w:rsidR="00774A4B">
        <w:rPr>
          <w:rStyle w:val="ac"/>
          <w:rtl/>
        </w:rPr>
        <w:commentReference w:id="1"/>
      </w:r>
      <w:r w:rsidR="0081420E">
        <w:rPr>
          <w:rFonts w:ascii="David" w:hAnsi="David" w:cs="David" w:hint="cs"/>
          <w:sz w:val="24"/>
          <w:szCs w:val="24"/>
          <w:rtl/>
        </w:rPr>
        <w:t xml:space="preserve">". </w:t>
      </w:r>
      <w:r w:rsidR="00F2791C">
        <w:rPr>
          <w:rFonts w:asciiTheme="majorBidi" w:hAnsiTheme="majorBidi" w:cstheme="majorBidi" w:hint="cs"/>
          <w:sz w:val="24"/>
          <w:szCs w:val="24"/>
          <w:rtl/>
        </w:rPr>
        <w:t xml:space="preserve">נסקור הסברים בעניין: </w:t>
      </w:r>
    </w:p>
    <w:p w14:paraId="78BF608A" w14:textId="3DEC01E3" w:rsidR="00F2791C" w:rsidRDefault="00F2791C" w:rsidP="003318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1. </w:t>
      </w:r>
      <w:r w:rsidR="0032493E">
        <w:rPr>
          <w:rFonts w:asciiTheme="majorBidi" w:hAnsiTheme="majorBidi" w:cstheme="majorBidi" w:hint="cs"/>
          <w:sz w:val="24"/>
          <w:szCs w:val="24"/>
          <w:rtl/>
        </w:rPr>
        <w:t xml:space="preserve">יש מי שניסה לחלק להלכה בין הולכה, שניתן לוותר עליה, לבין קבלת לבונה </w:t>
      </w:r>
      <w:r w:rsidR="0032493E">
        <w:rPr>
          <w:rFonts w:ascii="David" w:hAnsi="David" w:cs="David" w:hint="cs"/>
          <w:sz w:val="24"/>
          <w:szCs w:val="24"/>
          <w:rtl/>
        </w:rPr>
        <w:t>"</w:t>
      </w:r>
      <w:proofErr w:type="spellStart"/>
      <w:r w:rsidR="0032493E" w:rsidRPr="000F6C14">
        <w:rPr>
          <w:rFonts w:ascii="David" w:hAnsi="David" w:cs="David"/>
          <w:sz w:val="24"/>
          <w:szCs w:val="24"/>
          <w:rtl/>
        </w:rPr>
        <w:t>דעבודה</w:t>
      </w:r>
      <w:proofErr w:type="spellEnd"/>
      <w:r w:rsidR="0032493E" w:rsidRPr="000F6C14">
        <w:rPr>
          <w:rFonts w:ascii="David" w:hAnsi="David" w:cs="David"/>
          <w:sz w:val="24"/>
          <w:szCs w:val="24"/>
          <w:rtl/>
        </w:rPr>
        <w:t xml:space="preserve"> שא"א לבטלה היא </w:t>
      </w:r>
      <w:r w:rsidR="0032493E">
        <w:rPr>
          <w:rFonts w:ascii="David" w:hAnsi="David" w:cs="David" w:hint="cs"/>
          <w:sz w:val="24"/>
          <w:szCs w:val="24"/>
          <w:rtl/>
        </w:rPr>
        <w:t xml:space="preserve">- </w:t>
      </w:r>
      <w:r w:rsidR="0032493E">
        <w:rPr>
          <w:rFonts w:ascii="David" w:hAnsi="David" w:cs="David"/>
          <w:sz w:val="24"/>
          <w:szCs w:val="24"/>
          <w:rtl/>
        </w:rPr>
        <w:t>אפי' שלא ברגל הוי הולכה</w:t>
      </w:r>
      <w:r w:rsidR="0032493E">
        <w:rPr>
          <w:rStyle w:val="a5"/>
          <w:rFonts w:asciiTheme="majorBidi" w:hAnsiTheme="majorBidi" w:cstheme="majorBidi"/>
          <w:sz w:val="24"/>
          <w:szCs w:val="24"/>
          <w:rtl/>
        </w:rPr>
        <w:footnoteReference w:id="16"/>
      </w:r>
      <w:r w:rsidR="0032493E">
        <w:rPr>
          <w:rFonts w:ascii="David" w:hAnsi="David" w:cs="David" w:hint="cs"/>
          <w:sz w:val="24"/>
          <w:szCs w:val="24"/>
          <w:rtl/>
        </w:rPr>
        <w:t>"</w:t>
      </w:r>
      <w:r w:rsidR="0032493E">
        <w:rPr>
          <w:rFonts w:asciiTheme="majorBidi" w:hAnsiTheme="majorBidi" w:cstheme="majorBidi" w:hint="cs"/>
          <w:sz w:val="24"/>
          <w:szCs w:val="24"/>
          <w:rtl/>
        </w:rPr>
        <w:t xml:space="preserve">. </w:t>
      </w:r>
    </w:p>
    <w:p w14:paraId="6B50C4EE" w14:textId="6A2C0038" w:rsidR="00774A4B" w:rsidRDefault="00F2791C" w:rsidP="00331826">
      <w:pPr>
        <w:spacing w:after="0" w:line="360" w:lineRule="auto"/>
        <w:rPr>
          <w:rFonts w:ascii="David" w:hAnsi="David" w:cs="David"/>
          <w:sz w:val="24"/>
          <w:szCs w:val="24"/>
          <w:rtl/>
        </w:rPr>
      </w:pPr>
      <w:r>
        <w:rPr>
          <w:rFonts w:asciiTheme="majorBidi" w:hAnsiTheme="majorBidi" w:cstheme="majorBidi" w:hint="cs"/>
          <w:sz w:val="24"/>
          <w:szCs w:val="24"/>
          <w:rtl/>
        </w:rPr>
        <w:t xml:space="preserve">2. </w:t>
      </w:r>
      <w:r w:rsidR="0081420E">
        <w:rPr>
          <w:rFonts w:asciiTheme="majorBidi" w:hAnsiTheme="majorBidi" w:cstheme="majorBidi" w:hint="cs"/>
          <w:sz w:val="24"/>
          <w:szCs w:val="24"/>
          <w:rtl/>
        </w:rPr>
        <w:t>הדרך הפשוטה ביותר לתרץ היא ש</w:t>
      </w:r>
      <w:r>
        <w:rPr>
          <w:rFonts w:asciiTheme="majorBidi" w:hAnsiTheme="majorBidi" w:cstheme="majorBidi" w:hint="cs"/>
          <w:sz w:val="24"/>
          <w:szCs w:val="24"/>
          <w:rtl/>
        </w:rPr>
        <w:t xml:space="preserve">הרמב"ם </w:t>
      </w:r>
      <w:r w:rsidR="0081420E">
        <w:rPr>
          <w:rFonts w:asciiTheme="majorBidi" w:hAnsiTheme="majorBidi" w:cstheme="majorBidi" w:hint="cs"/>
          <w:sz w:val="24"/>
          <w:szCs w:val="24"/>
          <w:rtl/>
        </w:rPr>
        <w:t>פסק כרבי ינאי</w:t>
      </w:r>
      <w:r>
        <w:rPr>
          <w:rFonts w:asciiTheme="majorBidi" w:hAnsiTheme="majorBidi" w:cstheme="majorBidi" w:hint="cs"/>
          <w:sz w:val="24"/>
          <w:szCs w:val="24"/>
          <w:rtl/>
        </w:rPr>
        <w:t>,</w:t>
      </w:r>
      <w:r w:rsidR="0081420E">
        <w:rPr>
          <w:rFonts w:asciiTheme="majorBidi" w:hAnsiTheme="majorBidi" w:cstheme="majorBidi" w:hint="cs"/>
          <w:sz w:val="24"/>
          <w:szCs w:val="24"/>
          <w:rtl/>
        </w:rPr>
        <w:t xml:space="preserve"> אך לא כרבי ירמיה: </w:t>
      </w:r>
    </w:p>
    <w:p w14:paraId="60E77B14" w14:textId="7764FF5D" w:rsidR="00F2791C" w:rsidRDefault="0081420E" w:rsidP="00BD0ED3">
      <w:pPr>
        <w:spacing w:after="0" w:line="360" w:lineRule="auto"/>
        <w:ind w:left="720"/>
        <w:rPr>
          <w:rFonts w:asciiTheme="majorBidi" w:hAnsiTheme="majorBidi" w:cstheme="majorBidi"/>
          <w:sz w:val="24"/>
          <w:szCs w:val="24"/>
          <w:rtl/>
        </w:rPr>
      </w:pPr>
      <w:r w:rsidRPr="0081420E">
        <w:rPr>
          <w:rFonts w:ascii="David" w:hAnsi="David" w:cs="David"/>
          <w:b/>
          <w:bCs/>
          <w:sz w:val="24"/>
          <w:szCs w:val="24"/>
          <w:rtl/>
        </w:rPr>
        <w:t>פסק רבינו כרב מרי</w:t>
      </w:r>
      <w:r w:rsidRPr="0081420E">
        <w:rPr>
          <w:rFonts w:ascii="David" w:hAnsi="David" w:cs="David"/>
          <w:sz w:val="24"/>
          <w:szCs w:val="24"/>
          <w:rtl/>
        </w:rPr>
        <w:t xml:space="preserve"> </w:t>
      </w:r>
      <w:proofErr w:type="spellStart"/>
      <w:r w:rsidRPr="0081420E">
        <w:rPr>
          <w:rFonts w:ascii="David" w:hAnsi="David" w:cs="David"/>
          <w:sz w:val="24"/>
          <w:szCs w:val="24"/>
          <w:rtl/>
        </w:rPr>
        <w:t>שהשוה</w:t>
      </w:r>
      <w:proofErr w:type="spellEnd"/>
      <w:r w:rsidRPr="0081420E">
        <w:rPr>
          <w:rFonts w:ascii="David" w:hAnsi="David" w:cs="David"/>
          <w:sz w:val="24"/>
          <w:szCs w:val="24"/>
          <w:rtl/>
        </w:rPr>
        <w:t xml:space="preserve"> אותם</w:t>
      </w:r>
      <w:r w:rsidR="00331826">
        <w:rPr>
          <w:rFonts w:ascii="David" w:hAnsi="David" w:cs="David" w:hint="cs"/>
          <w:sz w:val="24"/>
          <w:szCs w:val="24"/>
          <w:rtl/>
        </w:rPr>
        <w:t>,</w:t>
      </w:r>
      <w:r w:rsidRPr="0081420E">
        <w:rPr>
          <w:rFonts w:ascii="David" w:hAnsi="David" w:cs="David"/>
          <w:sz w:val="24"/>
          <w:szCs w:val="24"/>
          <w:rtl/>
        </w:rPr>
        <w:t xml:space="preserve"> משום </w:t>
      </w:r>
      <w:proofErr w:type="spellStart"/>
      <w:r w:rsidRPr="0081420E">
        <w:rPr>
          <w:rFonts w:ascii="David" w:hAnsi="David" w:cs="David"/>
          <w:sz w:val="24"/>
          <w:szCs w:val="24"/>
          <w:rtl/>
        </w:rPr>
        <w:t>דהתלמוד</w:t>
      </w:r>
      <w:proofErr w:type="spellEnd"/>
      <w:r w:rsidRPr="0081420E">
        <w:rPr>
          <w:rFonts w:ascii="David" w:hAnsi="David" w:cs="David"/>
          <w:sz w:val="24"/>
          <w:szCs w:val="24"/>
          <w:rtl/>
        </w:rPr>
        <w:t xml:space="preserve"> לא דחה אלא הראיה </w:t>
      </w:r>
      <w:proofErr w:type="spellStart"/>
      <w:r w:rsidRPr="0081420E">
        <w:rPr>
          <w:rFonts w:ascii="David" w:hAnsi="David" w:cs="David"/>
          <w:sz w:val="24"/>
          <w:szCs w:val="24"/>
          <w:rtl/>
        </w:rPr>
        <w:t>דכל</w:t>
      </w:r>
      <w:proofErr w:type="spellEnd"/>
      <w:r w:rsidRPr="0081420E">
        <w:rPr>
          <w:rFonts w:ascii="David" w:hAnsi="David" w:cs="David"/>
          <w:sz w:val="24"/>
          <w:szCs w:val="24"/>
          <w:rtl/>
        </w:rPr>
        <w:t xml:space="preserve"> הקומץ</w:t>
      </w:r>
      <w:r w:rsidR="00331826">
        <w:rPr>
          <w:rFonts w:ascii="David" w:hAnsi="David" w:cs="David" w:hint="cs"/>
          <w:sz w:val="24"/>
          <w:szCs w:val="24"/>
          <w:rtl/>
        </w:rPr>
        <w:t>,</w:t>
      </w:r>
      <w:r w:rsidRPr="0081420E">
        <w:rPr>
          <w:rFonts w:ascii="David" w:hAnsi="David" w:cs="David"/>
          <w:sz w:val="24"/>
          <w:szCs w:val="24"/>
          <w:rtl/>
        </w:rPr>
        <w:t xml:space="preserve"> אבל בעיקר דינו דרבי ינאי ובטעמו של רבי ירמיה אינו חולק</w:t>
      </w:r>
      <w:r>
        <w:rPr>
          <w:rStyle w:val="a5"/>
          <w:rFonts w:ascii="David" w:hAnsi="David" w:cs="David"/>
          <w:sz w:val="24"/>
          <w:szCs w:val="24"/>
          <w:rtl/>
        </w:rPr>
        <w:footnoteReference w:id="17"/>
      </w:r>
      <w:r>
        <w:rPr>
          <w:rFonts w:ascii="David" w:hAnsi="David" w:cs="David" w:hint="cs"/>
          <w:sz w:val="24"/>
          <w:szCs w:val="24"/>
          <w:rtl/>
        </w:rPr>
        <w:t>.</w:t>
      </w:r>
      <w:r w:rsidR="00792810">
        <w:rPr>
          <w:rFonts w:asciiTheme="majorBidi" w:hAnsiTheme="majorBidi" w:cstheme="majorBidi" w:hint="cs"/>
          <w:sz w:val="24"/>
          <w:szCs w:val="24"/>
          <w:rtl/>
        </w:rPr>
        <w:t xml:space="preserve"> </w:t>
      </w:r>
    </w:p>
    <w:p w14:paraId="2B698C4D" w14:textId="118D7C9C" w:rsidR="0081420E" w:rsidRDefault="00F2791C" w:rsidP="00331826">
      <w:pPr>
        <w:spacing w:after="0" w:line="360" w:lineRule="auto"/>
        <w:rPr>
          <w:rFonts w:asciiTheme="majorBidi" w:hAnsiTheme="majorBidi" w:cstheme="majorBidi"/>
          <w:sz w:val="24"/>
          <w:szCs w:val="24"/>
          <w:rtl/>
        </w:rPr>
      </w:pPr>
      <w:r>
        <w:rPr>
          <w:rFonts w:asciiTheme="majorBidi" w:hAnsiTheme="majorBidi" w:cstheme="majorBidi" w:hint="cs"/>
          <w:sz w:val="24"/>
          <w:szCs w:val="24"/>
          <w:rtl/>
        </w:rPr>
        <w:t>3.</w:t>
      </w:r>
      <w:r w:rsidR="00792810">
        <w:rPr>
          <w:rFonts w:asciiTheme="majorBidi" w:hAnsiTheme="majorBidi" w:cstheme="majorBidi" w:hint="cs"/>
          <w:sz w:val="24"/>
          <w:szCs w:val="24"/>
          <w:rtl/>
        </w:rPr>
        <w:t xml:space="preserve"> בקרן אורה סבור שפסק הרמב"ם אינו נשען על רבי ירמיה, אלא על השוואה בין קמיצה לליקוט לבונה. בזה הוא מבאר </w:t>
      </w:r>
      <w:r w:rsidR="0032493E">
        <w:rPr>
          <w:rFonts w:asciiTheme="majorBidi" w:hAnsiTheme="majorBidi" w:cstheme="majorBidi" w:hint="cs"/>
          <w:sz w:val="24"/>
          <w:szCs w:val="24"/>
          <w:rtl/>
        </w:rPr>
        <w:t>באיזה הקשר הובא</w:t>
      </w:r>
      <w:r w:rsidR="00792810">
        <w:rPr>
          <w:rFonts w:asciiTheme="majorBidi" w:hAnsiTheme="majorBidi" w:cstheme="majorBidi" w:hint="cs"/>
          <w:sz w:val="24"/>
          <w:szCs w:val="24"/>
          <w:rtl/>
        </w:rPr>
        <w:t>ו דברי רבי ינאי</w:t>
      </w:r>
      <w:r w:rsidR="00774A4B">
        <w:rPr>
          <w:rFonts w:asciiTheme="majorBidi" w:hAnsiTheme="majorBidi" w:cstheme="majorBidi" w:hint="cs"/>
          <w:sz w:val="24"/>
          <w:szCs w:val="24"/>
          <w:rtl/>
        </w:rPr>
        <w:t>.</w:t>
      </w:r>
      <w:r w:rsidR="00792810">
        <w:rPr>
          <w:rFonts w:asciiTheme="majorBidi" w:hAnsiTheme="majorBidi" w:cstheme="majorBidi" w:hint="cs"/>
          <w:sz w:val="24"/>
          <w:szCs w:val="24"/>
          <w:rtl/>
        </w:rPr>
        <w:t xml:space="preserve"> </w:t>
      </w:r>
      <w:r w:rsidR="0032493E">
        <w:rPr>
          <w:rFonts w:asciiTheme="majorBidi" w:hAnsiTheme="majorBidi" w:cstheme="majorBidi" w:hint="cs"/>
          <w:sz w:val="24"/>
          <w:szCs w:val="24"/>
          <w:rtl/>
        </w:rPr>
        <w:t xml:space="preserve">לטענתו, </w:t>
      </w:r>
      <w:r w:rsidR="00792810">
        <w:rPr>
          <w:rFonts w:asciiTheme="majorBidi" w:hAnsiTheme="majorBidi" w:cstheme="majorBidi" w:hint="cs"/>
          <w:sz w:val="24"/>
          <w:szCs w:val="24"/>
          <w:rtl/>
        </w:rPr>
        <w:t>לאחר שקבעה הגמרא השוואה בין קמיצה ללבונה</w:t>
      </w:r>
      <w:r w:rsidR="00312FD9">
        <w:rPr>
          <w:rStyle w:val="a5"/>
          <w:rFonts w:asciiTheme="majorBidi" w:hAnsiTheme="majorBidi" w:cstheme="majorBidi"/>
          <w:sz w:val="24"/>
          <w:szCs w:val="24"/>
          <w:rtl/>
        </w:rPr>
        <w:footnoteReference w:id="18"/>
      </w:r>
      <w:r w:rsidR="00792810">
        <w:rPr>
          <w:rFonts w:asciiTheme="majorBidi" w:hAnsiTheme="majorBidi" w:cstheme="majorBidi" w:hint="cs"/>
          <w:sz w:val="24"/>
          <w:szCs w:val="24"/>
          <w:rtl/>
        </w:rPr>
        <w:t xml:space="preserve"> באומרה: </w:t>
      </w:r>
      <w:r w:rsidR="00792810">
        <w:rPr>
          <w:rFonts w:asciiTheme="majorBidi" w:hAnsiTheme="majorBidi" w:cs="Times New Roman" w:hint="cs"/>
          <w:sz w:val="24"/>
          <w:szCs w:val="24"/>
          <w:rtl/>
        </w:rPr>
        <w:t>"</w:t>
      </w:r>
      <w:proofErr w:type="spellStart"/>
      <w:r w:rsidR="00792810" w:rsidRPr="00792810">
        <w:rPr>
          <w:rFonts w:ascii="David" w:hAnsi="David" w:cs="David"/>
          <w:sz w:val="24"/>
          <w:szCs w:val="24"/>
          <w:rtl/>
        </w:rPr>
        <w:t>היכא</w:t>
      </w:r>
      <w:proofErr w:type="spellEnd"/>
      <w:r w:rsidR="00792810" w:rsidRPr="00792810">
        <w:rPr>
          <w:rFonts w:ascii="David" w:hAnsi="David" w:cs="David"/>
          <w:sz w:val="24"/>
          <w:szCs w:val="24"/>
          <w:rtl/>
        </w:rPr>
        <w:t xml:space="preserve"> </w:t>
      </w:r>
      <w:proofErr w:type="spellStart"/>
      <w:r w:rsidR="00792810" w:rsidRPr="00792810">
        <w:rPr>
          <w:rFonts w:ascii="David" w:hAnsi="David" w:cs="David"/>
          <w:sz w:val="24"/>
          <w:szCs w:val="24"/>
          <w:rtl/>
        </w:rPr>
        <w:t>דאיקבעו</w:t>
      </w:r>
      <w:proofErr w:type="spellEnd"/>
      <w:r w:rsidR="00792810" w:rsidRPr="00792810">
        <w:rPr>
          <w:rFonts w:ascii="David" w:hAnsi="David" w:cs="David"/>
          <w:sz w:val="24"/>
          <w:szCs w:val="24"/>
          <w:rtl/>
        </w:rPr>
        <w:t xml:space="preserve"> בחד מנא כחד דמי</w:t>
      </w:r>
      <w:r w:rsidR="00792810">
        <w:rPr>
          <w:rStyle w:val="a5"/>
          <w:rFonts w:asciiTheme="majorBidi" w:hAnsiTheme="majorBidi" w:cstheme="majorBidi"/>
          <w:sz w:val="24"/>
          <w:szCs w:val="24"/>
          <w:rtl/>
        </w:rPr>
        <w:footnoteReference w:id="19"/>
      </w:r>
      <w:r w:rsidR="00792810">
        <w:rPr>
          <w:rFonts w:asciiTheme="majorBidi" w:hAnsiTheme="majorBidi" w:cstheme="majorBidi" w:hint="cs"/>
          <w:sz w:val="24"/>
          <w:szCs w:val="24"/>
          <w:rtl/>
        </w:rPr>
        <w:t xml:space="preserve">", </w:t>
      </w:r>
      <w:r w:rsidR="0032493E">
        <w:rPr>
          <w:rFonts w:asciiTheme="majorBidi" w:hAnsiTheme="majorBidi" w:cstheme="majorBidi" w:hint="cs"/>
          <w:sz w:val="24"/>
          <w:szCs w:val="24"/>
          <w:rtl/>
        </w:rPr>
        <w:t>מסיק רבי ינאי</w:t>
      </w:r>
      <w:r w:rsidR="00792810">
        <w:rPr>
          <w:rFonts w:asciiTheme="majorBidi" w:hAnsiTheme="majorBidi" w:cstheme="majorBidi" w:hint="cs"/>
          <w:sz w:val="24"/>
          <w:szCs w:val="24"/>
          <w:rtl/>
        </w:rPr>
        <w:t xml:space="preserve"> שליקוט לבונה הרי הוא כקמיצה ופסול בזר</w:t>
      </w:r>
      <w:r w:rsidR="00792810">
        <w:rPr>
          <w:rStyle w:val="a5"/>
          <w:rFonts w:asciiTheme="majorBidi" w:hAnsiTheme="majorBidi" w:cstheme="majorBidi"/>
          <w:sz w:val="24"/>
          <w:szCs w:val="24"/>
          <w:rtl/>
        </w:rPr>
        <w:footnoteReference w:id="20"/>
      </w:r>
      <w:r w:rsidR="00792810">
        <w:rPr>
          <w:rFonts w:asciiTheme="majorBidi" w:hAnsiTheme="majorBidi" w:cstheme="majorBidi" w:hint="cs"/>
          <w:sz w:val="24"/>
          <w:szCs w:val="24"/>
          <w:rtl/>
        </w:rPr>
        <w:t>.</w:t>
      </w:r>
    </w:p>
    <w:p w14:paraId="0B383E3E" w14:textId="4821AEEE" w:rsidR="00792810" w:rsidRPr="0046241A" w:rsidRDefault="00792810" w:rsidP="00331826">
      <w:pPr>
        <w:spacing w:after="0" w:line="360" w:lineRule="auto"/>
        <w:rPr>
          <w:rFonts w:ascii="David" w:hAnsi="David" w:cs="David"/>
          <w:sz w:val="24"/>
          <w:szCs w:val="24"/>
          <w:rtl/>
        </w:rPr>
      </w:pPr>
      <w:r>
        <w:rPr>
          <w:rFonts w:asciiTheme="majorBidi" w:hAnsiTheme="majorBidi" w:cstheme="majorBidi" w:hint="cs"/>
          <w:sz w:val="24"/>
          <w:szCs w:val="24"/>
          <w:rtl/>
        </w:rPr>
        <w:t>מכל מקום, נראה ש</w:t>
      </w:r>
      <w:r w:rsidR="00774A4B">
        <w:rPr>
          <w:rFonts w:asciiTheme="majorBidi" w:hAnsiTheme="majorBidi" w:cstheme="majorBidi" w:hint="cs"/>
          <w:sz w:val="24"/>
          <w:szCs w:val="24"/>
          <w:rtl/>
        </w:rPr>
        <w:t xml:space="preserve">יש בזה </w:t>
      </w:r>
      <w:r>
        <w:rPr>
          <w:rFonts w:asciiTheme="majorBidi" w:hAnsiTheme="majorBidi" w:cstheme="majorBidi" w:hint="cs"/>
          <w:sz w:val="24"/>
          <w:szCs w:val="24"/>
          <w:rtl/>
        </w:rPr>
        <w:t>מחלוקת ראשונים</w:t>
      </w:r>
      <w:r w:rsidR="00774A4B">
        <w:rPr>
          <w:rFonts w:asciiTheme="majorBidi" w:hAnsiTheme="majorBidi" w:cstheme="majorBidi" w:hint="cs"/>
          <w:sz w:val="24"/>
          <w:szCs w:val="24"/>
          <w:rtl/>
        </w:rPr>
        <w:t>.</w:t>
      </w:r>
      <w:r>
        <w:rPr>
          <w:rFonts w:asciiTheme="majorBidi" w:hAnsiTheme="majorBidi" w:cstheme="majorBidi" w:hint="cs"/>
          <w:sz w:val="24"/>
          <w:szCs w:val="24"/>
          <w:rtl/>
        </w:rPr>
        <w:t xml:space="preserve"> </w:t>
      </w:r>
      <w:proofErr w:type="spellStart"/>
      <w:r w:rsidRPr="00792810">
        <w:rPr>
          <w:rFonts w:asciiTheme="majorBidi" w:hAnsiTheme="majorBidi" w:cstheme="majorBidi"/>
          <w:sz w:val="24"/>
          <w:szCs w:val="24"/>
          <w:rtl/>
        </w:rPr>
        <w:t>הרי"ד</w:t>
      </w:r>
      <w:proofErr w:type="spellEnd"/>
      <w:r w:rsidRPr="00792810">
        <w:rPr>
          <w:rFonts w:asciiTheme="majorBidi" w:hAnsiTheme="majorBidi" w:cstheme="majorBidi"/>
          <w:sz w:val="24"/>
          <w:szCs w:val="24"/>
          <w:rtl/>
        </w:rPr>
        <w:t xml:space="preserve"> מצטט את רבי ינאי ורבי ירמיה כאחד</w:t>
      </w:r>
      <w:r>
        <w:rPr>
          <w:rFonts w:ascii="David" w:hAnsi="David" w:cs="David" w:hint="cs"/>
          <w:sz w:val="24"/>
          <w:szCs w:val="24"/>
          <w:rtl/>
        </w:rPr>
        <w:t>:</w:t>
      </w:r>
    </w:p>
    <w:p w14:paraId="7FD1C136" w14:textId="540F1D3F" w:rsidR="00774A4B" w:rsidRDefault="00F2791C" w:rsidP="00BD0ED3">
      <w:pPr>
        <w:spacing w:after="0" w:line="360" w:lineRule="auto"/>
        <w:ind w:left="720"/>
        <w:rPr>
          <w:rFonts w:asciiTheme="majorBidi" w:hAnsiTheme="majorBidi" w:cstheme="majorBidi"/>
          <w:sz w:val="24"/>
          <w:szCs w:val="24"/>
          <w:rtl/>
        </w:rPr>
      </w:pPr>
      <w:r>
        <w:rPr>
          <w:rFonts w:ascii="David" w:hAnsi="David" w:cs="David"/>
          <w:sz w:val="24"/>
          <w:szCs w:val="24"/>
          <w:rtl/>
        </w:rPr>
        <w:t>אמ</w:t>
      </w:r>
      <w:r>
        <w:rPr>
          <w:rFonts w:ascii="David" w:hAnsi="David" w:cs="David" w:hint="cs"/>
          <w:sz w:val="24"/>
          <w:szCs w:val="24"/>
          <w:rtl/>
        </w:rPr>
        <w:t>ר</w:t>
      </w:r>
      <w:r w:rsidR="00792810" w:rsidRPr="0046241A">
        <w:rPr>
          <w:rFonts w:ascii="David" w:hAnsi="David" w:cs="David"/>
          <w:sz w:val="24"/>
          <w:szCs w:val="24"/>
          <w:rtl/>
        </w:rPr>
        <w:t xml:space="preserve"> ר' ינאי</w:t>
      </w:r>
      <w:r>
        <w:rPr>
          <w:rFonts w:ascii="David" w:hAnsi="David" w:cs="David"/>
          <w:sz w:val="24"/>
          <w:szCs w:val="24"/>
          <w:rtl/>
        </w:rPr>
        <w:t xml:space="preserve"> ליקוט לבונה בזר פסולה, מאי טעמ</w:t>
      </w:r>
      <w:r>
        <w:rPr>
          <w:rFonts w:ascii="David" w:hAnsi="David" w:cs="David" w:hint="cs"/>
          <w:sz w:val="24"/>
          <w:szCs w:val="24"/>
          <w:rtl/>
        </w:rPr>
        <w:t>א</w:t>
      </w:r>
      <w:r>
        <w:rPr>
          <w:rFonts w:ascii="David" w:hAnsi="David" w:cs="David"/>
          <w:sz w:val="24"/>
          <w:szCs w:val="24"/>
          <w:rtl/>
        </w:rPr>
        <w:t>, אמ</w:t>
      </w:r>
      <w:r>
        <w:rPr>
          <w:rFonts w:ascii="David" w:hAnsi="David" w:cs="David" w:hint="cs"/>
          <w:sz w:val="24"/>
          <w:szCs w:val="24"/>
          <w:rtl/>
        </w:rPr>
        <w:t>ר</w:t>
      </w:r>
      <w:r w:rsidR="00792810" w:rsidRPr="0046241A">
        <w:rPr>
          <w:rFonts w:ascii="David" w:hAnsi="David" w:cs="David"/>
          <w:sz w:val="24"/>
          <w:szCs w:val="24"/>
          <w:rtl/>
        </w:rPr>
        <w:t xml:space="preserve"> ר' ירמיה משום הולכה נגעו בה, </w:t>
      </w:r>
      <w:proofErr w:type="spellStart"/>
      <w:r w:rsidR="00792810" w:rsidRPr="0046241A">
        <w:rPr>
          <w:rFonts w:ascii="David" w:hAnsi="David" w:cs="David"/>
          <w:sz w:val="24"/>
          <w:szCs w:val="24"/>
          <w:rtl/>
        </w:rPr>
        <w:t>קסבר</w:t>
      </w:r>
      <w:proofErr w:type="spellEnd"/>
      <w:r w:rsidR="00792810" w:rsidRPr="0046241A">
        <w:rPr>
          <w:rFonts w:ascii="David" w:hAnsi="David" w:cs="David"/>
          <w:sz w:val="24"/>
          <w:szCs w:val="24"/>
          <w:rtl/>
        </w:rPr>
        <w:t xml:space="preserve"> הולכה שלא ברגל שמה הולכה והולכה בזר פסולה</w:t>
      </w:r>
      <w:r w:rsidR="0032493E">
        <w:rPr>
          <w:rStyle w:val="a5"/>
          <w:rFonts w:ascii="David" w:hAnsi="David" w:cs="David"/>
          <w:sz w:val="24"/>
          <w:szCs w:val="24"/>
          <w:rtl/>
        </w:rPr>
        <w:footnoteReference w:id="21"/>
      </w:r>
      <w:r w:rsidR="00774A4B">
        <w:rPr>
          <w:rFonts w:ascii="David" w:hAnsi="David" w:cs="David" w:hint="cs"/>
          <w:sz w:val="24"/>
          <w:szCs w:val="24"/>
          <w:rtl/>
        </w:rPr>
        <w:t>.</w:t>
      </w:r>
    </w:p>
    <w:p w14:paraId="07B882F4" w14:textId="36CB712F" w:rsidR="00792810" w:rsidRDefault="0032493E" w:rsidP="00331826">
      <w:pPr>
        <w:spacing w:after="0" w:line="360" w:lineRule="auto"/>
        <w:rPr>
          <w:rFonts w:ascii="David" w:hAnsi="David" w:cs="David"/>
          <w:sz w:val="24"/>
          <w:szCs w:val="24"/>
          <w:rtl/>
        </w:rPr>
      </w:pPr>
      <w:r w:rsidRPr="00F2791C">
        <w:rPr>
          <w:rFonts w:asciiTheme="majorBidi" w:hAnsiTheme="majorBidi" w:cstheme="majorBidi"/>
          <w:sz w:val="24"/>
          <w:szCs w:val="24"/>
          <w:rtl/>
        </w:rPr>
        <w:lastRenderedPageBreak/>
        <w:t>וכן הוא נוקט במקום אחר</w:t>
      </w:r>
      <w:r w:rsidR="00F2791C">
        <w:rPr>
          <w:rFonts w:asciiTheme="majorBidi" w:hAnsiTheme="majorBidi" w:cstheme="majorBidi" w:hint="cs"/>
          <w:sz w:val="24"/>
          <w:szCs w:val="24"/>
          <w:rtl/>
        </w:rPr>
        <w:t>:</w:t>
      </w:r>
      <w:r>
        <w:rPr>
          <w:rFonts w:ascii="David" w:hAnsi="David" w:cs="David" w:hint="cs"/>
          <w:sz w:val="24"/>
          <w:szCs w:val="24"/>
          <w:rtl/>
        </w:rPr>
        <w:t xml:space="preserve"> "</w:t>
      </w:r>
      <w:r w:rsidRPr="0032493E">
        <w:rPr>
          <w:rFonts w:ascii="David" w:hAnsi="David" w:cs="David"/>
          <w:sz w:val="24"/>
          <w:szCs w:val="24"/>
          <w:rtl/>
        </w:rPr>
        <w:t xml:space="preserve">ש"מ הולכה שלא ברגל </w:t>
      </w:r>
      <w:proofErr w:type="spellStart"/>
      <w:r w:rsidRPr="0032493E">
        <w:rPr>
          <w:rFonts w:ascii="David" w:hAnsi="David" w:cs="David"/>
          <w:sz w:val="24"/>
          <w:szCs w:val="24"/>
          <w:rtl/>
        </w:rPr>
        <w:t>הויא</w:t>
      </w:r>
      <w:proofErr w:type="spellEnd"/>
      <w:r w:rsidRPr="0032493E">
        <w:rPr>
          <w:rFonts w:ascii="David" w:hAnsi="David" w:cs="David"/>
          <w:sz w:val="24"/>
          <w:szCs w:val="24"/>
          <w:rtl/>
        </w:rPr>
        <w:t xml:space="preserve"> הולכה</w:t>
      </w:r>
      <w:r w:rsidR="00774A4B">
        <w:rPr>
          <w:rFonts w:ascii="David" w:hAnsi="David" w:cs="David" w:hint="cs"/>
          <w:sz w:val="24"/>
          <w:szCs w:val="24"/>
          <w:rtl/>
        </w:rPr>
        <w:t>"</w:t>
      </w:r>
      <w:r>
        <w:rPr>
          <w:rStyle w:val="a5"/>
          <w:rFonts w:ascii="David" w:hAnsi="David" w:cs="David"/>
          <w:sz w:val="24"/>
          <w:szCs w:val="24"/>
          <w:rtl/>
        </w:rPr>
        <w:footnoteReference w:id="22"/>
      </w:r>
      <w:r>
        <w:rPr>
          <w:rFonts w:ascii="David" w:hAnsi="David" w:cs="David" w:hint="cs"/>
          <w:sz w:val="24"/>
          <w:szCs w:val="24"/>
          <w:rtl/>
        </w:rPr>
        <w:t>.</w:t>
      </w:r>
    </w:p>
    <w:p w14:paraId="4C84877B" w14:textId="77777777" w:rsidR="00792810" w:rsidRPr="00F2791C" w:rsidRDefault="0032493E" w:rsidP="00331826">
      <w:pPr>
        <w:pStyle w:val="a6"/>
        <w:numPr>
          <w:ilvl w:val="0"/>
          <w:numId w:val="2"/>
        </w:numPr>
        <w:spacing w:after="0" w:line="360" w:lineRule="auto"/>
        <w:rPr>
          <w:rFonts w:asciiTheme="majorBidi" w:hAnsiTheme="majorBidi" w:cstheme="majorBidi"/>
          <w:b/>
          <w:bCs/>
          <w:sz w:val="24"/>
          <w:szCs w:val="24"/>
          <w:rtl/>
        </w:rPr>
      </w:pPr>
      <w:r w:rsidRPr="00F2791C">
        <w:rPr>
          <w:rFonts w:asciiTheme="majorBidi" w:hAnsiTheme="majorBidi" w:cstheme="majorBidi" w:hint="cs"/>
          <w:b/>
          <w:bCs/>
          <w:sz w:val="24"/>
          <w:szCs w:val="24"/>
          <w:rtl/>
        </w:rPr>
        <w:t>זר בדיעבד</w:t>
      </w:r>
      <w:r w:rsidR="00F2791C">
        <w:rPr>
          <w:rFonts w:asciiTheme="majorBidi" w:hAnsiTheme="majorBidi" w:cstheme="majorBidi" w:hint="cs"/>
          <w:b/>
          <w:bCs/>
          <w:sz w:val="24"/>
          <w:szCs w:val="24"/>
          <w:rtl/>
        </w:rPr>
        <w:t xml:space="preserve"> ובמלאכות אחרות</w:t>
      </w:r>
    </w:p>
    <w:p w14:paraId="549472E8" w14:textId="0C8FD7BA" w:rsidR="00774A4B" w:rsidRDefault="00607445" w:rsidP="00E3479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עוד </w:t>
      </w:r>
      <w:r w:rsidR="00B13128">
        <w:rPr>
          <w:rFonts w:asciiTheme="majorBidi" w:hAnsiTheme="majorBidi" w:cstheme="majorBidi" w:hint="cs"/>
          <w:sz w:val="24"/>
          <w:szCs w:val="24"/>
          <w:rtl/>
        </w:rPr>
        <w:t>מקשה ב</w:t>
      </w:r>
      <w:r w:rsidR="000620EB">
        <w:rPr>
          <w:rFonts w:asciiTheme="majorBidi" w:hAnsiTheme="majorBidi" w:cstheme="majorBidi" w:hint="cs"/>
          <w:sz w:val="24"/>
          <w:szCs w:val="24"/>
          <w:rtl/>
        </w:rPr>
        <w:t>שיטה מקובצת</w:t>
      </w:r>
      <w:r w:rsidR="000620EB">
        <w:rPr>
          <w:rStyle w:val="a5"/>
          <w:rFonts w:asciiTheme="majorBidi" w:hAnsiTheme="majorBidi" w:cstheme="majorBidi"/>
          <w:sz w:val="24"/>
          <w:szCs w:val="24"/>
          <w:rtl/>
        </w:rPr>
        <w:footnoteReference w:id="23"/>
      </w:r>
      <w:r w:rsidR="00774A4B">
        <w:rPr>
          <w:rFonts w:asciiTheme="majorBidi" w:hAnsiTheme="majorBidi" w:cstheme="majorBidi" w:hint="cs"/>
          <w:sz w:val="24"/>
          <w:szCs w:val="24"/>
          <w:rtl/>
        </w:rPr>
        <w:t>:</w:t>
      </w:r>
      <w:r w:rsidR="000620EB">
        <w:rPr>
          <w:rFonts w:asciiTheme="majorBidi" w:hAnsiTheme="majorBidi" w:cstheme="majorBidi" w:hint="cs"/>
          <w:sz w:val="24"/>
          <w:szCs w:val="24"/>
          <w:rtl/>
        </w:rPr>
        <w:t xml:space="preserve"> </w:t>
      </w:r>
    </w:p>
    <w:p w14:paraId="66DB66FA" w14:textId="797EEF0A" w:rsidR="00774A4B" w:rsidRDefault="00F86A55" w:rsidP="00BD0ED3">
      <w:pPr>
        <w:spacing w:after="0" w:line="360" w:lineRule="auto"/>
        <w:ind w:left="720"/>
        <w:rPr>
          <w:rFonts w:asciiTheme="majorBidi" w:hAnsiTheme="majorBidi" w:cstheme="majorBidi"/>
          <w:sz w:val="24"/>
          <w:szCs w:val="24"/>
          <w:rtl/>
        </w:rPr>
      </w:pPr>
      <w:r>
        <w:rPr>
          <w:rFonts w:ascii="David" w:hAnsi="David" w:cs="David"/>
          <w:sz w:val="24"/>
          <w:szCs w:val="24"/>
          <w:rtl/>
        </w:rPr>
        <w:t>בגמרא בזבחים מובא</w:t>
      </w:r>
      <w:r w:rsidR="0046241A" w:rsidRPr="0046241A">
        <w:rPr>
          <w:rFonts w:ascii="David" w:hAnsi="David" w:cs="David"/>
          <w:sz w:val="24"/>
          <w:szCs w:val="24"/>
          <w:rtl/>
        </w:rPr>
        <w:t xml:space="preserve">ת מחלוקת בין רבי ינאי לרב </w:t>
      </w:r>
      <w:proofErr w:type="spellStart"/>
      <w:r w:rsidR="0046241A" w:rsidRPr="0046241A">
        <w:rPr>
          <w:rFonts w:ascii="David" w:hAnsi="David" w:cs="David"/>
          <w:sz w:val="24"/>
          <w:szCs w:val="24"/>
          <w:rtl/>
        </w:rPr>
        <w:t>חייא</w:t>
      </w:r>
      <w:proofErr w:type="spellEnd"/>
      <w:r w:rsidR="0046241A" w:rsidRPr="0046241A">
        <w:rPr>
          <w:rFonts w:ascii="David" w:hAnsi="David" w:cs="David"/>
          <w:sz w:val="24"/>
          <w:szCs w:val="24"/>
          <w:rtl/>
        </w:rPr>
        <w:t xml:space="preserve"> באופן שהוליך זר והחזיר</w:t>
      </w:r>
      <w:r w:rsidR="00B13128">
        <w:rPr>
          <w:rFonts w:ascii="David" w:hAnsi="David" w:cs="David" w:hint="cs"/>
          <w:sz w:val="24"/>
          <w:szCs w:val="24"/>
          <w:rtl/>
        </w:rPr>
        <w:t>,</w:t>
      </w:r>
      <w:r w:rsidR="0046241A" w:rsidRPr="0046241A">
        <w:rPr>
          <w:rFonts w:ascii="David" w:hAnsi="David" w:cs="David"/>
          <w:sz w:val="24"/>
          <w:szCs w:val="24"/>
          <w:rtl/>
        </w:rPr>
        <w:t xml:space="preserve"> והוליך הכהן אם כשר או פסול, אחד סבר</w:t>
      </w:r>
      <w:r w:rsidR="00331826">
        <w:rPr>
          <w:rFonts w:ascii="David" w:hAnsi="David" w:cs="David" w:hint="cs"/>
          <w:sz w:val="24"/>
          <w:szCs w:val="24"/>
          <w:rtl/>
        </w:rPr>
        <w:t>:</w:t>
      </w:r>
      <w:r w:rsidR="0046241A" w:rsidRPr="0046241A">
        <w:rPr>
          <w:rFonts w:ascii="David" w:hAnsi="David" w:cs="David"/>
          <w:sz w:val="24"/>
          <w:szCs w:val="24"/>
          <w:rtl/>
        </w:rPr>
        <w:t xml:space="preserve"> כשר</w:t>
      </w:r>
      <w:r w:rsidR="00331826">
        <w:rPr>
          <w:rFonts w:ascii="David" w:hAnsi="David" w:cs="David" w:hint="cs"/>
          <w:sz w:val="24"/>
          <w:szCs w:val="24"/>
          <w:rtl/>
        </w:rPr>
        <w:t>,</w:t>
      </w:r>
      <w:r w:rsidR="0046241A" w:rsidRPr="0046241A">
        <w:rPr>
          <w:rFonts w:ascii="David" w:hAnsi="David" w:cs="David"/>
          <w:sz w:val="24"/>
          <w:szCs w:val="24"/>
          <w:rtl/>
        </w:rPr>
        <w:t xml:space="preserve"> משום שניתן לתקן את הולכת הזר על ידי חזרה, ואחד אמר פסול כי אי אפשר לתקן. ולא </w:t>
      </w:r>
      <w:proofErr w:type="spellStart"/>
      <w:r w:rsidR="0046241A" w:rsidRPr="0046241A">
        <w:rPr>
          <w:rFonts w:ascii="David" w:hAnsi="David" w:cs="David"/>
          <w:sz w:val="24"/>
          <w:szCs w:val="24"/>
          <w:rtl/>
        </w:rPr>
        <w:t>נתברר</w:t>
      </w:r>
      <w:proofErr w:type="spellEnd"/>
      <w:r w:rsidR="0046241A" w:rsidRPr="0046241A">
        <w:rPr>
          <w:rFonts w:ascii="David" w:hAnsi="David" w:cs="David"/>
          <w:sz w:val="24"/>
          <w:szCs w:val="24"/>
          <w:rtl/>
        </w:rPr>
        <w:t xml:space="preserve"> לגמרא מי הוא הפוסל ומי המכשיר, ולכאורה מדוע לא נוכיח מסוגייתנו שרבי ינאי הוא הפוסל שהרי פסל את ליקוט הזר מחמת היותו נדון כהולכה</w:t>
      </w:r>
      <w:commentRangeStart w:id="2"/>
      <w:r w:rsidR="0046241A" w:rsidRPr="0046241A">
        <w:rPr>
          <w:rFonts w:ascii="David" w:hAnsi="David" w:cs="David"/>
          <w:sz w:val="24"/>
          <w:szCs w:val="24"/>
          <w:rtl/>
        </w:rPr>
        <w:t>!?</w:t>
      </w:r>
      <w:r w:rsidR="000620EB">
        <w:rPr>
          <w:rStyle w:val="a5"/>
          <w:rFonts w:ascii="David" w:hAnsi="David" w:cs="David"/>
          <w:sz w:val="24"/>
          <w:szCs w:val="24"/>
          <w:rtl/>
        </w:rPr>
        <w:footnoteReference w:id="24"/>
      </w:r>
      <w:commentRangeEnd w:id="2"/>
      <w:r w:rsidR="00774A4B">
        <w:rPr>
          <w:rStyle w:val="ac"/>
          <w:rtl/>
        </w:rPr>
        <w:commentReference w:id="2"/>
      </w:r>
      <w:r w:rsidR="00774A4B">
        <w:rPr>
          <w:rFonts w:ascii="David" w:hAnsi="David" w:cs="David" w:hint="cs"/>
          <w:sz w:val="24"/>
          <w:szCs w:val="24"/>
          <w:rtl/>
        </w:rPr>
        <w:t>.</w:t>
      </w:r>
      <w:r w:rsidR="00312FD9">
        <w:rPr>
          <w:rFonts w:asciiTheme="majorBidi" w:hAnsiTheme="majorBidi" w:cstheme="majorBidi" w:hint="cs"/>
          <w:sz w:val="24"/>
          <w:szCs w:val="24"/>
          <w:rtl/>
        </w:rPr>
        <w:t xml:space="preserve"> </w:t>
      </w:r>
      <w:r w:rsidR="00BD0ED3">
        <w:rPr>
          <w:rFonts w:asciiTheme="majorBidi" w:hAnsiTheme="majorBidi" w:cstheme="majorBidi" w:hint="cs"/>
          <w:sz w:val="24"/>
          <w:szCs w:val="24"/>
          <w:rtl/>
        </w:rPr>
        <w:t>כיוון שרבי ינאי פוסל ליקוט זר כהולכה, יש להניח שלדעתו לא ניתן לתקן הולכה על ידי הולכה נוספת של כהן, ומדוע לא פשטו בזבחים שרבי ינאי הוא הפוסל גם במקרה של הולכה חוזרת?</w:t>
      </w:r>
    </w:p>
    <w:p w14:paraId="088E9000" w14:textId="03EE9BE8" w:rsidR="00774A4B" w:rsidRDefault="00312FD9" w:rsidP="00E3479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דרך פשוטה</w:t>
      </w:r>
      <w:r w:rsidR="00774A4B">
        <w:rPr>
          <w:rFonts w:asciiTheme="majorBidi" w:hAnsiTheme="majorBidi" w:cstheme="majorBidi" w:hint="cs"/>
          <w:sz w:val="24"/>
          <w:szCs w:val="24"/>
          <w:rtl/>
        </w:rPr>
        <w:t xml:space="preserve"> </w:t>
      </w:r>
      <w:r w:rsidR="0032493E">
        <w:rPr>
          <w:rFonts w:asciiTheme="majorBidi" w:hAnsiTheme="majorBidi" w:cstheme="majorBidi" w:hint="cs"/>
          <w:sz w:val="24"/>
          <w:szCs w:val="24"/>
          <w:rtl/>
        </w:rPr>
        <w:t xml:space="preserve">ליישוב קושיה זו, היא הטענה כי אין הכרח להסביר את רבי ינאי כרבי ירמיה. אם מסבירים אותו כמו </w:t>
      </w:r>
      <w:r>
        <w:rPr>
          <w:rFonts w:asciiTheme="majorBidi" w:hAnsiTheme="majorBidi" w:cstheme="majorBidi" w:hint="cs"/>
          <w:sz w:val="24"/>
          <w:szCs w:val="24"/>
          <w:rtl/>
        </w:rPr>
        <w:t>רב מרי - אין הוכחה לדעת רבי ינאי בעניין הולכה</w:t>
      </w:r>
      <w:r>
        <w:rPr>
          <w:rStyle w:val="a5"/>
          <w:rFonts w:asciiTheme="majorBidi" w:hAnsiTheme="majorBidi" w:cstheme="majorBidi"/>
          <w:sz w:val="24"/>
          <w:szCs w:val="24"/>
          <w:rtl/>
        </w:rPr>
        <w:footnoteReference w:id="25"/>
      </w:r>
      <w:r>
        <w:rPr>
          <w:rFonts w:asciiTheme="majorBidi" w:hAnsiTheme="majorBidi" w:cstheme="majorBidi" w:hint="cs"/>
          <w:sz w:val="24"/>
          <w:szCs w:val="24"/>
          <w:rtl/>
        </w:rPr>
        <w:t>.</w:t>
      </w:r>
      <w:r w:rsidR="00792810">
        <w:rPr>
          <w:rFonts w:asciiTheme="majorBidi" w:hAnsiTheme="majorBidi" w:cstheme="majorBidi" w:hint="cs"/>
          <w:sz w:val="24"/>
          <w:szCs w:val="24"/>
          <w:rtl/>
        </w:rPr>
        <w:t xml:space="preserve"> </w:t>
      </w:r>
      <w:r w:rsidR="0032493E">
        <w:rPr>
          <w:rFonts w:asciiTheme="majorBidi" w:hAnsiTheme="majorBidi" w:cstheme="majorBidi" w:hint="cs"/>
          <w:sz w:val="24"/>
          <w:szCs w:val="24"/>
          <w:rtl/>
        </w:rPr>
        <w:t xml:space="preserve">מכל מקום, </w:t>
      </w:r>
      <w:r w:rsidR="00792810">
        <w:rPr>
          <w:rFonts w:asciiTheme="majorBidi" w:hAnsiTheme="majorBidi" w:cstheme="majorBidi" w:hint="cs"/>
          <w:sz w:val="24"/>
          <w:szCs w:val="24"/>
          <w:rtl/>
        </w:rPr>
        <w:t>בקושיית השיטה מקובצת קיימת הנחת יסוד:</w:t>
      </w:r>
      <w:r>
        <w:rPr>
          <w:rFonts w:asciiTheme="majorBidi" w:hAnsiTheme="majorBidi" w:cstheme="majorBidi" w:hint="cs"/>
          <w:sz w:val="24"/>
          <w:szCs w:val="24"/>
          <w:rtl/>
        </w:rPr>
        <w:t xml:space="preserve"> </w:t>
      </w:r>
    </w:p>
    <w:p w14:paraId="134E6668" w14:textId="68520F3F" w:rsidR="0046241A" w:rsidRDefault="0046241A" w:rsidP="00BD0ED3">
      <w:pPr>
        <w:spacing w:after="0" w:line="360" w:lineRule="auto"/>
        <w:ind w:left="720"/>
        <w:rPr>
          <w:rFonts w:asciiTheme="majorBidi" w:hAnsiTheme="majorBidi" w:cstheme="majorBidi"/>
          <w:sz w:val="24"/>
          <w:szCs w:val="24"/>
          <w:rtl/>
        </w:rPr>
      </w:pPr>
      <w:r w:rsidRPr="0046241A">
        <w:rPr>
          <w:rFonts w:ascii="David" w:hAnsi="David" w:cs="David"/>
          <w:sz w:val="24"/>
          <w:szCs w:val="24"/>
          <w:rtl/>
        </w:rPr>
        <w:t>לכאורה היה אפשר לומר שאף רבי ינאי הפוסל את ליקוט הזר, היינו שיש ללקט הלבונה פעם נוספת על ידי כהן, ואם עשו כן יהיה זה כשר, ומנין לשיטה מקובצת שאף בדיעבד פוסל רבי ינאי</w:t>
      </w:r>
      <w:r w:rsidR="00F86A55">
        <w:rPr>
          <w:rStyle w:val="a5"/>
          <w:rFonts w:ascii="David" w:hAnsi="David" w:cs="David"/>
          <w:sz w:val="24"/>
          <w:szCs w:val="24"/>
          <w:rtl/>
        </w:rPr>
        <w:footnoteReference w:id="26"/>
      </w:r>
      <w:r w:rsidRPr="0046241A">
        <w:rPr>
          <w:rFonts w:ascii="David" w:hAnsi="David" w:cs="David"/>
          <w:sz w:val="24"/>
          <w:szCs w:val="24"/>
          <w:rtl/>
        </w:rPr>
        <w:t>?</w:t>
      </w:r>
      <w:r w:rsidR="00F86A55">
        <w:rPr>
          <w:rFonts w:ascii="David" w:hAnsi="David" w:cs="David" w:hint="cs"/>
          <w:sz w:val="24"/>
          <w:szCs w:val="24"/>
          <w:rtl/>
        </w:rPr>
        <w:t>.</w:t>
      </w:r>
    </w:p>
    <w:p w14:paraId="41BB6CC3" w14:textId="2F1FC3DF" w:rsidR="00312FD9" w:rsidRDefault="00312FD9" w:rsidP="00E3479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אם כן, בשיטה מקובצת</w:t>
      </w:r>
      <w:r w:rsidR="00774A4B">
        <w:rPr>
          <w:rFonts w:asciiTheme="majorBidi" w:hAnsiTheme="majorBidi" w:cstheme="majorBidi" w:hint="cs"/>
          <w:sz w:val="24"/>
          <w:szCs w:val="24"/>
          <w:rtl/>
        </w:rPr>
        <w:t xml:space="preserve"> </w:t>
      </w:r>
      <w:r>
        <w:rPr>
          <w:rFonts w:asciiTheme="majorBidi" w:hAnsiTheme="majorBidi" w:cstheme="majorBidi" w:hint="cs"/>
          <w:sz w:val="24"/>
          <w:szCs w:val="24"/>
          <w:rtl/>
        </w:rPr>
        <w:t>הניח שפסול זר הוא גם בדיעבד. נוכיח את דבריו ונפרט בדרך אגב פסול זר בעבודות רבות אחרות במנחות:</w:t>
      </w:r>
    </w:p>
    <w:p w14:paraId="4E484B88" w14:textId="4726C0F2" w:rsidR="00C26014" w:rsidRDefault="000477C6" w:rsidP="00BD0ED3">
      <w:pPr>
        <w:spacing w:after="0" w:line="360" w:lineRule="auto"/>
        <w:ind w:left="720"/>
        <w:rPr>
          <w:rFonts w:ascii="David" w:hAnsi="David" w:cs="David"/>
          <w:sz w:val="24"/>
          <w:szCs w:val="24"/>
          <w:rtl/>
        </w:rPr>
      </w:pPr>
      <w:r>
        <w:rPr>
          <w:rFonts w:ascii="David" w:hAnsi="David" w:cs="David"/>
          <w:sz w:val="24"/>
          <w:szCs w:val="24"/>
          <w:rtl/>
        </w:rPr>
        <w:t>מתני'. לא יצק</w:t>
      </w:r>
      <w:r>
        <w:rPr>
          <w:rFonts w:ascii="David" w:hAnsi="David" w:cs="David" w:hint="cs"/>
          <w:sz w:val="24"/>
          <w:szCs w:val="24"/>
          <w:rtl/>
        </w:rPr>
        <w:t>...</w:t>
      </w:r>
      <w:r w:rsidRPr="000477C6">
        <w:rPr>
          <w:rFonts w:ascii="David" w:hAnsi="David" w:cs="David"/>
          <w:sz w:val="24"/>
          <w:szCs w:val="24"/>
          <w:rtl/>
        </w:rPr>
        <w:t xml:space="preserve">- כשירה. </w:t>
      </w:r>
    </w:p>
    <w:p w14:paraId="46868050" w14:textId="34C4F0F0" w:rsidR="000477C6" w:rsidRDefault="000477C6" w:rsidP="00BD0ED3">
      <w:pPr>
        <w:spacing w:after="0" w:line="360" w:lineRule="auto"/>
        <w:ind w:left="720"/>
        <w:rPr>
          <w:rFonts w:ascii="David" w:hAnsi="David" w:cs="David"/>
          <w:sz w:val="24"/>
          <w:szCs w:val="24"/>
          <w:rtl/>
        </w:rPr>
      </w:pPr>
      <w:proofErr w:type="spellStart"/>
      <w:r w:rsidRPr="000477C6">
        <w:rPr>
          <w:rFonts w:ascii="David" w:hAnsi="David" w:cs="David"/>
          <w:sz w:val="24"/>
          <w:szCs w:val="24"/>
          <w:rtl/>
        </w:rPr>
        <w:t>גמ</w:t>
      </w:r>
      <w:proofErr w:type="spellEnd"/>
      <w:r w:rsidRPr="000477C6">
        <w:rPr>
          <w:rFonts w:ascii="David" w:hAnsi="David" w:cs="David"/>
          <w:sz w:val="24"/>
          <w:szCs w:val="24"/>
          <w:rtl/>
        </w:rPr>
        <w:t xml:space="preserve">'. מאי לא יצק? </w:t>
      </w:r>
      <w:proofErr w:type="spellStart"/>
      <w:r w:rsidRPr="000477C6">
        <w:rPr>
          <w:rFonts w:ascii="David" w:hAnsi="David" w:cs="David"/>
          <w:sz w:val="24"/>
          <w:szCs w:val="24"/>
          <w:rtl/>
        </w:rPr>
        <w:t>אילימא</w:t>
      </w:r>
      <w:proofErr w:type="spellEnd"/>
      <w:r w:rsidRPr="000477C6">
        <w:rPr>
          <w:rFonts w:ascii="David" w:hAnsi="David" w:cs="David"/>
          <w:sz w:val="24"/>
          <w:szCs w:val="24"/>
          <w:rtl/>
        </w:rPr>
        <w:t xml:space="preserve"> לא יצק כלל, </w:t>
      </w:r>
      <w:proofErr w:type="spellStart"/>
      <w:r w:rsidRPr="000477C6">
        <w:rPr>
          <w:rFonts w:ascii="David" w:hAnsi="David" w:cs="David"/>
          <w:sz w:val="24"/>
          <w:szCs w:val="24"/>
          <w:rtl/>
        </w:rPr>
        <w:t>עיכובא</w:t>
      </w:r>
      <w:proofErr w:type="spellEnd"/>
      <w:r w:rsidRPr="000477C6">
        <w:rPr>
          <w:rFonts w:ascii="David" w:hAnsi="David" w:cs="David"/>
          <w:sz w:val="24"/>
          <w:szCs w:val="24"/>
          <w:rtl/>
        </w:rPr>
        <w:t xml:space="preserve"> כתב בה! אלא, לא יצק כהן אלא זר</w:t>
      </w:r>
    </w:p>
    <w:p w14:paraId="30F56A16" w14:textId="025BE5AF" w:rsidR="000477C6" w:rsidRDefault="000477C6" w:rsidP="00BD0ED3">
      <w:pPr>
        <w:spacing w:after="0" w:line="360" w:lineRule="auto"/>
        <w:ind w:left="720"/>
        <w:rPr>
          <w:rFonts w:ascii="David" w:hAnsi="David" w:cs="David"/>
          <w:sz w:val="24"/>
          <w:szCs w:val="24"/>
          <w:rtl/>
        </w:rPr>
      </w:pPr>
      <w:proofErr w:type="spellStart"/>
      <w:r>
        <w:rPr>
          <w:rFonts w:ascii="David" w:hAnsi="David" w:cs="David" w:hint="cs"/>
          <w:sz w:val="24"/>
          <w:szCs w:val="24"/>
          <w:rtl/>
        </w:rPr>
        <w:t>ל</w:t>
      </w:r>
      <w:r w:rsidRPr="000477C6">
        <w:rPr>
          <w:rFonts w:ascii="David" w:hAnsi="David" w:cs="David"/>
          <w:sz w:val="24"/>
          <w:szCs w:val="24"/>
          <w:rtl/>
        </w:rPr>
        <w:t>ימא</w:t>
      </w:r>
      <w:proofErr w:type="spellEnd"/>
      <w:r w:rsidRPr="000477C6">
        <w:rPr>
          <w:rFonts w:ascii="David" w:hAnsi="David" w:cs="David"/>
          <w:sz w:val="24"/>
          <w:szCs w:val="24"/>
          <w:rtl/>
        </w:rPr>
        <w:t xml:space="preserve">, </w:t>
      </w:r>
      <w:proofErr w:type="spellStart"/>
      <w:r w:rsidRPr="000477C6">
        <w:rPr>
          <w:rFonts w:ascii="David" w:hAnsi="David" w:cs="David"/>
          <w:sz w:val="24"/>
          <w:szCs w:val="24"/>
          <w:rtl/>
        </w:rPr>
        <w:t>מתניתין</w:t>
      </w:r>
      <w:proofErr w:type="spellEnd"/>
      <w:r w:rsidRPr="000477C6">
        <w:rPr>
          <w:rFonts w:ascii="David" w:hAnsi="David" w:cs="David"/>
          <w:sz w:val="24"/>
          <w:szCs w:val="24"/>
          <w:rtl/>
        </w:rPr>
        <w:t xml:space="preserve"> דלא כרבי שמעון; </w:t>
      </w:r>
      <w:proofErr w:type="spellStart"/>
      <w:r w:rsidRPr="000477C6">
        <w:rPr>
          <w:rFonts w:ascii="David" w:hAnsi="David" w:cs="David"/>
          <w:sz w:val="24"/>
          <w:szCs w:val="24"/>
          <w:rtl/>
        </w:rPr>
        <w:t>דתניא</w:t>
      </w:r>
      <w:proofErr w:type="spellEnd"/>
      <w:r w:rsidRPr="000477C6">
        <w:rPr>
          <w:rFonts w:ascii="David" w:hAnsi="David" w:cs="David"/>
          <w:sz w:val="24"/>
          <w:szCs w:val="24"/>
          <w:rtl/>
        </w:rPr>
        <w:t xml:space="preserve">, רבי שמעון אומר: כל כהן שאינו מודה בעבודה - אין לו חלק בכהונה, שנאמר: המקריב את דם השלמים ואת החלב מבני אהרן לו תהיה שוק הימין למנה, מודה בעבודה יש לו חלק בכהונה, שאינו מודה בעבודה אין לו חלק בכהונה; ואין לי אלא זו בלבד, מנין לרבות ט"ו עבודות: </w:t>
      </w:r>
      <w:r w:rsidRPr="004447AF">
        <w:rPr>
          <w:rFonts w:ascii="David" w:hAnsi="David" w:cs="David"/>
          <w:b/>
          <w:bCs/>
          <w:sz w:val="24"/>
          <w:szCs w:val="24"/>
          <w:rtl/>
        </w:rPr>
        <w:t xml:space="preserve">היציקות, </w:t>
      </w:r>
      <w:proofErr w:type="spellStart"/>
      <w:r w:rsidRPr="004447AF">
        <w:rPr>
          <w:rFonts w:ascii="David" w:hAnsi="David" w:cs="David"/>
          <w:b/>
          <w:bCs/>
          <w:sz w:val="24"/>
          <w:szCs w:val="24"/>
          <w:rtl/>
        </w:rPr>
        <w:t>והבלילות</w:t>
      </w:r>
      <w:proofErr w:type="spellEnd"/>
      <w:r w:rsidRPr="004447AF">
        <w:rPr>
          <w:rFonts w:ascii="David" w:hAnsi="David" w:cs="David"/>
          <w:b/>
          <w:bCs/>
          <w:sz w:val="24"/>
          <w:szCs w:val="24"/>
          <w:rtl/>
        </w:rPr>
        <w:t>, והפתיתות, והמליחות, והתנופות, וההגשות, והקמיצות, והקטרות, והמליקות, והקבלות, והזאות, והשקאת סוטה, ועריפת עגלה, וטהרת מצורע, ונשיאות כפים בין מבפנים בין מבחוץ</w:t>
      </w:r>
      <w:r w:rsidR="004447AF">
        <w:rPr>
          <w:rStyle w:val="a5"/>
          <w:rFonts w:ascii="David" w:hAnsi="David" w:cs="David"/>
          <w:b/>
          <w:bCs/>
          <w:sz w:val="24"/>
          <w:szCs w:val="24"/>
          <w:rtl/>
        </w:rPr>
        <w:footnoteReference w:id="27"/>
      </w:r>
      <w:r w:rsidRPr="000477C6">
        <w:rPr>
          <w:rFonts w:ascii="David" w:hAnsi="David" w:cs="David"/>
          <w:sz w:val="24"/>
          <w:szCs w:val="24"/>
          <w:rtl/>
        </w:rPr>
        <w:t xml:space="preserve">, מנין? ת"ל: מבני אהרן, עבודה המסורה לבני אהרן כל כהן שאינו מודה בה - אין לו חלק </w:t>
      </w:r>
      <w:r w:rsidRPr="000477C6">
        <w:rPr>
          <w:rFonts w:ascii="David" w:hAnsi="David" w:cs="David"/>
          <w:sz w:val="24"/>
          <w:szCs w:val="24"/>
          <w:rtl/>
        </w:rPr>
        <w:lastRenderedPageBreak/>
        <w:t xml:space="preserve">בכהונה! </w:t>
      </w:r>
      <w:r w:rsidR="00312FD9">
        <w:rPr>
          <w:rFonts w:ascii="David" w:hAnsi="David" w:cs="David" w:hint="cs"/>
          <w:sz w:val="24"/>
          <w:szCs w:val="24"/>
          <w:rtl/>
        </w:rPr>
        <w:t>...</w:t>
      </w:r>
      <w:proofErr w:type="spellStart"/>
      <w:r w:rsidRPr="000477C6">
        <w:rPr>
          <w:rFonts w:ascii="David" w:hAnsi="David" w:cs="David"/>
          <w:sz w:val="24"/>
          <w:szCs w:val="24"/>
          <w:rtl/>
        </w:rPr>
        <w:t>מחוורתא</w:t>
      </w:r>
      <w:proofErr w:type="spellEnd"/>
      <w:r w:rsidRPr="000477C6">
        <w:rPr>
          <w:rFonts w:ascii="David" w:hAnsi="David" w:cs="David"/>
          <w:sz w:val="24"/>
          <w:szCs w:val="24"/>
          <w:rtl/>
        </w:rPr>
        <w:t xml:space="preserve">, </w:t>
      </w:r>
      <w:proofErr w:type="spellStart"/>
      <w:r w:rsidRPr="000477C6">
        <w:rPr>
          <w:rFonts w:ascii="David" w:hAnsi="David" w:cs="David"/>
          <w:sz w:val="24"/>
          <w:szCs w:val="24"/>
          <w:rtl/>
        </w:rPr>
        <w:t>מתניתין</w:t>
      </w:r>
      <w:proofErr w:type="spellEnd"/>
      <w:r w:rsidRPr="000477C6">
        <w:rPr>
          <w:rFonts w:ascii="David" w:hAnsi="David" w:cs="David"/>
          <w:sz w:val="24"/>
          <w:szCs w:val="24"/>
          <w:rtl/>
        </w:rPr>
        <w:t xml:space="preserve"> דלא כר' שמעון</w:t>
      </w:r>
      <w:r w:rsidR="00241AA9">
        <w:rPr>
          <w:rStyle w:val="a5"/>
          <w:rFonts w:ascii="David" w:hAnsi="David" w:cs="David"/>
          <w:sz w:val="24"/>
          <w:szCs w:val="24"/>
          <w:rtl/>
        </w:rPr>
        <w:footnoteReference w:id="28"/>
      </w:r>
      <w:r w:rsidRPr="000477C6">
        <w:rPr>
          <w:rFonts w:ascii="David" w:hAnsi="David" w:cs="David"/>
          <w:sz w:val="24"/>
          <w:szCs w:val="24"/>
          <w:rtl/>
        </w:rPr>
        <w:t xml:space="preserve">. מ"ט דרבנן? אמר קרא: ויצק עליה שמן ונתן עליה לבונה והביאה אל בני אהרן הכהן וקמץ, מקמיצה ואילך מצות כהונה, לימד על </w:t>
      </w:r>
      <w:r w:rsidRPr="004447AF">
        <w:rPr>
          <w:rFonts w:ascii="David" w:hAnsi="David" w:cs="David"/>
          <w:b/>
          <w:bCs/>
          <w:sz w:val="24"/>
          <w:szCs w:val="24"/>
          <w:rtl/>
        </w:rPr>
        <w:t>יציקה ובלילה שכשירה בזר</w:t>
      </w:r>
      <w:r w:rsidRPr="000477C6">
        <w:rPr>
          <w:rFonts w:ascii="David" w:hAnsi="David" w:cs="David"/>
          <w:sz w:val="24"/>
          <w:szCs w:val="24"/>
          <w:rtl/>
        </w:rPr>
        <w:t>. ורבי שמעון? בני אהרן</w:t>
      </w:r>
      <w:r w:rsidR="004447AF">
        <w:rPr>
          <w:rFonts w:ascii="David" w:hAnsi="David" w:cs="David" w:hint="cs"/>
          <w:sz w:val="24"/>
          <w:szCs w:val="24"/>
          <w:rtl/>
        </w:rPr>
        <w:t xml:space="preserve"> </w:t>
      </w:r>
      <w:proofErr w:type="spellStart"/>
      <w:r w:rsidR="004447AF">
        <w:rPr>
          <w:rFonts w:ascii="David" w:hAnsi="David" w:cs="David" w:hint="cs"/>
          <w:sz w:val="24"/>
          <w:szCs w:val="24"/>
          <w:rtl/>
        </w:rPr>
        <w:t>הכהנים</w:t>
      </w:r>
      <w:proofErr w:type="spellEnd"/>
      <w:r w:rsidR="004447AF">
        <w:rPr>
          <w:rFonts w:ascii="David" w:hAnsi="David" w:cs="David" w:hint="cs"/>
          <w:sz w:val="24"/>
          <w:szCs w:val="24"/>
          <w:rtl/>
        </w:rPr>
        <w:t xml:space="preserve"> מקרא נדרש לפניו ולאחריו</w:t>
      </w:r>
      <w:r w:rsidR="004447AF">
        <w:rPr>
          <w:rStyle w:val="a5"/>
          <w:rFonts w:ascii="David" w:hAnsi="David" w:cs="David"/>
          <w:sz w:val="24"/>
          <w:szCs w:val="24"/>
          <w:rtl/>
        </w:rPr>
        <w:footnoteReference w:id="29"/>
      </w:r>
      <w:r w:rsidR="004447AF">
        <w:rPr>
          <w:rFonts w:ascii="David" w:hAnsi="David" w:cs="David" w:hint="cs"/>
          <w:sz w:val="24"/>
          <w:szCs w:val="24"/>
          <w:rtl/>
        </w:rPr>
        <w:t>.</w:t>
      </w:r>
    </w:p>
    <w:p w14:paraId="51F38C7B" w14:textId="6E5A5D06" w:rsidR="00292D19" w:rsidRDefault="00292D19" w:rsidP="00BD0ED3">
      <w:pPr>
        <w:spacing w:after="0" w:line="360" w:lineRule="auto"/>
        <w:ind w:left="720"/>
        <w:rPr>
          <w:rFonts w:ascii="David" w:hAnsi="David" w:cs="David"/>
          <w:sz w:val="24"/>
          <w:szCs w:val="24"/>
          <w:rtl/>
        </w:rPr>
      </w:pPr>
      <w:r w:rsidRPr="00292D19">
        <w:rPr>
          <w:rFonts w:ascii="David" w:hAnsi="David" w:cs="David"/>
          <w:sz w:val="24"/>
          <w:szCs w:val="24"/>
          <w:rtl/>
        </w:rPr>
        <w:t xml:space="preserve">הקשה </w:t>
      </w:r>
      <w:proofErr w:type="spellStart"/>
      <w:r w:rsidRPr="00292D19">
        <w:rPr>
          <w:rFonts w:ascii="David" w:hAnsi="David" w:cs="David"/>
          <w:sz w:val="24"/>
          <w:szCs w:val="24"/>
          <w:rtl/>
        </w:rPr>
        <w:t>בטהרת</w:t>
      </w:r>
      <w:proofErr w:type="spellEnd"/>
      <w:r w:rsidRPr="00292D19">
        <w:rPr>
          <w:rFonts w:ascii="David" w:hAnsi="David" w:cs="David"/>
          <w:sz w:val="24"/>
          <w:szCs w:val="24"/>
          <w:rtl/>
        </w:rPr>
        <w:t xml:space="preserve"> הקדש הרי יש לומר שרבי שמעון מכשיר בדיעבד, ואם כן לא נחלק על המשנה, שגם בלשון המשנה משמע שכשר רק בדיעבד, ותירץ </w:t>
      </w:r>
      <w:r w:rsidRPr="004447AF">
        <w:rPr>
          <w:rFonts w:ascii="David" w:hAnsi="David" w:cs="David"/>
          <w:b/>
          <w:bCs/>
          <w:sz w:val="24"/>
          <w:szCs w:val="24"/>
          <w:rtl/>
        </w:rPr>
        <w:t>שבכל מקום שנאמר דין כהונה הרי זר פסול אצלה, ולא מצאנו עבודה שנאמר בה דין כהונה רק לכתחילה</w:t>
      </w:r>
      <w:r w:rsidRPr="00292D19">
        <w:rPr>
          <w:rFonts w:ascii="David" w:hAnsi="David" w:cs="David"/>
          <w:sz w:val="24"/>
          <w:szCs w:val="24"/>
          <w:rtl/>
        </w:rPr>
        <w:t xml:space="preserve">, וכן תירץ </w:t>
      </w:r>
      <w:proofErr w:type="spellStart"/>
      <w:r w:rsidRPr="00292D19">
        <w:rPr>
          <w:rFonts w:ascii="David" w:hAnsi="David" w:cs="David"/>
          <w:sz w:val="24"/>
          <w:szCs w:val="24"/>
          <w:rtl/>
        </w:rPr>
        <w:t>החזו"א</w:t>
      </w:r>
      <w:proofErr w:type="spellEnd"/>
      <w:r w:rsidRPr="00292D19">
        <w:rPr>
          <w:rFonts w:ascii="David" w:hAnsi="David" w:cs="David"/>
          <w:sz w:val="24"/>
          <w:szCs w:val="24"/>
          <w:rtl/>
        </w:rPr>
        <w:t xml:space="preserve"> </w:t>
      </w:r>
      <w:r w:rsidRPr="00E3479D">
        <w:rPr>
          <w:rFonts w:ascii="David" w:hAnsi="David" w:cs="David"/>
          <w:sz w:val="20"/>
          <w:szCs w:val="20"/>
          <w:rtl/>
        </w:rPr>
        <w:t>[כה יד]</w:t>
      </w:r>
      <w:r w:rsidR="004447AF">
        <w:rPr>
          <w:rStyle w:val="a5"/>
          <w:rFonts w:ascii="David" w:hAnsi="David" w:cs="David"/>
          <w:sz w:val="24"/>
          <w:szCs w:val="24"/>
          <w:rtl/>
        </w:rPr>
        <w:footnoteReference w:id="30"/>
      </w:r>
      <w:r w:rsidRPr="00292D19">
        <w:rPr>
          <w:rFonts w:ascii="David" w:hAnsi="David" w:cs="David"/>
          <w:sz w:val="24"/>
          <w:szCs w:val="24"/>
          <w:rtl/>
        </w:rPr>
        <w:t>.</w:t>
      </w:r>
    </w:p>
    <w:p w14:paraId="07613742" w14:textId="77777777" w:rsidR="00BB0189" w:rsidRDefault="004447AF" w:rsidP="00E3479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נראה שזו הסברה גם בדברי השיטה מקובצת</w:t>
      </w:r>
      <w:r w:rsidR="00241AA9">
        <w:rPr>
          <w:rFonts w:asciiTheme="majorBidi" w:hAnsiTheme="majorBidi" w:cstheme="majorBidi" w:hint="cs"/>
          <w:sz w:val="24"/>
          <w:szCs w:val="24"/>
          <w:rtl/>
        </w:rPr>
        <w:t>, שזר פוסל לחלוטין</w:t>
      </w:r>
      <w:r w:rsidR="00F2791C">
        <w:rPr>
          <w:rFonts w:asciiTheme="majorBidi" w:hAnsiTheme="majorBidi" w:cstheme="majorBidi" w:hint="cs"/>
          <w:sz w:val="24"/>
          <w:szCs w:val="24"/>
          <w:rtl/>
        </w:rPr>
        <w:t xml:space="preserve"> גם בקבלת לבונה</w:t>
      </w:r>
      <w:r>
        <w:rPr>
          <w:rFonts w:asciiTheme="majorBidi" w:hAnsiTheme="majorBidi" w:cstheme="majorBidi" w:hint="cs"/>
          <w:sz w:val="24"/>
          <w:szCs w:val="24"/>
          <w:rtl/>
        </w:rPr>
        <w:t>.</w:t>
      </w:r>
    </w:p>
    <w:p w14:paraId="37919A05" w14:textId="3D7B91C4" w:rsidR="00C91060" w:rsidRDefault="00C91060" w:rsidP="00E3479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לדעת המנחת חינוך, הרמב"</w:t>
      </w:r>
      <w:r w:rsidR="00F20137">
        <w:rPr>
          <w:rFonts w:asciiTheme="majorBidi" w:hAnsiTheme="majorBidi" w:cstheme="majorBidi" w:hint="cs"/>
          <w:sz w:val="24"/>
          <w:szCs w:val="24"/>
          <w:rtl/>
        </w:rPr>
        <w:t>ם חולק על ע</w:t>
      </w:r>
      <w:r w:rsidR="00774A4B">
        <w:rPr>
          <w:rFonts w:asciiTheme="majorBidi" w:hAnsiTheme="majorBidi" w:cstheme="majorBidi" w:hint="cs"/>
          <w:sz w:val="24"/>
          <w:szCs w:val="24"/>
          <w:rtl/>
        </w:rPr>
        <w:t>י</w:t>
      </w:r>
      <w:r w:rsidR="00F20137">
        <w:rPr>
          <w:rFonts w:asciiTheme="majorBidi" w:hAnsiTheme="majorBidi" w:cstheme="majorBidi" w:hint="cs"/>
          <w:sz w:val="24"/>
          <w:szCs w:val="24"/>
          <w:rtl/>
        </w:rPr>
        <w:t xml:space="preserve">קרון זה. לדעתו, גם מלאכות שמצאנו שהותרו בזר, אין היתר זה אלא </w:t>
      </w:r>
      <w:proofErr w:type="spellStart"/>
      <w:r w:rsidR="00F20137">
        <w:rPr>
          <w:rFonts w:asciiTheme="majorBidi" w:hAnsiTheme="majorBidi" w:cstheme="majorBidi" w:hint="cs"/>
          <w:sz w:val="24"/>
          <w:szCs w:val="24"/>
          <w:rtl/>
        </w:rPr>
        <w:t>דיעבד</w:t>
      </w:r>
      <w:proofErr w:type="spellEnd"/>
      <w:r>
        <w:rPr>
          <w:rFonts w:asciiTheme="majorBidi" w:hAnsiTheme="majorBidi" w:cstheme="majorBidi" w:hint="cs"/>
          <w:sz w:val="24"/>
          <w:szCs w:val="24"/>
          <w:rtl/>
        </w:rPr>
        <w:t>:</w:t>
      </w:r>
    </w:p>
    <w:p w14:paraId="67CE90C0" w14:textId="67267214" w:rsidR="00C91060" w:rsidRDefault="00C91060" w:rsidP="00BD0ED3">
      <w:pPr>
        <w:spacing w:line="360" w:lineRule="auto"/>
        <w:ind w:left="720"/>
        <w:rPr>
          <w:rFonts w:ascii="David" w:hAnsi="David" w:cs="David"/>
          <w:sz w:val="24"/>
          <w:szCs w:val="24"/>
          <w:rtl/>
        </w:rPr>
      </w:pPr>
      <w:r w:rsidRPr="00C91060">
        <w:rPr>
          <w:rFonts w:ascii="David" w:hAnsi="David" w:cs="David"/>
          <w:sz w:val="24"/>
          <w:szCs w:val="24"/>
          <w:rtl/>
        </w:rPr>
        <w:t>יציקה ובלילה שכשרה בזר</w:t>
      </w:r>
      <w:r w:rsidR="00774A4B">
        <w:rPr>
          <w:rFonts w:ascii="David" w:hAnsi="David" w:cs="David" w:hint="cs"/>
          <w:sz w:val="24"/>
          <w:szCs w:val="24"/>
          <w:rtl/>
        </w:rPr>
        <w:t xml:space="preserve"> </w:t>
      </w:r>
      <w:r w:rsidR="00E3479D">
        <w:rPr>
          <w:rFonts w:ascii="David" w:hAnsi="David" w:cs="David" w:hint="cs"/>
          <w:sz w:val="24"/>
          <w:szCs w:val="24"/>
          <w:rtl/>
        </w:rPr>
        <w:t>-</w:t>
      </w:r>
      <w:r w:rsidRPr="00C91060">
        <w:rPr>
          <w:rFonts w:ascii="David" w:hAnsi="David" w:cs="David"/>
          <w:sz w:val="24"/>
          <w:szCs w:val="24"/>
          <w:rtl/>
        </w:rPr>
        <w:t xml:space="preserve"> וה"ה לכל הפסולים לעבודה</w:t>
      </w:r>
      <w:r w:rsidR="00E3479D">
        <w:rPr>
          <w:rFonts w:ascii="David" w:hAnsi="David" w:cs="David" w:hint="cs"/>
          <w:sz w:val="24"/>
          <w:szCs w:val="24"/>
          <w:rtl/>
        </w:rPr>
        <w:t xml:space="preserve">. </w:t>
      </w:r>
      <w:r w:rsidRPr="00C91060">
        <w:rPr>
          <w:rFonts w:ascii="David" w:hAnsi="David" w:cs="David"/>
          <w:sz w:val="24"/>
          <w:szCs w:val="24"/>
          <w:rtl/>
        </w:rPr>
        <w:t xml:space="preserve">ונראה מלשון הש"ס דאף </w:t>
      </w:r>
      <w:proofErr w:type="spellStart"/>
      <w:r w:rsidRPr="00C91060">
        <w:rPr>
          <w:rFonts w:ascii="David" w:hAnsi="David" w:cs="David"/>
          <w:sz w:val="24"/>
          <w:szCs w:val="24"/>
          <w:rtl/>
        </w:rPr>
        <w:t>לכתחלה</w:t>
      </w:r>
      <w:proofErr w:type="spellEnd"/>
      <w:r w:rsidRPr="00C91060">
        <w:rPr>
          <w:rFonts w:ascii="David" w:hAnsi="David" w:cs="David"/>
          <w:sz w:val="24"/>
          <w:szCs w:val="24"/>
          <w:rtl/>
        </w:rPr>
        <w:t xml:space="preserve"> כשר בזרים כמו שחיטה</w:t>
      </w:r>
      <w:r w:rsidR="00E3479D">
        <w:rPr>
          <w:rFonts w:ascii="David" w:hAnsi="David" w:cs="David" w:hint="cs"/>
          <w:sz w:val="24"/>
          <w:szCs w:val="24"/>
          <w:rtl/>
        </w:rPr>
        <w:t>,</w:t>
      </w:r>
      <w:r w:rsidRPr="00C91060">
        <w:rPr>
          <w:rFonts w:ascii="David" w:hAnsi="David" w:cs="David"/>
          <w:sz w:val="24"/>
          <w:szCs w:val="24"/>
          <w:rtl/>
        </w:rPr>
        <w:t xml:space="preserve"> </w:t>
      </w:r>
      <w:proofErr w:type="spellStart"/>
      <w:r w:rsidRPr="00C91060">
        <w:rPr>
          <w:rFonts w:ascii="David" w:hAnsi="David" w:cs="David"/>
          <w:sz w:val="24"/>
          <w:szCs w:val="24"/>
          <w:rtl/>
        </w:rPr>
        <w:t>דמקבלה</w:t>
      </w:r>
      <w:proofErr w:type="spellEnd"/>
      <w:r w:rsidRPr="00C91060">
        <w:rPr>
          <w:rFonts w:ascii="David" w:hAnsi="David" w:cs="David"/>
          <w:sz w:val="24"/>
          <w:szCs w:val="24"/>
          <w:rtl/>
        </w:rPr>
        <w:t xml:space="preserve"> ואילך </w:t>
      </w:r>
      <w:r w:rsidR="00F20137">
        <w:rPr>
          <w:rFonts w:ascii="David" w:hAnsi="David" w:cs="David"/>
          <w:sz w:val="24"/>
          <w:szCs w:val="24"/>
          <w:rtl/>
        </w:rPr>
        <w:t>מצו</w:t>
      </w:r>
      <w:r w:rsidRPr="00C91060">
        <w:rPr>
          <w:rFonts w:ascii="David" w:hAnsi="David" w:cs="David"/>
          <w:sz w:val="24"/>
          <w:szCs w:val="24"/>
          <w:rtl/>
        </w:rPr>
        <w:t xml:space="preserve">ות כהונה ושחיטה כשרה בזר אף </w:t>
      </w:r>
      <w:proofErr w:type="spellStart"/>
      <w:r w:rsidRPr="00C91060">
        <w:rPr>
          <w:rFonts w:ascii="David" w:hAnsi="David" w:cs="David"/>
          <w:sz w:val="24"/>
          <w:szCs w:val="24"/>
          <w:rtl/>
        </w:rPr>
        <w:t>לכתחלה</w:t>
      </w:r>
      <w:proofErr w:type="spellEnd"/>
      <w:r w:rsidRPr="00C91060">
        <w:rPr>
          <w:rFonts w:ascii="David" w:hAnsi="David" w:cs="David"/>
          <w:sz w:val="24"/>
          <w:szCs w:val="24"/>
          <w:rtl/>
        </w:rPr>
        <w:t xml:space="preserve">. אך בר"מ </w:t>
      </w:r>
      <w:proofErr w:type="spellStart"/>
      <w:r w:rsidRPr="00E3479D">
        <w:rPr>
          <w:rFonts w:ascii="David" w:hAnsi="David" w:cs="David"/>
          <w:sz w:val="20"/>
          <w:szCs w:val="20"/>
          <w:rtl/>
        </w:rPr>
        <w:t>פי"א</w:t>
      </w:r>
      <w:proofErr w:type="spellEnd"/>
      <w:r w:rsidRPr="00E3479D">
        <w:rPr>
          <w:rFonts w:ascii="David" w:hAnsi="David" w:cs="David"/>
          <w:sz w:val="20"/>
          <w:szCs w:val="20"/>
          <w:rtl/>
        </w:rPr>
        <w:t xml:space="preserve"> </w:t>
      </w:r>
      <w:proofErr w:type="spellStart"/>
      <w:r w:rsidRPr="00E3479D">
        <w:rPr>
          <w:rFonts w:ascii="David" w:hAnsi="David" w:cs="David"/>
          <w:sz w:val="20"/>
          <w:szCs w:val="20"/>
          <w:rtl/>
        </w:rPr>
        <w:t>מפסה"מ</w:t>
      </w:r>
      <w:proofErr w:type="spellEnd"/>
      <w:r w:rsidRPr="00E3479D">
        <w:rPr>
          <w:rFonts w:ascii="David" w:hAnsi="David" w:cs="David"/>
          <w:sz w:val="20"/>
          <w:szCs w:val="20"/>
          <w:rtl/>
        </w:rPr>
        <w:t xml:space="preserve"> </w:t>
      </w:r>
      <w:proofErr w:type="spellStart"/>
      <w:r w:rsidRPr="00E3479D">
        <w:rPr>
          <w:rFonts w:ascii="David" w:hAnsi="David" w:cs="David"/>
          <w:sz w:val="20"/>
          <w:szCs w:val="20"/>
          <w:rtl/>
        </w:rPr>
        <w:t>ה"ז</w:t>
      </w:r>
      <w:proofErr w:type="spellEnd"/>
      <w:r w:rsidRPr="00E3479D">
        <w:rPr>
          <w:rFonts w:ascii="David" w:hAnsi="David" w:cs="David"/>
          <w:sz w:val="20"/>
          <w:szCs w:val="20"/>
          <w:rtl/>
        </w:rPr>
        <w:t xml:space="preserve"> </w:t>
      </w:r>
      <w:r w:rsidRPr="00C91060">
        <w:rPr>
          <w:rFonts w:ascii="David" w:hAnsi="David" w:cs="David"/>
          <w:sz w:val="24"/>
          <w:szCs w:val="24"/>
          <w:rtl/>
        </w:rPr>
        <w:t>כ' וז"ל</w:t>
      </w:r>
      <w:r w:rsidR="00E3479D">
        <w:rPr>
          <w:rFonts w:ascii="David" w:hAnsi="David" w:cs="David" w:hint="cs"/>
          <w:sz w:val="24"/>
          <w:szCs w:val="24"/>
          <w:rtl/>
        </w:rPr>
        <w:t>:</w:t>
      </w:r>
      <w:r w:rsidRPr="00C91060">
        <w:rPr>
          <w:rFonts w:ascii="David" w:hAnsi="David" w:cs="David"/>
          <w:sz w:val="24"/>
          <w:szCs w:val="24"/>
          <w:rtl/>
        </w:rPr>
        <w:t xml:space="preserve"> כל המנחות שיצק </w:t>
      </w:r>
      <w:proofErr w:type="spellStart"/>
      <w:r w:rsidRPr="00C91060">
        <w:rPr>
          <w:rFonts w:ascii="David" w:hAnsi="David" w:cs="David"/>
          <w:sz w:val="24"/>
          <w:szCs w:val="24"/>
          <w:rtl/>
        </w:rPr>
        <w:t>כו</w:t>
      </w:r>
      <w:proofErr w:type="spellEnd"/>
      <w:r w:rsidRPr="00C91060">
        <w:rPr>
          <w:rFonts w:ascii="David" w:hAnsi="David" w:cs="David"/>
          <w:sz w:val="24"/>
          <w:szCs w:val="24"/>
          <w:rtl/>
        </w:rPr>
        <w:t xml:space="preserve">' או </w:t>
      </w:r>
      <w:proofErr w:type="spellStart"/>
      <w:r w:rsidRPr="00C91060">
        <w:rPr>
          <w:rFonts w:ascii="David" w:hAnsi="David" w:cs="David"/>
          <w:sz w:val="24"/>
          <w:szCs w:val="24"/>
          <w:rtl/>
        </w:rPr>
        <w:t>שבללן</w:t>
      </w:r>
      <w:proofErr w:type="spellEnd"/>
      <w:r w:rsidRPr="00C91060">
        <w:rPr>
          <w:rFonts w:ascii="David" w:hAnsi="David" w:cs="David"/>
          <w:sz w:val="24"/>
          <w:szCs w:val="24"/>
          <w:rtl/>
        </w:rPr>
        <w:t xml:space="preserve"> הזר כשרים </w:t>
      </w:r>
      <w:r w:rsidR="00037E26">
        <w:rPr>
          <w:rFonts w:ascii="David" w:hAnsi="David" w:cs="David" w:hint="cs"/>
          <w:b/>
          <w:bCs/>
          <w:sz w:val="24"/>
          <w:szCs w:val="24"/>
          <w:rtl/>
        </w:rPr>
        <w:t xml:space="preserve">- </w:t>
      </w:r>
      <w:r w:rsidRPr="00C91060">
        <w:rPr>
          <w:rFonts w:ascii="David" w:hAnsi="David" w:cs="David"/>
          <w:b/>
          <w:bCs/>
          <w:sz w:val="24"/>
          <w:szCs w:val="24"/>
          <w:rtl/>
        </w:rPr>
        <w:t xml:space="preserve">מבואר </w:t>
      </w:r>
      <w:proofErr w:type="spellStart"/>
      <w:r w:rsidRPr="00C91060">
        <w:rPr>
          <w:rFonts w:ascii="David" w:hAnsi="David" w:cs="David"/>
          <w:b/>
          <w:bCs/>
          <w:sz w:val="24"/>
          <w:szCs w:val="24"/>
          <w:rtl/>
        </w:rPr>
        <w:t>דדוקא</w:t>
      </w:r>
      <w:proofErr w:type="spellEnd"/>
      <w:r w:rsidRPr="00C91060">
        <w:rPr>
          <w:rFonts w:ascii="David" w:hAnsi="David" w:cs="David"/>
          <w:b/>
          <w:bCs/>
          <w:sz w:val="24"/>
          <w:szCs w:val="24"/>
          <w:rtl/>
        </w:rPr>
        <w:t xml:space="preserve"> </w:t>
      </w:r>
      <w:proofErr w:type="spellStart"/>
      <w:r w:rsidRPr="00C91060">
        <w:rPr>
          <w:rFonts w:ascii="David" w:hAnsi="David" w:cs="David"/>
          <w:b/>
          <w:bCs/>
          <w:sz w:val="24"/>
          <w:szCs w:val="24"/>
          <w:rtl/>
        </w:rPr>
        <w:t>דיעבד</w:t>
      </w:r>
      <w:proofErr w:type="spellEnd"/>
      <w:r>
        <w:rPr>
          <w:rStyle w:val="a5"/>
          <w:rFonts w:ascii="David" w:hAnsi="David" w:cs="David"/>
          <w:b/>
          <w:bCs/>
          <w:sz w:val="24"/>
          <w:szCs w:val="24"/>
          <w:rtl/>
        </w:rPr>
        <w:footnoteReference w:id="31"/>
      </w:r>
      <w:r w:rsidRPr="00C91060">
        <w:rPr>
          <w:rFonts w:ascii="David" w:hAnsi="David" w:cs="David"/>
          <w:sz w:val="24"/>
          <w:szCs w:val="24"/>
          <w:rtl/>
        </w:rPr>
        <w:t>.</w:t>
      </w:r>
    </w:p>
    <w:p w14:paraId="48F34FFE" w14:textId="638BFCC7" w:rsidR="00BB4099" w:rsidRPr="00BB4099" w:rsidRDefault="00BB4099" w:rsidP="00BD0ED3">
      <w:pPr>
        <w:spacing w:line="360" w:lineRule="auto"/>
        <w:ind w:left="720"/>
        <w:rPr>
          <w:rFonts w:ascii="David" w:hAnsi="David" w:cs="David"/>
          <w:color w:val="FF0000"/>
          <w:sz w:val="24"/>
          <w:szCs w:val="24"/>
          <w:rtl/>
        </w:rPr>
      </w:pPr>
    </w:p>
    <w:p w14:paraId="5A4AC5C2" w14:textId="77777777" w:rsidR="00BB4099" w:rsidRPr="00BB4099" w:rsidRDefault="00BB4099" w:rsidP="00BB4099">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01917A9F" w14:textId="77777777" w:rsidR="00BB4099" w:rsidRPr="00BB4099" w:rsidRDefault="00BB4099" w:rsidP="00BB4099">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0C6D5B0D" w14:textId="77777777" w:rsidR="00BB4099" w:rsidRPr="00C91060" w:rsidRDefault="00BB4099" w:rsidP="00BD0ED3">
      <w:pPr>
        <w:spacing w:line="360" w:lineRule="auto"/>
        <w:ind w:left="720"/>
        <w:rPr>
          <w:rFonts w:ascii="David" w:hAnsi="David" w:cs="David"/>
          <w:sz w:val="24"/>
          <w:szCs w:val="24"/>
        </w:rPr>
      </w:pPr>
    </w:p>
    <w:sectPr w:rsidR="00BB4099" w:rsidRPr="00C91060" w:rsidSect="007873F3">
      <w:head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6-05T14:41:00Z" w:initials="או">
    <w:p w14:paraId="286C5D15" w14:textId="77777777" w:rsidR="00C955AD" w:rsidRDefault="00C955AD" w:rsidP="00C955AD">
      <w:pPr>
        <w:pStyle w:val="ad"/>
        <w:jc w:val="right"/>
      </w:pPr>
      <w:r>
        <w:rPr>
          <w:rStyle w:val="ac"/>
        </w:rPr>
        <w:annotationRef/>
      </w:r>
      <w:r>
        <w:rPr>
          <w:rFonts w:hint="eastAsia"/>
          <w:rtl/>
        </w:rPr>
        <w:t>כל</w:t>
      </w:r>
      <w:r>
        <w:rPr>
          <w:rtl/>
        </w:rPr>
        <w:t xml:space="preserve"> עניין ההולכה והקשר בין קמיצה ע"י זר להולכה, מופיע בגמרא לעיל, וכיוון שאתה משתמש בו, רצוי להסביר אותו.</w:t>
      </w:r>
    </w:p>
  </w:comment>
  <w:comment w:id="1" w:author="אבי ונגרובר" w:date="2025-06-05T14:43:00Z" w:initials="או">
    <w:p w14:paraId="16FE03B2" w14:textId="77777777" w:rsidR="00774A4B" w:rsidRDefault="00774A4B" w:rsidP="00774A4B">
      <w:pPr>
        <w:pStyle w:val="ad"/>
        <w:jc w:val="right"/>
      </w:pPr>
      <w:r>
        <w:rPr>
          <w:rStyle w:val="ac"/>
        </w:rPr>
        <w:annotationRef/>
      </w:r>
      <w:r>
        <w:rPr>
          <w:rFonts w:hint="eastAsia"/>
          <w:rtl/>
        </w:rPr>
        <w:t>גם</w:t>
      </w:r>
      <w:r>
        <w:rPr>
          <w:rtl/>
        </w:rPr>
        <w:t xml:space="preserve"> פה, בלי הסבר קצר הדברים סתומים.</w:t>
      </w:r>
    </w:p>
  </w:comment>
  <w:comment w:id="2" w:author="אבי ונגרובר" w:date="2025-06-05T14:47:00Z" w:initials="או">
    <w:p w14:paraId="0E626F0F" w14:textId="77777777" w:rsidR="00774A4B" w:rsidRDefault="00774A4B" w:rsidP="00774A4B">
      <w:pPr>
        <w:pStyle w:val="ad"/>
        <w:jc w:val="right"/>
      </w:pPr>
      <w:r>
        <w:rPr>
          <w:rStyle w:val="ac"/>
        </w:rPr>
        <w:annotationRef/>
      </w:r>
      <w:r>
        <w:rPr>
          <w:rFonts w:hint="eastAsia"/>
          <w:rtl/>
        </w:rPr>
        <w:t>רצוי</w:t>
      </w:r>
      <w:r>
        <w:rPr>
          <w:rtl/>
        </w:rPr>
        <w:t xml:space="preserve"> להסביר את דבריו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C5D15" w15:done="1"/>
  <w15:commentEx w15:paraId="16FE03B2" w15:done="1"/>
  <w15:commentEx w15:paraId="0E626F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AB72B25" w16cex:dateUtc="2025-06-05T11:41:00Z"/>
  <w16cex:commentExtensible w16cex:durableId="50B6E2E5" w16cex:dateUtc="2025-06-05T11:43:00Z"/>
  <w16cex:commentExtensible w16cex:durableId="052BF351" w16cex:dateUtc="2025-06-05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C5D15" w16cid:durableId="1AB72B25"/>
  <w16cid:commentId w16cid:paraId="16FE03B2" w16cid:durableId="50B6E2E5"/>
  <w16cid:commentId w16cid:paraId="0E626F0F" w16cid:durableId="052BF3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2EB01" w14:textId="77777777" w:rsidR="00F952C3" w:rsidRDefault="00F952C3" w:rsidP="004066FB">
      <w:pPr>
        <w:spacing w:after="0" w:line="240" w:lineRule="auto"/>
      </w:pPr>
      <w:r>
        <w:separator/>
      </w:r>
    </w:p>
  </w:endnote>
  <w:endnote w:type="continuationSeparator" w:id="0">
    <w:p w14:paraId="18434D17" w14:textId="77777777" w:rsidR="00F952C3" w:rsidRDefault="00F952C3" w:rsidP="0040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03F2" w14:textId="77777777" w:rsidR="00F952C3" w:rsidRDefault="00F952C3" w:rsidP="004066FB">
      <w:pPr>
        <w:spacing w:after="0" w:line="240" w:lineRule="auto"/>
      </w:pPr>
      <w:r>
        <w:separator/>
      </w:r>
    </w:p>
  </w:footnote>
  <w:footnote w:type="continuationSeparator" w:id="0">
    <w:p w14:paraId="1F0F0D9D" w14:textId="77777777" w:rsidR="00F952C3" w:rsidRDefault="00F952C3" w:rsidP="004066FB">
      <w:pPr>
        <w:spacing w:after="0" w:line="240" w:lineRule="auto"/>
      </w:pPr>
      <w:r>
        <w:continuationSeparator/>
      </w:r>
    </w:p>
  </w:footnote>
  <w:footnote w:id="1">
    <w:p w14:paraId="099BC4E3" w14:textId="77777777" w:rsidR="004066FB" w:rsidRPr="00312FD9" w:rsidRDefault="004066FB" w:rsidP="00312FD9">
      <w:pPr>
        <w:spacing w:after="0" w:line="360" w:lineRule="auto"/>
        <w:rPr>
          <w:rFonts w:asciiTheme="majorBidi" w:hAnsiTheme="majorBidi" w:cstheme="majorBidi"/>
          <w:sz w:val="20"/>
          <w:szCs w:val="20"/>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רמב"ם הלכות מעשה </w:t>
      </w:r>
      <w:proofErr w:type="spellStart"/>
      <w:r w:rsidRPr="00312FD9">
        <w:rPr>
          <w:rFonts w:asciiTheme="majorBidi" w:hAnsiTheme="majorBidi" w:cstheme="majorBidi"/>
          <w:sz w:val="20"/>
          <w:szCs w:val="20"/>
          <w:rtl/>
        </w:rPr>
        <w:t>הקרבנות</w:t>
      </w:r>
      <w:proofErr w:type="spellEnd"/>
      <w:r w:rsidRPr="00312FD9">
        <w:rPr>
          <w:rFonts w:asciiTheme="majorBidi" w:hAnsiTheme="majorBidi" w:cstheme="majorBidi"/>
          <w:sz w:val="20"/>
          <w:szCs w:val="20"/>
          <w:rtl/>
        </w:rPr>
        <w:t xml:space="preserve"> פרק </w:t>
      </w:r>
      <w:proofErr w:type="spellStart"/>
      <w:r w:rsidRPr="00312FD9">
        <w:rPr>
          <w:rFonts w:asciiTheme="majorBidi" w:hAnsiTheme="majorBidi" w:cstheme="majorBidi"/>
          <w:sz w:val="20"/>
          <w:szCs w:val="20"/>
          <w:rtl/>
        </w:rPr>
        <w:t>יג</w:t>
      </w:r>
      <w:proofErr w:type="spellEnd"/>
      <w:r w:rsidRPr="00312FD9">
        <w:rPr>
          <w:rFonts w:asciiTheme="majorBidi" w:hAnsiTheme="majorBidi" w:cstheme="majorBidi"/>
          <w:sz w:val="20"/>
          <w:szCs w:val="20"/>
          <w:rtl/>
        </w:rPr>
        <w:t xml:space="preserve"> הלכה </w:t>
      </w:r>
      <w:proofErr w:type="spellStart"/>
      <w:r w:rsidRPr="00312FD9">
        <w:rPr>
          <w:rFonts w:asciiTheme="majorBidi" w:hAnsiTheme="majorBidi" w:cstheme="majorBidi"/>
          <w:sz w:val="20"/>
          <w:szCs w:val="20"/>
          <w:rtl/>
        </w:rPr>
        <w:t>יב</w:t>
      </w:r>
      <w:proofErr w:type="spellEnd"/>
      <w:r w:rsidRPr="00312FD9">
        <w:rPr>
          <w:rFonts w:asciiTheme="majorBidi" w:hAnsiTheme="majorBidi" w:cstheme="majorBidi"/>
          <w:sz w:val="20"/>
          <w:szCs w:val="20"/>
          <w:rtl/>
        </w:rPr>
        <w:t>.</w:t>
      </w:r>
    </w:p>
  </w:footnote>
  <w:footnote w:id="2">
    <w:p w14:paraId="37DCDC48" w14:textId="26B0541C" w:rsidR="004066FB" w:rsidRPr="009B5654" w:rsidRDefault="004066FB" w:rsidP="009B5654">
      <w:pPr>
        <w:spacing w:after="0" w:line="360" w:lineRule="auto"/>
        <w:rPr>
          <w:rFonts w:asciiTheme="majorBidi" w:hAnsiTheme="majorBidi" w:cstheme="majorBidi"/>
          <w:sz w:val="20"/>
          <w:szCs w:val="20"/>
          <w:rtl/>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רש"י </w:t>
      </w:r>
      <w:proofErr w:type="spellStart"/>
      <w:r w:rsidRPr="00312FD9">
        <w:rPr>
          <w:rFonts w:asciiTheme="majorBidi" w:hAnsiTheme="majorBidi" w:cstheme="majorBidi"/>
          <w:sz w:val="20"/>
          <w:szCs w:val="20"/>
          <w:rtl/>
        </w:rPr>
        <w:t>יג</w:t>
      </w:r>
      <w:proofErr w:type="spellEnd"/>
      <w:r w:rsidR="0096346A">
        <w:rPr>
          <w:rFonts w:asciiTheme="majorBidi" w:hAnsiTheme="majorBidi" w:cstheme="majorBidi" w:hint="cs"/>
          <w:sz w:val="20"/>
          <w:szCs w:val="20"/>
          <w:rtl/>
        </w:rPr>
        <w:t xml:space="preserve">, </w:t>
      </w:r>
      <w:r w:rsidRPr="00312FD9">
        <w:rPr>
          <w:rFonts w:asciiTheme="majorBidi" w:hAnsiTheme="majorBidi" w:cstheme="majorBidi"/>
          <w:sz w:val="20"/>
          <w:szCs w:val="20"/>
          <w:rtl/>
        </w:rPr>
        <w:t>ב ד"ה ליקוט לבונה.</w:t>
      </w:r>
    </w:p>
  </w:footnote>
  <w:footnote w:id="3">
    <w:p w14:paraId="2EFB8941" w14:textId="5562E9E5" w:rsidR="003059EC" w:rsidRPr="00312FD9" w:rsidRDefault="003059EC" w:rsidP="00F769E5">
      <w:pPr>
        <w:pStyle w:val="a3"/>
        <w:spacing w:line="360" w:lineRule="auto"/>
        <w:rPr>
          <w:rFonts w:asciiTheme="majorBidi" w:hAnsiTheme="majorBidi" w:cstheme="majorBidi"/>
          <w:rtl/>
        </w:rPr>
      </w:pPr>
      <w:r w:rsidRPr="00312FD9">
        <w:rPr>
          <w:rStyle w:val="a5"/>
          <w:rFonts w:asciiTheme="majorBidi" w:hAnsiTheme="majorBidi" w:cstheme="majorBidi"/>
        </w:rPr>
        <w:footnoteRef/>
      </w:r>
      <w:r w:rsidR="00774A4B">
        <w:rPr>
          <w:rFonts w:asciiTheme="majorBidi" w:hAnsiTheme="majorBidi" w:cstheme="majorBidi"/>
          <w:rtl/>
        </w:rPr>
        <w:t xml:space="preserve"> </w:t>
      </w:r>
      <w:r w:rsidRPr="00312FD9">
        <w:rPr>
          <w:rFonts w:asciiTheme="majorBidi" w:hAnsiTheme="majorBidi" w:cstheme="majorBidi"/>
          <w:rtl/>
        </w:rPr>
        <w:t>סוטה יד</w:t>
      </w:r>
      <w:r w:rsidR="0096346A">
        <w:rPr>
          <w:rFonts w:asciiTheme="majorBidi" w:hAnsiTheme="majorBidi" w:cstheme="majorBidi" w:hint="cs"/>
          <w:rtl/>
        </w:rPr>
        <w:t xml:space="preserve">, </w:t>
      </w:r>
      <w:r w:rsidRPr="00312FD9">
        <w:rPr>
          <w:rFonts w:asciiTheme="majorBidi" w:hAnsiTheme="majorBidi" w:cstheme="majorBidi"/>
          <w:rtl/>
        </w:rPr>
        <w:t>ב.</w:t>
      </w:r>
    </w:p>
  </w:footnote>
  <w:footnote w:id="4">
    <w:p w14:paraId="02CD46F4" w14:textId="500EA1B2" w:rsidR="003059EC" w:rsidRPr="00312FD9" w:rsidRDefault="003059EC" w:rsidP="00F769E5">
      <w:pPr>
        <w:spacing w:after="0" w:line="360" w:lineRule="auto"/>
        <w:rPr>
          <w:rFonts w:asciiTheme="majorBidi" w:hAnsiTheme="majorBidi" w:cstheme="majorBidi"/>
          <w:sz w:val="20"/>
          <w:szCs w:val="20"/>
          <w:rtl/>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משנה למלך הלכות מעשה </w:t>
      </w:r>
      <w:proofErr w:type="spellStart"/>
      <w:r w:rsidRPr="00312FD9">
        <w:rPr>
          <w:rFonts w:asciiTheme="majorBidi" w:hAnsiTheme="majorBidi" w:cstheme="majorBidi"/>
          <w:sz w:val="20"/>
          <w:szCs w:val="20"/>
          <w:rtl/>
        </w:rPr>
        <w:t>הקרבנות</w:t>
      </w:r>
      <w:proofErr w:type="spellEnd"/>
      <w:r w:rsidRPr="00312FD9">
        <w:rPr>
          <w:rFonts w:asciiTheme="majorBidi" w:hAnsiTheme="majorBidi" w:cstheme="majorBidi"/>
          <w:sz w:val="20"/>
          <w:szCs w:val="20"/>
          <w:rtl/>
        </w:rPr>
        <w:t xml:space="preserve"> פרק </w:t>
      </w:r>
      <w:proofErr w:type="spellStart"/>
      <w:r w:rsidRPr="00312FD9">
        <w:rPr>
          <w:rFonts w:asciiTheme="majorBidi" w:hAnsiTheme="majorBidi" w:cstheme="majorBidi"/>
          <w:sz w:val="20"/>
          <w:szCs w:val="20"/>
          <w:rtl/>
        </w:rPr>
        <w:t>יג</w:t>
      </w:r>
      <w:proofErr w:type="spellEnd"/>
      <w:r w:rsidRPr="00312FD9">
        <w:rPr>
          <w:rFonts w:asciiTheme="majorBidi" w:hAnsiTheme="majorBidi" w:cstheme="majorBidi"/>
          <w:sz w:val="20"/>
          <w:szCs w:val="20"/>
          <w:rtl/>
        </w:rPr>
        <w:t xml:space="preserve"> הלכה </w:t>
      </w:r>
      <w:proofErr w:type="spellStart"/>
      <w:r w:rsidRPr="00312FD9">
        <w:rPr>
          <w:rFonts w:asciiTheme="majorBidi" w:hAnsiTheme="majorBidi" w:cstheme="majorBidi"/>
          <w:sz w:val="20"/>
          <w:szCs w:val="20"/>
          <w:rtl/>
        </w:rPr>
        <w:t>יב</w:t>
      </w:r>
      <w:proofErr w:type="spellEnd"/>
      <w:r w:rsidRPr="00312FD9">
        <w:rPr>
          <w:rFonts w:asciiTheme="majorBidi" w:hAnsiTheme="majorBidi" w:cstheme="majorBidi"/>
          <w:sz w:val="20"/>
          <w:szCs w:val="20"/>
          <w:rtl/>
        </w:rPr>
        <w:t xml:space="preserve"> ד"ה ומלקט את כל </w:t>
      </w:r>
      <w:proofErr w:type="spellStart"/>
      <w:r w:rsidRPr="00312FD9">
        <w:rPr>
          <w:rFonts w:asciiTheme="majorBidi" w:hAnsiTheme="majorBidi" w:cstheme="majorBidi"/>
          <w:sz w:val="20"/>
          <w:szCs w:val="20"/>
          <w:rtl/>
        </w:rPr>
        <w:t>לבונתה</w:t>
      </w:r>
      <w:proofErr w:type="spellEnd"/>
      <w:r w:rsidR="00331826">
        <w:rPr>
          <w:rFonts w:asciiTheme="majorBidi" w:hAnsiTheme="majorBidi" w:cstheme="majorBidi" w:hint="cs"/>
          <w:sz w:val="20"/>
          <w:szCs w:val="20"/>
          <w:rtl/>
        </w:rPr>
        <w:t>.</w:t>
      </w:r>
    </w:p>
  </w:footnote>
  <w:footnote w:id="5">
    <w:p w14:paraId="1827A4EF" w14:textId="77777777" w:rsidR="00932C35" w:rsidRPr="00312FD9" w:rsidRDefault="00932C35" w:rsidP="00F769E5">
      <w:pPr>
        <w:pStyle w:val="a3"/>
        <w:spacing w:line="360" w:lineRule="auto"/>
        <w:rPr>
          <w:rFonts w:asciiTheme="majorBidi" w:hAnsiTheme="majorBidi" w:cstheme="majorBidi"/>
          <w:rtl/>
        </w:rPr>
      </w:pPr>
      <w:r w:rsidRPr="00312FD9">
        <w:rPr>
          <w:rStyle w:val="a5"/>
          <w:rFonts w:asciiTheme="majorBidi" w:hAnsiTheme="majorBidi" w:cstheme="majorBidi"/>
        </w:rPr>
        <w:footnoteRef/>
      </w:r>
      <w:r w:rsidRPr="00312FD9">
        <w:rPr>
          <w:rFonts w:asciiTheme="majorBidi" w:hAnsiTheme="majorBidi" w:cstheme="majorBidi"/>
          <w:rtl/>
        </w:rPr>
        <w:t xml:space="preserve"> כאן.</w:t>
      </w:r>
    </w:p>
  </w:footnote>
  <w:footnote w:id="6">
    <w:p w14:paraId="43EF1156" w14:textId="77777777" w:rsidR="005F2503" w:rsidRPr="00312FD9" w:rsidRDefault="005F2503" w:rsidP="00F769E5">
      <w:pPr>
        <w:pStyle w:val="a3"/>
        <w:spacing w:line="360" w:lineRule="auto"/>
        <w:rPr>
          <w:rFonts w:asciiTheme="majorBidi" w:hAnsiTheme="majorBidi" w:cstheme="majorBidi"/>
          <w:rtl/>
        </w:rPr>
      </w:pPr>
      <w:r w:rsidRPr="00312FD9">
        <w:rPr>
          <w:rStyle w:val="a5"/>
          <w:rFonts w:asciiTheme="majorBidi" w:hAnsiTheme="majorBidi" w:cstheme="majorBidi"/>
        </w:rPr>
        <w:footnoteRef/>
      </w:r>
      <w:r w:rsidRPr="00312FD9">
        <w:rPr>
          <w:rFonts w:asciiTheme="majorBidi" w:hAnsiTheme="majorBidi" w:cstheme="majorBidi"/>
          <w:rtl/>
        </w:rPr>
        <w:t xml:space="preserve"> שפת אמת כאן.</w:t>
      </w:r>
    </w:p>
  </w:footnote>
  <w:footnote w:id="7">
    <w:p w14:paraId="4578D6AD" w14:textId="296DDB63" w:rsidR="005F2503" w:rsidRPr="00312FD9" w:rsidRDefault="005F2503" w:rsidP="00F769E5">
      <w:pPr>
        <w:pStyle w:val="a3"/>
        <w:spacing w:line="360" w:lineRule="auto"/>
        <w:rPr>
          <w:rFonts w:asciiTheme="majorBidi" w:hAnsiTheme="majorBidi" w:cstheme="majorBidi"/>
          <w:rtl/>
        </w:rPr>
      </w:pPr>
      <w:r w:rsidRPr="00312FD9">
        <w:rPr>
          <w:rStyle w:val="a5"/>
          <w:rFonts w:asciiTheme="majorBidi" w:hAnsiTheme="majorBidi" w:cstheme="majorBidi"/>
        </w:rPr>
        <w:footnoteRef/>
      </w:r>
      <w:r w:rsidRPr="00312FD9">
        <w:rPr>
          <w:rFonts w:asciiTheme="majorBidi" w:hAnsiTheme="majorBidi" w:cstheme="majorBidi"/>
          <w:rtl/>
        </w:rPr>
        <w:t xml:space="preserve"> </w:t>
      </w:r>
      <w:proofErr w:type="spellStart"/>
      <w:r w:rsidRPr="00312FD9">
        <w:rPr>
          <w:rFonts w:asciiTheme="majorBidi" w:hAnsiTheme="majorBidi" w:cstheme="majorBidi"/>
          <w:rtl/>
        </w:rPr>
        <w:t>חזון</w:t>
      </w:r>
      <w:proofErr w:type="spellEnd"/>
      <w:r w:rsidRPr="00312FD9">
        <w:rPr>
          <w:rFonts w:asciiTheme="majorBidi" w:hAnsiTheme="majorBidi" w:cstheme="majorBidi"/>
          <w:rtl/>
        </w:rPr>
        <w:t xml:space="preserve"> איש מנחות כ"א סוף </w:t>
      </w:r>
      <w:proofErr w:type="spellStart"/>
      <w:r w:rsidRPr="00312FD9">
        <w:rPr>
          <w:rFonts w:asciiTheme="majorBidi" w:hAnsiTheme="majorBidi" w:cstheme="majorBidi"/>
          <w:rtl/>
        </w:rPr>
        <w:t>ס"ק</w:t>
      </w:r>
      <w:proofErr w:type="spellEnd"/>
      <w:r w:rsidR="00774A4B">
        <w:rPr>
          <w:rFonts w:asciiTheme="majorBidi" w:hAnsiTheme="majorBidi" w:cstheme="majorBidi"/>
          <w:rtl/>
        </w:rPr>
        <w:t xml:space="preserve"> </w:t>
      </w:r>
      <w:r w:rsidRPr="00312FD9">
        <w:rPr>
          <w:rFonts w:asciiTheme="majorBidi" w:hAnsiTheme="majorBidi" w:cstheme="majorBidi"/>
          <w:rtl/>
        </w:rPr>
        <w:t>ד.</w:t>
      </w:r>
    </w:p>
  </w:footnote>
  <w:footnote w:id="8">
    <w:p w14:paraId="47D07ACC" w14:textId="77777777" w:rsidR="00932C35" w:rsidRPr="00312FD9" w:rsidRDefault="00932C35" w:rsidP="00F769E5">
      <w:pPr>
        <w:pStyle w:val="a3"/>
        <w:spacing w:line="360" w:lineRule="auto"/>
        <w:rPr>
          <w:rFonts w:asciiTheme="majorBidi" w:hAnsiTheme="majorBidi" w:cstheme="majorBidi"/>
          <w:rtl/>
        </w:rPr>
      </w:pPr>
      <w:r w:rsidRPr="00312FD9">
        <w:rPr>
          <w:rStyle w:val="a5"/>
          <w:rFonts w:asciiTheme="majorBidi" w:hAnsiTheme="majorBidi" w:cstheme="majorBidi"/>
        </w:rPr>
        <w:footnoteRef/>
      </w:r>
      <w:r w:rsidRPr="00312FD9">
        <w:rPr>
          <w:rFonts w:asciiTheme="majorBidi" w:hAnsiTheme="majorBidi" w:cstheme="majorBidi"/>
          <w:rtl/>
        </w:rPr>
        <w:t xml:space="preserve"> פעם שניה (חידושי ר' חיים הלוי הלכות פסולי </w:t>
      </w:r>
      <w:proofErr w:type="spellStart"/>
      <w:r w:rsidRPr="00312FD9">
        <w:rPr>
          <w:rFonts w:asciiTheme="majorBidi" w:hAnsiTheme="majorBidi" w:cstheme="majorBidi"/>
          <w:rtl/>
        </w:rPr>
        <w:t>המוקדשין</w:t>
      </w:r>
      <w:proofErr w:type="spellEnd"/>
      <w:r w:rsidRPr="00312FD9">
        <w:rPr>
          <w:rFonts w:asciiTheme="majorBidi" w:hAnsiTheme="majorBidi" w:cstheme="majorBidi"/>
          <w:rtl/>
        </w:rPr>
        <w:t xml:space="preserve"> פרק </w:t>
      </w:r>
      <w:proofErr w:type="spellStart"/>
      <w:r w:rsidRPr="00312FD9">
        <w:rPr>
          <w:rFonts w:asciiTheme="majorBidi" w:hAnsiTheme="majorBidi" w:cstheme="majorBidi"/>
          <w:rtl/>
        </w:rPr>
        <w:t>יח</w:t>
      </w:r>
      <w:proofErr w:type="spellEnd"/>
      <w:r w:rsidRPr="00312FD9">
        <w:rPr>
          <w:rFonts w:asciiTheme="majorBidi" w:hAnsiTheme="majorBidi" w:cstheme="majorBidi"/>
          <w:rtl/>
        </w:rPr>
        <w:t xml:space="preserve"> הלכה </w:t>
      </w:r>
      <w:proofErr w:type="spellStart"/>
      <w:r w:rsidRPr="00312FD9">
        <w:rPr>
          <w:rFonts w:asciiTheme="majorBidi" w:hAnsiTheme="majorBidi" w:cstheme="majorBidi"/>
          <w:rtl/>
        </w:rPr>
        <w:t>יב</w:t>
      </w:r>
      <w:proofErr w:type="spellEnd"/>
      <w:r w:rsidRPr="00312FD9">
        <w:rPr>
          <w:rFonts w:asciiTheme="majorBidi" w:hAnsiTheme="majorBidi" w:cstheme="majorBidi"/>
          <w:rtl/>
        </w:rPr>
        <w:t>).</w:t>
      </w:r>
    </w:p>
  </w:footnote>
  <w:footnote w:id="9">
    <w:p w14:paraId="2403B6AF" w14:textId="76861F42" w:rsidR="00932C35" w:rsidRPr="00312FD9" w:rsidRDefault="00932C35" w:rsidP="009B5654">
      <w:pPr>
        <w:spacing w:after="0" w:line="360" w:lineRule="auto"/>
        <w:rPr>
          <w:rFonts w:asciiTheme="majorBidi" w:hAnsiTheme="majorBidi" w:cstheme="majorBidi"/>
          <w:sz w:val="20"/>
          <w:szCs w:val="20"/>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חברותא </w:t>
      </w:r>
      <w:r w:rsidR="00331826">
        <w:rPr>
          <w:rFonts w:asciiTheme="majorBidi" w:hAnsiTheme="majorBidi" w:cstheme="majorBidi"/>
          <w:sz w:val="20"/>
          <w:szCs w:val="20"/>
          <w:rtl/>
        </w:rPr>
        <w:t>–</w:t>
      </w:r>
      <w:r w:rsidR="00331826">
        <w:rPr>
          <w:rFonts w:asciiTheme="majorBidi" w:hAnsiTheme="majorBidi" w:cstheme="majorBidi" w:hint="cs"/>
          <w:sz w:val="20"/>
          <w:szCs w:val="20"/>
          <w:rtl/>
        </w:rPr>
        <w:t xml:space="preserve"> </w:t>
      </w:r>
      <w:proofErr w:type="spellStart"/>
      <w:r w:rsidRPr="00312FD9">
        <w:rPr>
          <w:rFonts w:asciiTheme="majorBidi" w:hAnsiTheme="majorBidi" w:cstheme="majorBidi"/>
          <w:sz w:val="20"/>
          <w:szCs w:val="20"/>
          <w:rtl/>
        </w:rPr>
        <w:t>יג</w:t>
      </w:r>
      <w:proofErr w:type="spellEnd"/>
      <w:r w:rsidR="00331826">
        <w:rPr>
          <w:rFonts w:asciiTheme="majorBidi" w:hAnsiTheme="majorBidi" w:cstheme="majorBidi" w:hint="cs"/>
          <w:sz w:val="20"/>
          <w:szCs w:val="20"/>
          <w:rtl/>
        </w:rPr>
        <w:t xml:space="preserve">, </w:t>
      </w:r>
      <w:r w:rsidRPr="00312FD9">
        <w:rPr>
          <w:rFonts w:asciiTheme="majorBidi" w:hAnsiTheme="majorBidi" w:cstheme="majorBidi"/>
          <w:sz w:val="20"/>
          <w:szCs w:val="20"/>
          <w:rtl/>
        </w:rPr>
        <w:t>ב הערה</w:t>
      </w:r>
      <w:r w:rsidR="00774A4B">
        <w:rPr>
          <w:rFonts w:asciiTheme="majorBidi" w:hAnsiTheme="majorBidi" w:cstheme="majorBidi"/>
          <w:sz w:val="20"/>
          <w:szCs w:val="20"/>
          <w:rtl/>
        </w:rPr>
        <w:t xml:space="preserve"> </w:t>
      </w:r>
      <w:r w:rsidR="009B5654">
        <w:rPr>
          <w:rFonts w:asciiTheme="majorBidi" w:hAnsiTheme="majorBidi" w:cstheme="majorBidi" w:hint="cs"/>
          <w:sz w:val="20"/>
          <w:szCs w:val="20"/>
          <w:rtl/>
        </w:rPr>
        <w:t>7.</w:t>
      </w:r>
    </w:p>
  </w:footnote>
  <w:footnote w:id="10">
    <w:p w14:paraId="3D84117F" w14:textId="072A6022" w:rsidR="00F2791C" w:rsidRDefault="00F2791C" w:rsidP="00331826">
      <w:pPr>
        <w:spacing w:after="0" w:line="240" w:lineRule="auto"/>
        <w:rPr>
          <w:rFonts w:asciiTheme="majorBidi" w:hAnsiTheme="majorBidi" w:cstheme="majorBidi"/>
          <w:sz w:val="24"/>
          <w:szCs w:val="24"/>
          <w:rtl/>
        </w:rPr>
      </w:pPr>
      <w:r>
        <w:rPr>
          <w:rStyle w:val="a5"/>
        </w:rPr>
        <w:footnoteRef/>
      </w:r>
      <w:r>
        <w:rPr>
          <w:rtl/>
        </w:rPr>
        <w:t xml:space="preserve"> </w:t>
      </w:r>
      <w:r w:rsidRPr="00F2791C">
        <w:rPr>
          <w:rFonts w:asciiTheme="majorBidi" w:hAnsiTheme="majorBidi" w:cstheme="majorBidi" w:hint="cs"/>
          <w:sz w:val="20"/>
          <w:szCs w:val="20"/>
          <w:rtl/>
        </w:rPr>
        <w:t xml:space="preserve">בשיטה מקובצת </w:t>
      </w:r>
      <w:r>
        <w:rPr>
          <w:rFonts w:asciiTheme="majorBidi" w:hAnsiTheme="majorBidi" w:cstheme="majorBidi" w:hint="cs"/>
          <w:sz w:val="20"/>
          <w:szCs w:val="20"/>
          <w:rtl/>
        </w:rPr>
        <w:t>(</w:t>
      </w:r>
      <w:r w:rsidRPr="00F2791C">
        <w:rPr>
          <w:rFonts w:asciiTheme="majorBidi" w:hAnsiTheme="majorBidi" w:cstheme="majorBidi" w:hint="cs"/>
          <w:sz w:val="20"/>
          <w:szCs w:val="20"/>
          <w:rtl/>
        </w:rPr>
        <w:t>אות ז</w:t>
      </w:r>
      <w:r>
        <w:rPr>
          <w:rFonts w:asciiTheme="majorBidi" w:hAnsiTheme="majorBidi" w:cstheme="majorBidi" w:hint="cs"/>
          <w:sz w:val="20"/>
          <w:szCs w:val="20"/>
          <w:rtl/>
        </w:rPr>
        <w:t>)</w:t>
      </w:r>
      <w:r w:rsidRPr="00F2791C">
        <w:rPr>
          <w:rFonts w:asciiTheme="majorBidi" w:hAnsiTheme="majorBidi" w:cstheme="majorBidi" w:hint="cs"/>
          <w:sz w:val="20"/>
          <w:szCs w:val="20"/>
          <w:rtl/>
        </w:rPr>
        <w:t xml:space="preserve"> תמה: רבי ירמיה הניח שכדי לאסור</w:t>
      </w:r>
      <w:r w:rsidR="00331826">
        <w:rPr>
          <w:rFonts w:asciiTheme="majorBidi" w:hAnsiTheme="majorBidi" w:cstheme="majorBidi" w:hint="cs"/>
          <w:sz w:val="20"/>
          <w:szCs w:val="20"/>
          <w:rtl/>
        </w:rPr>
        <w:t>,</w:t>
      </w:r>
      <w:r w:rsidRPr="00F2791C">
        <w:rPr>
          <w:rFonts w:asciiTheme="majorBidi" w:hAnsiTheme="majorBidi" w:cstheme="majorBidi" w:hint="cs"/>
          <w:sz w:val="20"/>
          <w:szCs w:val="20"/>
          <w:rtl/>
        </w:rPr>
        <w:t xml:space="preserve"> עלינו לומר שהולכה ביד שמה הולכה. אולם בזבחים מהלך </w:t>
      </w:r>
      <w:proofErr w:type="spellStart"/>
      <w:r w:rsidRPr="00F2791C">
        <w:rPr>
          <w:rFonts w:asciiTheme="majorBidi" w:hAnsiTheme="majorBidi" w:cstheme="majorBidi" w:hint="cs"/>
          <w:sz w:val="20"/>
          <w:szCs w:val="20"/>
          <w:rtl/>
        </w:rPr>
        <w:t>הסוגיה</w:t>
      </w:r>
      <w:proofErr w:type="spellEnd"/>
      <w:r w:rsidRPr="00F2791C">
        <w:rPr>
          <w:rFonts w:asciiTheme="majorBidi" w:hAnsiTheme="majorBidi" w:cstheme="majorBidi" w:hint="cs"/>
          <w:sz w:val="20"/>
          <w:szCs w:val="20"/>
          <w:rtl/>
        </w:rPr>
        <w:t xml:space="preserve"> שונה: </w:t>
      </w:r>
      <w:r w:rsidRPr="00F2791C">
        <w:rPr>
          <w:rFonts w:ascii="David" w:hAnsi="David" w:cs="David"/>
          <w:sz w:val="20"/>
          <w:szCs w:val="20"/>
          <w:rtl/>
        </w:rPr>
        <w:t xml:space="preserve">"אמר </w:t>
      </w:r>
      <w:proofErr w:type="spellStart"/>
      <w:r w:rsidRPr="00F2791C">
        <w:rPr>
          <w:rFonts w:ascii="David" w:hAnsi="David" w:cs="David"/>
          <w:sz w:val="20"/>
          <w:szCs w:val="20"/>
          <w:rtl/>
        </w:rPr>
        <w:t>ע</w:t>
      </w:r>
      <w:r w:rsidRPr="00F2791C">
        <w:rPr>
          <w:rFonts w:ascii="David" w:hAnsi="David" w:cs="David" w:hint="cs"/>
          <w:sz w:val="20"/>
          <w:szCs w:val="20"/>
          <w:rtl/>
        </w:rPr>
        <w:t>ו</w:t>
      </w:r>
      <w:r w:rsidRPr="00F2791C">
        <w:rPr>
          <w:rFonts w:ascii="David" w:hAnsi="David" w:cs="David"/>
          <w:sz w:val="20"/>
          <w:szCs w:val="20"/>
          <w:rtl/>
        </w:rPr>
        <w:t>לא</w:t>
      </w:r>
      <w:proofErr w:type="spellEnd"/>
      <w:r w:rsidRPr="00F2791C">
        <w:rPr>
          <w:rFonts w:ascii="David" w:hAnsi="David" w:cs="David"/>
          <w:sz w:val="20"/>
          <w:szCs w:val="20"/>
          <w:rtl/>
        </w:rPr>
        <w:t xml:space="preserve"> </w:t>
      </w:r>
      <w:proofErr w:type="spellStart"/>
      <w:r w:rsidRPr="00F2791C">
        <w:rPr>
          <w:rFonts w:ascii="David" w:hAnsi="David" w:cs="David"/>
          <w:sz w:val="20"/>
          <w:szCs w:val="20"/>
          <w:rtl/>
        </w:rPr>
        <w:t>א"ר</w:t>
      </w:r>
      <w:proofErr w:type="spellEnd"/>
      <w:r w:rsidRPr="00F2791C">
        <w:rPr>
          <w:rFonts w:ascii="David" w:hAnsi="David" w:cs="David"/>
          <w:sz w:val="20"/>
          <w:szCs w:val="20"/>
          <w:rtl/>
        </w:rPr>
        <w:t xml:space="preserve"> יוחנן: הולכה שלא ברגל לא שמה הולכה.</w:t>
      </w:r>
      <w:r w:rsidR="00774A4B">
        <w:rPr>
          <w:rFonts w:ascii="David" w:hAnsi="David" w:cs="David"/>
          <w:sz w:val="20"/>
          <w:szCs w:val="20"/>
          <w:rtl/>
        </w:rPr>
        <w:t xml:space="preserve"> </w:t>
      </w:r>
      <w:r w:rsidRPr="00F2791C">
        <w:rPr>
          <w:rFonts w:ascii="David" w:hAnsi="David" w:cs="David"/>
          <w:sz w:val="20"/>
          <w:szCs w:val="20"/>
          <w:rtl/>
        </w:rPr>
        <w:t xml:space="preserve">אפשר </w:t>
      </w:r>
      <w:proofErr w:type="spellStart"/>
      <w:r w:rsidRPr="00F2791C">
        <w:rPr>
          <w:rFonts w:ascii="David" w:hAnsi="David" w:cs="David"/>
          <w:sz w:val="20"/>
          <w:szCs w:val="20"/>
          <w:rtl/>
        </w:rPr>
        <w:t>לתקונה</w:t>
      </w:r>
      <w:proofErr w:type="spellEnd"/>
      <w:r w:rsidRPr="00F2791C">
        <w:rPr>
          <w:rFonts w:ascii="David" w:hAnsi="David" w:cs="David"/>
          <w:sz w:val="20"/>
          <w:szCs w:val="20"/>
          <w:rtl/>
        </w:rPr>
        <w:t xml:space="preserve">, או לא אפשר </w:t>
      </w:r>
      <w:proofErr w:type="spellStart"/>
      <w:r w:rsidRPr="00F2791C">
        <w:rPr>
          <w:rFonts w:ascii="David" w:hAnsi="David" w:cs="David"/>
          <w:sz w:val="20"/>
          <w:szCs w:val="20"/>
          <w:rtl/>
        </w:rPr>
        <w:t>לתקונה</w:t>
      </w:r>
      <w:proofErr w:type="spellEnd"/>
      <w:r w:rsidRPr="00F2791C">
        <w:rPr>
          <w:rFonts w:ascii="David" w:hAnsi="David" w:cs="David"/>
          <w:sz w:val="20"/>
          <w:szCs w:val="20"/>
          <w:rtl/>
        </w:rPr>
        <w:t xml:space="preserve">? ת"ש: קבל הכשר ונתן לפסול - יחזיר לכשר; ונהי נמי </w:t>
      </w:r>
      <w:proofErr w:type="spellStart"/>
      <w:r w:rsidRPr="00F2791C">
        <w:rPr>
          <w:rFonts w:ascii="David" w:hAnsi="David" w:cs="David"/>
          <w:sz w:val="20"/>
          <w:szCs w:val="20"/>
          <w:rtl/>
        </w:rPr>
        <w:t>דיחזור</w:t>
      </w:r>
      <w:proofErr w:type="spellEnd"/>
      <w:r w:rsidRPr="00F2791C">
        <w:rPr>
          <w:rFonts w:ascii="David" w:hAnsi="David" w:cs="David"/>
          <w:sz w:val="20"/>
          <w:szCs w:val="20"/>
          <w:rtl/>
        </w:rPr>
        <w:t xml:space="preserve"> הכשר ויקבלנו, אי </w:t>
      </w:r>
      <w:proofErr w:type="spellStart"/>
      <w:r w:rsidRPr="00F2791C">
        <w:rPr>
          <w:rFonts w:ascii="David" w:hAnsi="David" w:cs="David"/>
          <w:sz w:val="20"/>
          <w:szCs w:val="20"/>
          <w:rtl/>
        </w:rPr>
        <w:t>סלקא</w:t>
      </w:r>
      <w:proofErr w:type="spellEnd"/>
      <w:r w:rsidRPr="00F2791C">
        <w:rPr>
          <w:rFonts w:ascii="David" w:hAnsi="David" w:cs="David"/>
          <w:sz w:val="20"/>
          <w:szCs w:val="20"/>
          <w:rtl/>
        </w:rPr>
        <w:t xml:space="preserve"> דעתך לא אפשר </w:t>
      </w:r>
      <w:proofErr w:type="spellStart"/>
      <w:r w:rsidRPr="00F2791C">
        <w:rPr>
          <w:rFonts w:ascii="David" w:hAnsi="David" w:cs="David"/>
          <w:sz w:val="20"/>
          <w:szCs w:val="20"/>
          <w:rtl/>
        </w:rPr>
        <w:t>לתקונה</w:t>
      </w:r>
      <w:proofErr w:type="spellEnd"/>
      <w:r w:rsidRPr="00F2791C">
        <w:rPr>
          <w:rFonts w:ascii="David" w:hAnsi="David" w:cs="David"/>
          <w:sz w:val="20"/>
          <w:szCs w:val="20"/>
          <w:rtl/>
        </w:rPr>
        <w:t xml:space="preserve">, </w:t>
      </w:r>
      <w:proofErr w:type="spellStart"/>
      <w:r w:rsidRPr="00F2791C">
        <w:rPr>
          <w:rFonts w:ascii="David" w:hAnsi="David" w:cs="David"/>
          <w:sz w:val="20"/>
          <w:szCs w:val="20"/>
          <w:rtl/>
        </w:rPr>
        <w:t>איפסלא</w:t>
      </w:r>
      <w:proofErr w:type="spellEnd"/>
      <w:r w:rsidRPr="00F2791C">
        <w:rPr>
          <w:rFonts w:ascii="David" w:hAnsi="David" w:cs="David"/>
          <w:sz w:val="20"/>
          <w:szCs w:val="20"/>
          <w:rtl/>
        </w:rPr>
        <w:t xml:space="preserve"> לה! מי סברת </w:t>
      </w:r>
      <w:proofErr w:type="spellStart"/>
      <w:r w:rsidRPr="00F2791C">
        <w:rPr>
          <w:rFonts w:ascii="David" w:hAnsi="David" w:cs="David"/>
          <w:sz w:val="20"/>
          <w:szCs w:val="20"/>
          <w:rtl/>
        </w:rPr>
        <w:t>דקאי</w:t>
      </w:r>
      <w:proofErr w:type="spellEnd"/>
      <w:r w:rsidRPr="00F2791C">
        <w:rPr>
          <w:rFonts w:ascii="David" w:hAnsi="David" w:cs="David"/>
          <w:sz w:val="20"/>
          <w:szCs w:val="20"/>
          <w:rtl/>
        </w:rPr>
        <w:t xml:space="preserve"> זר גואי? לא, </w:t>
      </w:r>
      <w:proofErr w:type="spellStart"/>
      <w:r w:rsidRPr="00F2791C">
        <w:rPr>
          <w:rFonts w:ascii="David" w:hAnsi="David" w:cs="David"/>
          <w:sz w:val="20"/>
          <w:szCs w:val="20"/>
          <w:rtl/>
        </w:rPr>
        <w:t>דקאי</w:t>
      </w:r>
      <w:proofErr w:type="spellEnd"/>
      <w:r w:rsidRPr="00F2791C">
        <w:rPr>
          <w:rFonts w:ascii="David" w:hAnsi="David" w:cs="David"/>
          <w:sz w:val="20"/>
          <w:szCs w:val="20"/>
          <w:rtl/>
        </w:rPr>
        <w:t xml:space="preserve"> זר בראי</w:t>
      </w:r>
      <w:r w:rsidRPr="00F2791C">
        <w:rPr>
          <w:rStyle w:val="a5"/>
          <w:rFonts w:ascii="David" w:hAnsi="David" w:cs="David"/>
          <w:sz w:val="20"/>
          <w:szCs w:val="20"/>
          <w:rtl/>
        </w:rPr>
        <w:footnoteRef/>
      </w:r>
      <w:r w:rsidRPr="00F2791C">
        <w:rPr>
          <w:rFonts w:ascii="David" w:hAnsi="David" w:cs="David"/>
          <w:sz w:val="20"/>
          <w:szCs w:val="20"/>
          <w:rtl/>
        </w:rPr>
        <w:t xml:space="preserve">". </w:t>
      </w:r>
      <w:r w:rsidRPr="00F2791C">
        <w:rPr>
          <w:rFonts w:asciiTheme="majorBidi" w:hAnsiTheme="majorBidi" w:cstheme="majorBidi"/>
          <w:sz w:val="20"/>
          <w:szCs w:val="20"/>
          <w:rtl/>
        </w:rPr>
        <w:t>הרי, שפסול זר קיים גם אם נניח שאין זו הולכה! בתירוצו מחלק בשיטה מקובצת בין ליקוט</w:t>
      </w:r>
      <w:r w:rsidRPr="00F2791C">
        <w:rPr>
          <w:rFonts w:asciiTheme="majorBidi" w:hAnsiTheme="majorBidi" w:cstheme="majorBidi" w:hint="cs"/>
          <w:sz w:val="20"/>
          <w:szCs w:val="20"/>
          <w:rtl/>
        </w:rPr>
        <w:t xml:space="preserve"> לבונה</w:t>
      </w:r>
      <w:r w:rsidRPr="00F2791C">
        <w:rPr>
          <w:rFonts w:asciiTheme="majorBidi" w:hAnsiTheme="majorBidi" w:cstheme="majorBidi"/>
          <w:sz w:val="20"/>
          <w:szCs w:val="20"/>
          <w:rtl/>
        </w:rPr>
        <w:t xml:space="preserve"> לבין זבחים. אם נניח שהולכה שלא ברגל לא שמה הולכה, הליקוט אינו כלום.</w:t>
      </w:r>
    </w:p>
    <w:p w14:paraId="6195AEC1" w14:textId="77777777" w:rsidR="00331826" w:rsidRPr="00F2791C" w:rsidRDefault="00331826" w:rsidP="00331826">
      <w:pPr>
        <w:spacing w:after="0" w:line="240" w:lineRule="auto"/>
        <w:rPr>
          <w:rFonts w:asciiTheme="majorBidi" w:hAnsiTheme="majorBidi" w:cstheme="majorBidi"/>
          <w:sz w:val="24"/>
          <w:szCs w:val="24"/>
        </w:rPr>
      </w:pPr>
    </w:p>
  </w:footnote>
  <w:footnote w:id="11">
    <w:p w14:paraId="0E9FF847" w14:textId="3CF98853" w:rsidR="00F769E5" w:rsidRPr="00312FD9" w:rsidRDefault="00F769E5" w:rsidP="00331826">
      <w:pPr>
        <w:spacing w:after="0" w:line="240" w:lineRule="auto"/>
        <w:rPr>
          <w:rFonts w:asciiTheme="majorBidi" w:hAnsiTheme="majorBidi" w:cstheme="majorBidi"/>
          <w:sz w:val="20"/>
          <w:szCs w:val="20"/>
          <w:rtl/>
        </w:rPr>
      </w:pPr>
      <w:r w:rsidRPr="00312FD9">
        <w:rPr>
          <w:rStyle w:val="a5"/>
          <w:rFonts w:asciiTheme="majorBidi" w:hAnsiTheme="majorBidi" w:cstheme="majorBidi"/>
          <w:sz w:val="20"/>
          <w:szCs w:val="20"/>
        </w:rPr>
        <w:footnoteRef/>
      </w:r>
      <w:r w:rsidR="00774A4B">
        <w:rPr>
          <w:rFonts w:asciiTheme="majorBidi" w:hAnsiTheme="majorBidi" w:cstheme="majorBidi"/>
          <w:sz w:val="20"/>
          <w:szCs w:val="20"/>
          <w:rtl/>
        </w:rPr>
        <w:t xml:space="preserve"> </w:t>
      </w:r>
      <w:r w:rsidRPr="00312FD9">
        <w:rPr>
          <w:rFonts w:ascii="David" w:hAnsi="David" w:cs="David"/>
          <w:sz w:val="20"/>
          <w:szCs w:val="20"/>
          <w:rtl/>
        </w:rPr>
        <w:t xml:space="preserve">"לכאורה יש לתמוה, מדוע לא די במה שהיא עבודה חשובה... ולשם מה יש לנו </w:t>
      </w:r>
      <w:proofErr w:type="spellStart"/>
      <w:r w:rsidRPr="00312FD9">
        <w:rPr>
          <w:rFonts w:ascii="David" w:hAnsi="David" w:cs="David"/>
          <w:sz w:val="20"/>
          <w:szCs w:val="20"/>
          <w:rtl/>
        </w:rPr>
        <w:t>לדונה</w:t>
      </w:r>
      <w:proofErr w:type="spellEnd"/>
      <w:r w:rsidRPr="00312FD9">
        <w:rPr>
          <w:rFonts w:ascii="David" w:hAnsi="David" w:cs="David"/>
          <w:sz w:val="20"/>
          <w:szCs w:val="20"/>
          <w:rtl/>
        </w:rPr>
        <w:t xml:space="preserve"> כהולכה!? וכתב המשנה למלך </w:t>
      </w:r>
      <w:r w:rsidRPr="00331826">
        <w:rPr>
          <w:rFonts w:ascii="David" w:hAnsi="David" w:cs="David"/>
          <w:sz w:val="18"/>
          <w:szCs w:val="18"/>
          <w:rtl/>
        </w:rPr>
        <w:t xml:space="preserve">[פסולי </w:t>
      </w:r>
      <w:proofErr w:type="spellStart"/>
      <w:r w:rsidRPr="00331826">
        <w:rPr>
          <w:rFonts w:ascii="David" w:hAnsi="David" w:cs="David"/>
          <w:sz w:val="18"/>
          <w:szCs w:val="18"/>
          <w:rtl/>
        </w:rPr>
        <w:t>המוקדשין</w:t>
      </w:r>
      <w:proofErr w:type="spellEnd"/>
      <w:r w:rsidRPr="00331826">
        <w:rPr>
          <w:rFonts w:ascii="David" w:hAnsi="David" w:cs="David"/>
          <w:sz w:val="18"/>
          <w:szCs w:val="18"/>
          <w:rtl/>
        </w:rPr>
        <w:t xml:space="preserve"> יא א],</w:t>
      </w:r>
      <w:r w:rsidRPr="00312FD9">
        <w:rPr>
          <w:rFonts w:ascii="David" w:hAnsi="David" w:cs="David"/>
          <w:sz w:val="20"/>
          <w:szCs w:val="20"/>
          <w:rtl/>
        </w:rPr>
        <w:t xml:space="preserve"> שהוצרכה הגמרא לכלול את הליקוט בהולכה</w:t>
      </w:r>
      <w:r w:rsidR="00331826">
        <w:rPr>
          <w:rFonts w:ascii="David" w:hAnsi="David" w:cs="David" w:hint="cs"/>
          <w:sz w:val="20"/>
          <w:szCs w:val="20"/>
          <w:rtl/>
        </w:rPr>
        <w:t>,</w:t>
      </w:r>
      <w:r w:rsidRPr="00312FD9">
        <w:rPr>
          <w:rFonts w:ascii="David" w:hAnsi="David" w:cs="David"/>
          <w:sz w:val="20"/>
          <w:szCs w:val="20"/>
          <w:rtl/>
        </w:rPr>
        <w:t xml:space="preserve"> משום שלא למדנו מהתורה אלא שבארבע עבודות נפסל הזבח על ידי מחשבה, ובשלש עבודות נפסל הוא משום זרות, וכל עבודה שהיא עבודה חשובה פוסלת בה המחשבה ונפסלת בזר, ומדמים אותה לעבודה הדומה לה ביותר אף על פי שאין דמיונם עולה יפה, כגון מתן כלי לקבלה</w:t>
      </w:r>
      <w:r w:rsidR="00331826">
        <w:rPr>
          <w:rFonts w:ascii="David" w:hAnsi="David" w:cs="David" w:hint="cs"/>
          <w:sz w:val="20"/>
          <w:szCs w:val="20"/>
          <w:rtl/>
        </w:rPr>
        <w:t>,</w:t>
      </w:r>
      <w:r w:rsidRPr="00312FD9">
        <w:rPr>
          <w:rFonts w:ascii="David" w:hAnsi="David" w:cs="David"/>
          <w:sz w:val="20"/>
          <w:szCs w:val="20"/>
          <w:rtl/>
        </w:rPr>
        <w:t xml:space="preserve"> וטבילת אצבע להילוך</w:t>
      </w:r>
      <w:r w:rsidR="00331826">
        <w:rPr>
          <w:rFonts w:ascii="David" w:hAnsi="David" w:cs="David" w:hint="cs"/>
          <w:sz w:val="20"/>
          <w:szCs w:val="20"/>
          <w:rtl/>
        </w:rPr>
        <w:t>,</w:t>
      </w:r>
      <w:r w:rsidRPr="00312FD9">
        <w:rPr>
          <w:rFonts w:ascii="David" w:hAnsi="David" w:cs="David"/>
          <w:sz w:val="20"/>
          <w:szCs w:val="20"/>
          <w:rtl/>
        </w:rPr>
        <w:t xml:space="preserve"> וליקוט לבונה להילוך</w:t>
      </w:r>
      <w:r w:rsidRPr="00312FD9">
        <w:rPr>
          <w:rFonts w:asciiTheme="majorBidi" w:hAnsiTheme="majorBidi" w:cstheme="majorBidi"/>
          <w:sz w:val="20"/>
          <w:szCs w:val="20"/>
          <w:rtl/>
        </w:rPr>
        <w:t xml:space="preserve">" (חברותא - </w:t>
      </w:r>
      <w:proofErr w:type="spellStart"/>
      <w:r w:rsidRPr="00312FD9">
        <w:rPr>
          <w:rFonts w:asciiTheme="majorBidi" w:hAnsiTheme="majorBidi" w:cstheme="majorBidi"/>
          <w:sz w:val="20"/>
          <w:szCs w:val="20"/>
          <w:rtl/>
        </w:rPr>
        <w:t>יג</w:t>
      </w:r>
      <w:proofErr w:type="spellEnd"/>
      <w:r w:rsidR="00331826">
        <w:rPr>
          <w:rFonts w:asciiTheme="majorBidi" w:hAnsiTheme="majorBidi" w:cstheme="majorBidi" w:hint="cs"/>
          <w:sz w:val="20"/>
          <w:szCs w:val="20"/>
          <w:rtl/>
        </w:rPr>
        <w:t xml:space="preserve">, </w:t>
      </w:r>
      <w:r w:rsidRPr="00312FD9">
        <w:rPr>
          <w:rFonts w:asciiTheme="majorBidi" w:hAnsiTheme="majorBidi" w:cstheme="majorBidi"/>
          <w:sz w:val="20"/>
          <w:szCs w:val="20"/>
          <w:rtl/>
        </w:rPr>
        <w:t>ב הערה 11).</w:t>
      </w:r>
    </w:p>
    <w:p w14:paraId="2A0465AE" w14:textId="77777777" w:rsidR="00F769E5" w:rsidRPr="00312FD9" w:rsidRDefault="00F769E5" w:rsidP="00F769E5">
      <w:pPr>
        <w:pStyle w:val="a3"/>
        <w:spacing w:line="360" w:lineRule="auto"/>
        <w:rPr>
          <w:rFonts w:asciiTheme="majorBidi" w:hAnsiTheme="majorBidi" w:cstheme="majorBidi"/>
        </w:rPr>
      </w:pPr>
    </w:p>
  </w:footnote>
  <w:footnote w:id="12">
    <w:p w14:paraId="05BD8C4C" w14:textId="5029497A" w:rsidR="00F86A55" w:rsidRPr="00312FD9" w:rsidRDefault="00B13128" w:rsidP="00312FD9">
      <w:pPr>
        <w:spacing w:after="0" w:line="360" w:lineRule="auto"/>
        <w:rPr>
          <w:rFonts w:asciiTheme="majorBidi" w:hAnsiTheme="majorBidi" w:cstheme="majorBidi"/>
          <w:sz w:val="20"/>
          <w:szCs w:val="20"/>
          <w:rtl/>
        </w:rPr>
      </w:pPr>
      <w:r w:rsidRPr="00312FD9">
        <w:rPr>
          <w:rFonts w:asciiTheme="majorBidi" w:hAnsiTheme="majorBidi" w:cstheme="majorBidi"/>
          <w:sz w:val="20"/>
          <w:szCs w:val="20"/>
        </w:rPr>
        <w:t xml:space="preserve"> </w:t>
      </w:r>
      <w:r w:rsidR="00F86A55" w:rsidRPr="00312FD9">
        <w:rPr>
          <w:rStyle w:val="a5"/>
          <w:rFonts w:asciiTheme="majorBidi" w:hAnsiTheme="majorBidi" w:cstheme="majorBidi"/>
          <w:sz w:val="20"/>
          <w:szCs w:val="20"/>
        </w:rPr>
        <w:footnoteRef/>
      </w:r>
      <w:r w:rsidR="00F86A55" w:rsidRPr="00312FD9">
        <w:rPr>
          <w:rFonts w:asciiTheme="majorBidi" w:hAnsiTheme="majorBidi" w:cstheme="majorBidi"/>
          <w:sz w:val="20"/>
          <w:szCs w:val="20"/>
          <w:rtl/>
        </w:rPr>
        <w:t xml:space="preserve"> רש"י </w:t>
      </w:r>
      <w:proofErr w:type="spellStart"/>
      <w:r w:rsidR="00F86A55" w:rsidRPr="00312FD9">
        <w:rPr>
          <w:rFonts w:asciiTheme="majorBidi" w:hAnsiTheme="majorBidi" w:cstheme="majorBidi"/>
          <w:sz w:val="20"/>
          <w:szCs w:val="20"/>
          <w:rtl/>
        </w:rPr>
        <w:t>יג</w:t>
      </w:r>
      <w:proofErr w:type="spellEnd"/>
      <w:r w:rsidR="00331826">
        <w:rPr>
          <w:rFonts w:asciiTheme="majorBidi" w:hAnsiTheme="majorBidi" w:cstheme="majorBidi" w:hint="cs"/>
          <w:sz w:val="20"/>
          <w:szCs w:val="20"/>
          <w:rtl/>
        </w:rPr>
        <w:t xml:space="preserve">, </w:t>
      </w:r>
      <w:r w:rsidR="00F86A55" w:rsidRPr="00312FD9">
        <w:rPr>
          <w:rFonts w:asciiTheme="majorBidi" w:hAnsiTheme="majorBidi" w:cstheme="majorBidi"/>
          <w:sz w:val="20"/>
          <w:szCs w:val="20"/>
          <w:rtl/>
        </w:rPr>
        <w:t>ב ד"ה משום הולכה נגעו בה.</w:t>
      </w:r>
    </w:p>
  </w:footnote>
  <w:footnote w:id="13">
    <w:p w14:paraId="53BBE90B" w14:textId="23B68632" w:rsidR="00B13128" w:rsidRPr="00C91060" w:rsidRDefault="00B13128" w:rsidP="00C91060">
      <w:pPr>
        <w:spacing w:after="0" w:line="360" w:lineRule="auto"/>
        <w:rPr>
          <w:rFonts w:asciiTheme="majorBidi" w:hAnsiTheme="majorBidi" w:cstheme="majorBidi"/>
          <w:sz w:val="20"/>
          <w:szCs w:val="20"/>
          <w:rtl/>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חברותא </w:t>
      </w:r>
      <w:r w:rsidR="00331826">
        <w:rPr>
          <w:rFonts w:asciiTheme="majorBidi" w:hAnsiTheme="majorBidi" w:cstheme="majorBidi"/>
          <w:sz w:val="20"/>
          <w:szCs w:val="20"/>
          <w:rtl/>
        </w:rPr>
        <w:t>–</w:t>
      </w:r>
      <w:r w:rsidRPr="00312FD9">
        <w:rPr>
          <w:rFonts w:asciiTheme="majorBidi" w:hAnsiTheme="majorBidi" w:cstheme="majorBidi"/>
          <w:sz w:val="20"/>
          <w:szCs w:val="20"/>
          <w:rtl/>
        </w:rPr>
        <w:t xml:space="preserve"> </w:t>
      </w:r>
      <w:proofErr w:type="spellStart"/>
      <w:r w:rsidRPr="00312FD9">
        <w:rPr>
          <w:rFonts w:asciiTheme="majorBidi" w:hAnsiTheme="majorBidi" w:cstheme="majorBidi"/>
          <w:sz w:val="20"/>
          <w:szCs w:val="20"/>
          <w:rtl/>
        </w:rPr>
        <w:t>יג</w:t>
      </w:r>
      <w:proofErr w:type="spellEnd"/>
      <w:r w:rsidR="00331826">
        <w:rPr>
          <w:rFonts w:asciiTheme="majorBidi" w:hAnsiTheme="majorBidi" w:cstheme="majorBidi" w:hint="cs"/>
          <w:sz w:val="20"/>
          <w:szCs w:val="20"/>
          <w:rtl/>
        </w:rPr>
        <w:t xml:space="preserve">, </w:t>
      </w:r>
      <w:r w:rsidRPr="00312FD9">
        <w:rPr>
          <w:rFonts w:asciiTheme="majorBidi" w:hAnsiTheme="majorBidi" w:cstheme="majorBidi"/>
          <w:sz w:val="20"/>
          <w:szCs w:val="20"/>
          <w:rtl/>
        </w:rPr>
        <w:t>ב הערה</w:t>
      </w:r>
      <w:r w:rsidR="00774A4B">
        <w:rPr>
          <w:rFonts w:asciiTheme="majorBidi" w:hAnsiTheme="majorBidi" w:cstheme="majorBidi"/>
          <w:sz w:val="20"/>
          <w:szCs w:val="20"/>
          <w:rtl/>
        </w:rPr>
        <w:t xml:space="preserve"> </w:t>
      </w:r>
      <w:r w:rsidRPr="00312FD9">
        <w:rPr>
          <w:rFonts w:asciiTheme="majorBidi" w:hAnsiTheme="majorBidi" w:cstheme="majorBidi"/>
          <w:sz w:val="20"/>
          <w:szCs w:val="20"/>
          <w:rtl/>
        </w:rPr>
        <w:t>9 בשם</w:t>
      </w:r>
      <w:r w:rsidR="00774A4B">
        <w:rPr>
          <w:rFonts w:asciiTheme="majorBidi" w:hAnsiTheme="majorBidi" w:cstheme="majorBidi"/>
          <w:sz w:val="20"/>
          <w:szCs w:val="20"/>
          <w:rtl/>
        </w:rPr>
        <w:t xml:space="preserve"> </w:t>
      </w:r>
      <w:r w:rsidRPr="00312FD9">
        <w:rPr>
          <w:rFonts w:asciiTheme="majorBidi" w:hAnsiTheme="majorBidi" w:cstheme="majorBidi"/>
          <w:sz w:val="20"/>
          <w:szCs w:val="20"/>
          <w:rtl/>
        </w:rPr>
        <w:t>זבח תודה</w:t>
      </w:r>
      <w:r w:rsidR="00774A4B">
        <w:rPr>
          <w:rFonts w:asciiTheme="majorBidi" w:hAnsiTheme="majorBidi" w:cstheme="majorBidi"/>
          <w:sz w:val="20"/>
          <w:szCs w:val="20"/>
          <w:rtl/>
        </w:rPr>
        <w:t xml:space="preserve"> </w:t>
      </w:r>
      <w:r w:rsidRPr="00312FD9">
        <w:rPr>
          <w:rFonts w:asciiTheme="majorBidi" w:hAnsiTheme="majorBidi" w:cstheme="majorBidi"/>
          <w:sz w:val="20"/>
          <w:szCs w:val="20"/>
          <w:rtl/>
        </w:rPr>
        <w:t>(סוף פרק ראשון).</w:t>
      </w:r>
      <w:r w:rsidR="00C91060">
        <w:rPr>
          <w:rFonts w:asciiTheme="majorBidi" w:hAnsiTheme="majorBidi" w:cstheme="majorBidi" w:hint="cs"/>
          <w:sz w:val="20"/>
          <w:szCs w:val="20"/>
          <w:rtl/>
        </w:rPr>
        <w:t xml:space="preserve"> כתב ב'יוסף דעת' (</w:t>
      </w:r>
      <w:proofErr w:type="spellStart"/>
      <w:r w:rsidR="00C91060">
        <w:rPr>
          <w:rFonts w:asciiTheme="majorBidi" w:hAnsiTheme="majorBidi" w:cstheme="majorBidi" w:hint="cs"/>
          <w:sz w:val="20"/>
          <w:szCs w:val="20"/>
          <w:rtl/>
        </w:rPr>
        <w:t>סג</w:t>
      </w:r>
      <w:proofErr w:type="spellEnd"/>
      <w:r w:rsidR="00C91060">
        <w:rPr>
          <w:rFonts w:asciiTheme="majorBidi" w:hAnsiTheme="majorBidi" w:cstheme="majorBidi" w:hint="cs"/>
          <w:sz w:val="20"/>
          <w:szCs w:val="20"/>
          <w:rtl/>
        </w:rPr>
        <w:t xml:space="preserve"> 34) שקשה לומר שרבי ירמיה חולק על רב מרי, שכן הוא בעל סברה דומה בזבחים (</w:t>
      </w:r>
      <w:proofErr w:type="spellStart"/>
      <w:r w:rsidR="00C91060">
        <w:rPr>
          <w:rFonts w:asciiTheme="majorBidi" w:hAnsiTheme="majorBidi" w:cstheme="majorBidi" w:hint="cs"/>
          <w:sz w:val="20"/>
          <w:szCs w:val="20"/>
          <w:rtl/>
        </w:rPr>
        <w:t>יג</w:t>
      </w:r>
      <w:proofErr w:type="spellEnd"/>
      <w:r w:rsidR="00331826">
        <w:rPr>
          <w:rFonts w:asciiTheme="majorBidi" w:hAnsiTheme="majorBidi" w:cstheme="majorBidi" w:hint="cs"/>
          <w:sz w:val="20"/>
          <w:szCs w:val="20"/>
          <w:rtl/>
        </w:rPr>
        <w:t>,</w:t>
      </w:r>
      <w:r w:rsidR="00C91060">
        <w:rPr>
          <w:rFonts w:asciiTheme="majorBidi" w:hAnsiTheme="majorBidi" w:cstheme="majorBidi" w:hint="cs"/>
          <w:sz w:val="20"/>
          <w:szCs w:val="20"/>
          <w:rtl/>
        </w:rPr>
        <w:t xml:space="preserve"> ב): </w:t>
      </w:r>
      <w:r w:rsidR="00C91060" w:rsidRPr="00C91060">
        <w:rPr>
          <w:rFonts w:ascii="David" w:hAnsi="David" w:cs="David"/>
          <w:sz w:val="20"/>
          <w:szCs w:val="20"/>
          <w:rtl/>
        </w:rPr>
        <w:t>"</w:t>
      </w:r>
      <w:proofErr w:type="spellStart"/>
      <w:r w:rsidR="00C91060" w:rsidRPr="00C91060">
        <w:rPr>
          <w:rFonts w:ascii="David" w:hAnsi="David" w:cs="David"/>
          <w:sz w:val="20"/>
          <w:szCs w:val="20"/>
          <w:rtl/>
        </w:rPr>
        <w:t>א"ר</w:t>
      </w:r>
      <w:proofErr w:type="spellEnd"/>
      <w:r w:rsidR="00C91060" w:rsidRPr="00C91060">
        <w:rPr>
          <w:rFonts w:ascii="David" w:hAnsi="David" w:cs="David"/>
          <w:sz w:val="20"/>
          <w:szCs w:val="20"/>
          <w:rtl/>
        </w:rPr>
        <w:t xml:space="preserve"> ירמיה..</w:t>
      </w:r>
      <w:r w:rsidR="00C91060">
        <w:rPr>
          <w:rFonts w:ascii="David" w:hAnsi="David" w:cs="David" w:hint="cs"/>
          <w:sz w:val="20"/>
          <w:szCs w:val="20"/>
          <w:rtl/>
        </w:rPr>
        <w:t xml:space="preserve">. </w:t>
      </w:r>
      <w:r w:rsidR="00C91060" w:rsidRPr="00C91060">
        <w:rPr>
          <w:rFonts w:ascii="David" w:hAnsi="David" w:cs="David"/>
          <w:sz w:val="20"/>
          <w:szCs w:val="20"/>
          <w:rtl/>
        </w:rPr>
        <w:t>דבר המעכב בהן מביאן לידי פיגול".</w:t>
      </w:r>
    </w:p>
  </w:footnote>
  <w:footnote w:id="14">
    <w:p w14:paraId="6AE835FE" w14:textId="77777777" w:rsidR="00723851" w:rsidRPr="00312FD9" w:rsidRDefault="00723851" w:rsidP="00312FD9">
      <w:pPr>
        <w:spacing w:after="0" w:line="360" w:lineRule="auto"/>
        <w:rPr>
          <w:rFonts w:asciiTheme="majorBidi" w:hAnsiTheme="majorBidi" w:cstheme="majorBidi"/>
          <w:sz w:val="20"/>
          <w:szCs w:val="20"/>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רמב"ם הלכות פסולי </w:t>
      </w:r>
      <w:proofErr w:type="spellStart"/>
      <w:r w:rsidRPr="00312FD9">
        <w:rPr>
          <w:rFonts w:asciiTheme="majorBidi" w:hAnsiTheme="majorBidi" w:cstheme="majorBidi"/>
          <w:sz w:val="20"/>
          <w:szCs w:val="20"/>
          <w:rtl/>
        </w:rPr>
        <w:t>המוקדשין</w:t>
      </w:r>
      <w:proofErr w:type="spellEnd"/>
      <w:r w:rsidRPr="00312FD9">
        <w:rPr>
          <w:rFonts w:asciiTheme="majorBidi" w:hAnsiTheme="majorBidi" w:cstheme="majorBidi"/>
          <w:sz w:val="20"/>
          <w:szCs w:val="20"/>
          <w:rtl/>
        </w:rPr>
        <w:t xml:space="preserve"> פרק יא הלכה א.</w:t>
      </w:r>
    </w:p>
  </w:footnote>
  <w:footnote w:id="15">
    <w:p w14:paraId="696C39CC" w14:textId="27F98B7B" w:rsidR="0081420E" w:rsidRPr="00312FD9" w:rsidRDefault="0081420E" w:rsidP="00312FD9">
      <w:pPr>
        <w:pStyle w:val="a3"/>
        <w:spacing w:line="360" w:lineRule="auto"/>
        <w:rPr>
          <w:rFonts w:asciiTheme="majorBidi" w:hAnsiTheme="majorBidi" w:cstheme="majorBidi"/>
        </w:rPr>
      </w:pPr>
      <w:r w:rsidRPr="00312FD9">
        <w:rPr>
          <w:rStyle w:val="a5"/>
          <w:rFonts w:asciiTheme="majorBidi" w:hAnsiTheme="majorBidi" w:cstheme="majorBidi"/>
        </w:rPr>
        <w:footnoteRef/>
      </w:r>
      <w:r w:rsidRPr="00312FD9">
        <w:rPr>
          <w:rFonts w:asciiTheme="majorBidi" w:hAnsiTheme="majorBidi" w:cstheme="majorBidi"/>
          <w:rtl/>
        </w:rPr>
        <w:t xml:space="preserve"> רמב"ם הלכות פסולי </w:t>
      </w:r>
      <w:proofErr w:type="spellStart"/>
      <w:r w:rsidRPr="00312FD9">
        <w:rPr>
          <w:rFonts w:asciiTheme="majorBidi" w:hAnsiTheme="majorBidi" w:cstheme="majorBidi"/>
          <w:rtl/>
        </w:rPr>
        <w:t>המוקדשין</w:t>
      </w:r>
      <w:proofErr w:type="spellEnd"/>
      <w:r w:rsidRPr="00312FD9">
        <w:rPr>
          <w:rFonts w:asciiTheme="majorBidi" w:hAnsiTheme="majorBidi" w:cstheme="majorBidi"/>
          <w:rtl/>
        </w:rPr>
        <w:t xml:space="preserve"> פרק א </w:t>
      </w:r>
      <w:r w:rsidR="00331826">
        <w:rPr>
          <w:rFonts w:asciiTheme="majorBidi" w:hAnsiTheme="majorBidi" w:cstheme="majorBidi" w:hint="cs"/>
          <w:rtl/>
        </w:rPr>
        <w:t xml:space="preserve">הלכה </w:t>
      </w:r>
      <w:proofErr w:type="spellStart"/>
      <w:r w:rsidRPr="00312FD9">
        <w:rPr>
          <w:rFonts w:asciiTheme="majorBidi" w:hAnsiTheme="majorBidi" w:cstheme="majorBidi"/>
          <w:rtl/>
        </w:rPr>
        <w:t>כג</w:t>
      </w:r>
      <w:proofErr w:type="spellEnd"/>
      <w:r w:rsidRPr="00312FD9">
        <w:rPr>
          <w:rFonts w:asciiTheme="majorBidi" w:hAnsiTheme="majorBidi" w:cstheme="majorBidi"/>
          <w:rtl/>
        </w:rPr>
        <w:t>.</w:t>
      </w:r>
    </w:p>
  </w:footnote>
  <w:footnote w:id="16">
    <w:p w14:paraId="77F22FEE" w14:textId="77777777" w:rsidR="0032493E" w:rsidRPr="00312FD9" w:rsidRDefault="0032493E" w:rsidP="00312FD9">
      <w:pPr>
        <w:pStyle w:val="a3"/>
        <w:spacing w:line="360" w:lineRule="auto"/>
        <w:rPr>
          <w:rFonts w:asciiTheme="majorBidi" w:hAnsiTheme="majorBidi" w:cstheme="majorBidi"/>
          <w:rtl/>
        </w:rPr>
      </w:pPr>
      <w:r w:rsidRPr="00312FD9">
        <w:rPr>
          <w:rStyle w:val="a5"/>
          <w:rFonts w:asciiTheme="majorBidi" w:hAnsiTheme="majorBidi" w:cstheme="majorBidi"/>
        </w:rPr>
        <w:footnoteRef/>
      </w:r>
      <w:r w:rsidRPr="00312FD9">
        <w:rPr>
          <w:rFonts w:asciiTheme="majorBidi" w:hAnsiTheme="majorBidi" w:cstheme="majorBidi"/>
          <w:rtl/>
        </w:rPr>
        <w:t xml:space="preserve"> שפת אמת כאן. ותמה מנין לו לרמב"ם חילוק כזה. מ"מ הוא מאחד את דברי רבי ירמיה ורב מרי!</w:t>
      </w:r>
    </w:p>
  </w:footnote>
  <w:footnote w:id="17">
    <w:p w14:paraId="2125C216" w14:textId="2C46DFCB" w:rsidR="0081420E" w:rsidRPr="00312FD9" w:rsidRDefault="0081420E" w:rsidP="00312FD9">
      <w:pPr>
        <w:spacing w:after="0" w:line="360" w:lineRule="auto"/>
        <w:rPr>
          <w:rFonts w:asciiTheme="majorBidi" w:hAnsiTheme="majorBidi" w:cstheme="majorBidi"/>
          <w:sz w:val="20"/>
          <w:szCs w:val="20"/>
        </w:rPr>
      </w:pPr>
      <w:r w:rsidRPr="00312FD9">
        <w:rPr>
          <w:rStyle w:val="a5"/>
          <w:rFonts w:asciiTheme="majorBidi" w:hAnsiTheme="majorBidi" w:cstheme="majorBidi"/>
          <w:sz w:val="20"/>
          <w:szCs w:val="20"/>
        </w:rPr>
        <w:footnoteRef/>
      </w:r>
      <w:r w:rsidR="00774A4B">
        <w:rPr>
          <w:rFonts w:asciiTheme="majorBidi" w:hAnsiTheme="majorBidi" w:cstheme="majorBidi"/>
          <w:sz w:val="20"/>
          <w:szCs w:val="20"/>
          <w:rtl/>
        </w:rPr>
        <w:t xml:space="preserve"> </w:t>
      </w:r>
      <w:r w:rsidRPr="00312FD9">
        <w:rPr>
          <w:rFonts w:asciiTheme="majorBidi" w:hAnsiTheme="majorBidi" w:cstheme="majorBidi"/>
          <w:sz w:val="20"/>
          <w:szCs w:val="20"/>
          <w:rtl/>
        </w:rPr>
        <w:t xml:space="preserve">משנה למלך הלכות פסולי </w:t>
      </w:r>
      <w:proofErr w:type="spellStart"/>
      <w:r w:rsidRPr="00312FD9">
        <w:rPr>
          <w:rFonts w:asciiTheme="majorBidi" w:hAnsiTheme="majorBidi" w:cstheme="majorBidi"/>
          <w:sz w:val="20"/>
          <w:szCs w:val="20"/>
          <w:rtl/>
        </w:rPr>
        <w:t>המוקדשין</w:t>
      </w:r>
      <w:proofErr w:type="spellEnd"/>
      <w:r w:rsidRPr="00312FD9">
        <w:rPr>
          <w:rFonts w:asciiTheme="majorBidi" w:hAnsiTheme="majorBidi" w:cstheme="majorBidi"/>
          <w:sz w:val="20"/>
          <w:szCs w:val="20"/>
          <w:rtl/>
        </w:rPr>
        <w:t xml:space="preserve"> פרק יא הלכה א.</w:t>
      </w:r>
    </w:p>
  </w:footnote>
  <w:footnote w:id="18">
    <w:p w14:paraId="40938CF3" w14:textId="1D0C5A36" w:rsidR="00312FD9" w:rsidRPr="00F2791C" w:rsidRDefault="00312FD9" w:rsidP="00F2791C">
      <w:pPr>
        <w:spacing w:after="0" w:line="360" w:lineRule="auto"/>
        <w:rPr>
          <w:rFonts w:ascii="David" w:hAnsi="David" w:cs="David"/>
          <w:sz w:val="20"/>
          <w:szCs w:val="20"/>
        </w:rPr>
      </w:pPr>
      <w:r w:rsidRPr="00312FD9">
        <w:rPr>
          <w:rStyle w:val="a5"/>
          <w:sz w:val="20"/>
          <w:szCs w:val="20"/>
        </w:rPr>
        <w:footnoteRef/>
      </w:r>
      <w:r w:rsidR="00774A4B">
        <w:rPr>
          <w:sz w:val="20"/>
          <w:szCs w:val="20"/>
          <w:rtl/>
        </w:rPr>
        <w:t xml:space="preserve"> </w:t>
      </w:r>
      <w:r w:rsidRPr="00312FD9">
        <w:rPr>
          <w:rFonts w:asciiTheme="majorBidi" w:hAnsiTheme="majorBidi" w:cstheme="majorBidi"/>
          <w:sz w:val="20"/>
          <w:szCs w:val="20"/>
          <w:rtl/>
        </w:rPr>
        <w:t>בקמיצה הדברים פשוטים:</w:t>
      </w:r>
      <w:r w:rsidRPr="00312FD9">
        <w:rPr>
          <w:rFonts w:ascii="David" w:hAnsi="David" w:cs="David" w:hint="cs"/>
          <w:sz w:val="20"/>
          <w:szCs w:val="20"/>
          <w:rtl/>
        </w:rPr>
        <w:t xml:space="preserve"> "</w:t>
      </w:r>
      <w:r w:rsidRPr="00312FD9">
        <w:rPr>
          <w:rFonts w:ascii="David" w:hAnsi="David" w:cs="David"/>
          <w:sz w:val="20"/>
          <w:szCs w:val="20"/>
          <w:rtl/>
        </w:rPr>
        <w:t>כל המנחות שקמצן זר</w:t>
      </w:r>
      <w:r w:rsidRPr="00312FD9">
        <w:rPr>
          <w:rFonts w:ascii="David" w:hAnsi="David" w:cs="David" w:hint="cs"/>
          <w:sz w:val="20"/>
          <w:szCs w:val="20"/>
          <w:rtl/>
        </w:rPr>
        <w:t xml:space="preserve">... </w:t>
      </w:r>
      <w:r w:rsidRPr="00312FD9">
        <w:rPr>
          <w:rFonts w:ascii="David" w:hAnsi="David" w:cs="David"/>
          <w:sz w:val="20"/>
          <w:szCs w:val="20"/>
          <w:rtl/>
        </w:rPr>
        <w:t>– פסול</w:t>
      </w:r>
      <w:r w:rsidRPr="00312FD9">
        <w:rPr>
          <w:rFonts w:ascii="David" w:hAnsi="David" w:cs="David" w:hint="cs"/>
          <w:sz w:val="20"/>
          <w:szCs w:val="20"/>
          <w:rtl/>
        </w:rPr>
        <w:t>"</w:t>
      </w:r>
      <w:r w:rsidRPr="00312FD9">
        <w:rPr>
          <w:rFonts w:ascii="David" w:hAnsi="David" w:cs="David"/>
          <w:sz w:val="20"/>
          <w:szCs w:val="20"/>
          <w:rtl/>
        </w:rPr>
        <w:t>.</w:t>
      </w:r>
      <w:r w:rsidRPr="00312FD9">
        <w:rPr>
          <w:rFonts w:ascii="David" w:hAnsi="David" w:cs="David" w:hint="cs"/>
          <w:sz w:val="20"/>
          <w:szCs w:val="20"/>
          <w:rtl/>
        </w:rPr>
        <w:t xml:space="preserve"> (</w:t>
      </w:r>
      <w:r w:rsidRPr="00312FD9">
        <w:rPr>
          <w:rFonts w:asciiTheme="majorBidi" w:hAnsiTheme="majorBidi" w:cstheme="majorBidi"/>
          <w:sz w:val="20"/>
          <w:szCs w:val="20"/>
          <w:rtl/>
        </w:rPr>
        <w:t>משנה ו</w:t>
      </w:r>
      <w:r w:rsidR="00331826">
        <w:rPr>
          <w:rFonts w:asciiTheme="majorBidi" w:hAnsiTheme="majorBidi" w:cstheme="majorBidi" w:hint="cs"/>
          <w:sz w:val="20"/>
          <w:szCs w:val="20"/>
          <w:rtl/>
        </w:rPr>
        <w:t xml:space="preserve">, </w:t>
      </w:r>
      <w:r w:rsidRPr="00312FD9">
        <w:rPr>
          <w:rFonts w:asciiTheme="majorBidi" w:hAnsiTheme="majorBidi" w:cstheme="majorBidi"/>
          <w:sz w:val="20"/>
          <w:szCs w:val="20"/>
          <w:rtl/>
        </w:rPr>
        <w:t>א).</w:t>
      </w:r>
    </w:p>
  </w:footnote>
  <w:footnote w:id="19">
    <w:p w14:paraId="779320A3" w14:textId="7DED8E53" w:rsidR="00792810" w:rsidRPr="00312FD9" w:rsidRDefault="00792810" w:rsidP="00F2791C">
      <w:pPr>
        <w:spacing w:after="0" w:line="360" w:lineRule="auto"/>
        <w:rPr>
          <w:rFonts w:asciiTheme="majorBidi" w:hAnsiTheme="majorBidi" w:cstheme="majorBidi"/>
          <w:sz w:val="20"/>
          <w:szCs w:val="20"/>
          <w:rtl/>
        </w:rPr>
      </w:pPr>
      <w:r w:rsidRPr="00312FD9">
        <w:rPr>
          <w:rStyle w:val="a5"/>
          <w:rFonts w:asciiTheme="majorBidi" w:hAnsiTheme="majorBidi" w:cstheme="majorBidi"/>
          <w:sz w:val="20"/>
          <w:szCs w:val="20"/>
        </w:rPr>
        <w:footnoteRef/>
      </w:r>
      <w:r w:rsidR="00774A4B">
        <w:rPr>
          <w:rFonts w:asciiTheme="majorBidi" w:hAnsiTheme="majorBidi" w:cstheme="majorBidi"/>
          <w:sz w:val="20"/>
          <w:szCs w:val="20"/>
          <w:rtl/>
        </w:rPr>
        <w:t xml:space="preserve"> </w:t>
      </w:r>
      <w:r w:rsidRPr="00312FD9">
        <w:rPr>
          <w:rFonts w:asciiTheme="majorBidi" w:hAnsiTheme="majorBidi" w:cstheme="majorBidi"/>
          <w:sz w:val="20"/>
          <w:szCs w:val="20"/>
          <w:rtl/>
        </w:rPr>
        <w:t xml:space="preserve">דף </w:t>
      </w:r>
      <w:proofErr w:type="spellStart"/>
      <w:r w:rsidRPr="00312FD9">
        <w:rPr>
          <w:rFonts w:asciiTheme="majorBidi" w:hAnsiTheme="majorBidi" w:cstheme="majorBidi"/>
          <w:sz w:val="20"/>
          <w:szCs w:val="20"/>
          <w:rtl/>
        </w:rPr>
        <w:t>יג</w:t>
      </w:r>
      <w:proofErr w:type="spellEnd"/>
      <w:r w:rsidR="00331826">
        <w:rPr>
          <w:rFonts w:asciiTheme="majorBidi" w:hAnsiTheme="majorBidi" w:cstheme="majorBidi" w:hint="cs"/>
          <w:sz w:val="20"/>
          <w:szCs w:val="20"/>
          <w:rtl/>
        </w:rPr>
        <w:t xml:space="preserve">, </w:t>
      </w:r>
      <w:r w:rsidRPr="00312FD9">
        <w:rPr>
          <w:rFonts w:asciiTheme="majorBidi" w:hAnsiTheme="majorBidi" w:cstheme="majorBidi"/>
          <w:sz w:val="20"/>
          <w:szCs w:val="20"/>
          <w:rtl/>
        </w:rPr>
        <w:t>ב מיד לפני דברי רבי ינאי.</w:t>
      </w:r>
    </w:p>
  </w:footnote>
  <w:footnote w:id="20">
    <w:p w14:paraId="62580FAA" w14:textId="06E37BB6" w:rsidR="00312FD9" w:rsidRDefault="00792810" w:rsidP="00312FD9">
      <w:pPr>
        <w:pStyle w:val="a3"/>
        <w:spacing w:line="360" w:lineRule="auto"/>
        <w:rPr>
          <w:rFonts w:asciiTheme="majorBidi" w:hAnsiTheme="majorBidi" w:cstheme="majorBidi"/>
          <w:rtl/>
        </w:rPr>
      </w:pPr>
      <w:r w:rsidRPr="00312FD9">
        <w:rPr>
          <w:rStyle w:val="a5"/>
          <w:rFonts w:asciiTheme="majorBidi" w:hAnsiTheme="majorBidi" w:cstheme="majorBidi"/>
        </w:rPr>
        <w:footnoteRef/>
      </w:r>
      <w:r w:rsidRPr="00312FD9">
        <w:rPr>
          <w:rFonts w:asciiTheme="majorBidi" w:hAnsiTheme="majorBidi" w:cstheme="majorBidi"/>
          <w:rtl/>
        </w:rPr>
        <w:t xml:space="preserve"> בקרן אורה מדייק כן גם בניסוחיו של</w:t>
      </w:r>
      <w:r w:rsidR="00774A4B">
        <w:rPr>
          <w:rFonts w:asciiTheme="majorBidi" w:hAnsiTheme="majorBidi" w:cstheme="majorBidi"/>
          <w:rtl/>
        </w:rPr>
        <w:t xml:space="preserve"> </w:t>
      </w:r>
      <w:r w:rsidRPr="00312FD9">
        <w:rPr>
          <w:rFonts w:asciiTheme="majorBidi" w:hAnsiTheme="majorBidi" w:cstheme="majorBidi"/>
          <w:rtl/>
        </w:rPr>
        <w:t>הרמב"ם. מ"מ יש להעיר, שזהו ביאור חדש בדברי רבי ינאי שאיננו מופיע בגמרא.</w:t>
      </w:r>
      <w:r w:rsidR="00774A4B">
        <w:rPr>
          <w:rFonts w:asciiTheme="majorBidi" w:hAnsiTheme="majorBidi" w:cstheme="majorBidi"/>
          <w:rtl/>
        </w:rPr>
        <w:t xml:space="preserve"> </w:t>
      </w:r>
    </w:p>
    <w:p w14:paraId="675DCFBC" w14:textId="044C4073" w:rsidR="00792810" w:rsidRPr="00312FD9" w:rsidRDefault="00774A4B" w:rsidP="00312FD9">
      <w:pPr>
        <w:pStyle w:val="a3"/>
        <w:spacing w:line="360" w:lineRule="auto"/>
        <w:rPr>
          <w:rFonts w:asciiTheme="majorBidi" w:hAnsiTheme="majorBidi" w:cstheme="majorBidi"/>
          <w:rtl/>
        </w:rPr>
      </w:pPr>
      <w:r>
        <w:rPr>
          <w:rFonts w:asciiTheme="majorBidi" w:hAnsiTheme="majorBidi" w:cstheme="majorBidi" w:hint="cs"/>
          <w:rtl/>
        </w:rPr>
        <w:t xml:space="preserve">  </w:t>
      </w:r>
      <w:r w:rsidR="0032493E" w:rsidRPr="00312FD9">
        <w:rPr>
          <w:rFonts w:asciiTheme="majorBidi" w:hAnsiTheme="majorBidi" w:cstheme="majorBidi"/>
          <w:rtl/>
        </w:rPr>
        <w:t xml:space="preserve">גם </w:t>
      </w:r>
      <w:proofErr w:type="spellStart"/>
      <w:r w:rsidR="0032493E" w:rsidRPr="00312FD9">
        <w:rPr>
          <w:rFonts w:asciiTheme="majorBidi" w:hAnsiTheme="majorBidi" w:cstheme="majorBidi"/>
          <w:rtl/>
        </w:rPr>
        <w:t>הגרי"ז</w:t>
      </w:r>
      <w:proofErr w:type="spellEnd"/>
      <w:r w:rsidR="0032493E" w:rsidRPr="00312FD9">
        <w:rPr>
          <w:rFonts w:asciiTheme="majorBidi" w:hAnsiTheme="majorBidi" w:cstheme="majorBidi"/>
          <w:rtl/>
        </w:rPr>
        <w:t xml:space="preserve"> הלך בדרך זו בביאור הרמב"ם.</w:t>
      </w:r>
    </w:p>
  </w:footnote>
  <w:footnote w:id="21">
    <w:p w14:paraId="14F75D7B" w14:textId="7544D05F" w:rsidR="0032493E" w:rsidRPr="00312FD9" w:rsidRDefault="0032493E" w:rsidP="00312FD9">
      <w:pPr>
        <w:pStyle w:val="a3"/>
        <w:spacing w:line="360" w:lineRule="auto"/>
        <w:rPr>
          <w:rFonts w:asciiTheme="majorBidi" w:hAnsiTheme="majorBidi" w:cstheme="majorBidi"/>
        </w:rPr>
      </w:pPr>
      <w:r w:rsidRPr="00312FD9">
        <w:rPr>
          <w:rStyle w:val="a5"/>
          <w:rFonts w:asciiTheme="majorBidi" w:hAnsiTheme="majorBidi" w:cstheme="majorBidi"/>
        </w:rPr>
        <w:footnoteRef/>
      </w:r>
      <w:r w:rsidRPr="00312FD9">
        <w:rPr>
          <w:rFonts w:asciiTheme="majorBidi" w:hAnsiTheme="majorBidi" w:cstheme="majorBidi"/>
          <w:rtl/>
        </w:rPr>
        <w:t xml:space="preserve"> פסקי רי"ד </w:t>
      </w:r>
      <w:proofErr w:type="spellStart"/>
      <w:r w:rsidRPr="00312FD9">
        <w:rPr>
          <w:rFonts w:asciiTheme="majorBidi" w:hAnsiTheme="majorBidi" w:cstheme="majorBidi"/>
          <w:rtl/>
        </w:rPr>
        <w:t>יג</w:t>
      </w:r>
      <w:proofErr w:type="spellEnd"/>
      <w:r w:rsidR="00331826">
        <w:rPr>
          <w:rFonts w:asciiTheme="majorBidi" w:hAnsiTheme="majorBidi" w:cstheme="majorBidi" w:hint="cs"/>
          <w:rtl/>
        </w:rPr>
        <w:t xml:space="preserve">, </w:t>
      </w:r>
      <w:r w:rsidRPr="00312FD9">
        <w:rPr>
          <w:rFonts w:asciiTheme="majorBidi" w:hAnsiTheme="majorBidi" w:cstheme="majorBidi"/>
          <w:rtl/>
        </w:rPr>
        <w:t>ב.</w:t>
      </w:r>
    </w:p>
  </w:footnote>
  <w:footnote w:id="22">
    <w:p w14:paraId="70C9E6A9" w14:textId="18FD799F" w:rsidR="0032493E" w:rsidRPr="00312FD9" w:rsidRDefault="0032493E" w:rsidP="00312FD9">
      <w:pPr>
        <w:spacing w:after="0" w:line="360" w:lineRule="auto"/>
        <w:rPr>
          <w:rFonts w:asciiTheme="majorBidi" w:hAnsiTheme="majorBidi" w:cstheme="majorBidi"/>
          <w:sz w:val="20"/>
          <w:szCs w:val="20"/>
          <w:rtl/>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פסקי רי"ד פסחים סד</w:t>
      </w:r>
      <w:r w:rsidR="00331826">
        <w:rPr>
          <w:rFonts w:asciiTheme="majorBidi" w:hAnsiTheme="majorBidi" w:cstheme="majorBidi" w:hint="cs"/>
          <w:sz w:val="20"/>
          <w:szCs w:val="20"/>
          <w:rtl/>
        </w:rPr>
        <w:t xml:space="preserve">, </w:t>
      </w:r>
      <w:r w:rsidRPr="00312FD9">
        <w:rPr>
          <w:rFonts w:asciiTheme="majorBidi" w:hAnsiTheme="majorBidi" w:cstheme="majorBidi"/>
          <w:sz w:val="20"/>
          <w:szCs w:val="20"/>
          <w:rtl/>
        </w:rPr>
        <w:t>ב.</w:t>
      </w:r>
    </w:p>
  </w:footnote>
  <w:footnote w:id="23">
    <w:p w14:paraId="0CA2DD54" w14:textId="77777777" w:rsidR="000620EB" w:rsidRPr="00312FD9" w:rsidRDefault="000620EB" w:rsidP="00312FD9">
      <w:pPr>
        <w:pStyle w:val="a3"/>
        <w:spacing w:line="360" w:lineRule="auto"/>
        <w:rPr>
          <w:rFonts w:asciiTheme="majorBidi" w:hAnsiTheme="majorBidi" w:cstheme="majorBidi"/>
        </w:rPr>
      </w:pPr>
      <w:r w:rsidRPr="00312FD9">
        <w:rPr>
          <w:rStyle w:val="a5"/>
          <w:rFonts w:asciiTheme="majorBidi" w:hAnsiTheme="majorBidi" w:cstheme="majorBidi"/>
        </w:rPr>
        <w:footnoteRef/>
      </w:r>
      <w:r w:rsidRPr="00312FD9">
        <w:rPr>
          <w:rFonts w:asciiTheme="majorBidi" w:hAnsiTheme="majorBidi" w:cstheme="majorBidi"/>
          <w:rtl/>
        </w:rPr>
        <w:t xml:space="preserve"> אות ח.</w:t>
      </w:r>
    </w:p>
  </w:footnote>
  <w:footnote w:id="24">
    <w:p w14:paraId="5F11A3C6" w14:textId="7C5136E4" w:rsidR="000620EB" w:rsidRPr="00312FD9" w:rsidRDefault="000620EB" w:rsidP="00312FD9">
      <w:pPr>
        <w:spacing w:after="0" w:line="360" w:lineRule="auto"/>
        <w:rPr>
          <w:rFonts w:asciiTheme="majorBidi" w:hAnsiTheme="majorBidi" w:cstheme="majorBidi"/>
          <w:sz w:val="20"/>
          <w:szCs w:val="20"/>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ניסוח: </w:t>
      </w:r>
      <w:r w:rsidR="00331826" w:rsidRPr="00312FD9">
        <w:rPr>
          <w:rFonts w:asciiTheme="majorBidi" w:hAnsiTheme="majorBidi" w:cstheme="majorBidi"/>
          <w:sz w:val="20"/>
          <w:szCs w:val="20"/>
          <w:rtl/>
        </w:rPr>
        <w:t xml:space="preserve">חברותא - </w:t>
      </w:r>
      <w:proofErr w:type="spellStart"/>
      <w:r w:rsidR="00331826" w:rsidRPr="00312FD9">
        <w:rPr>
          <w:rFonts w:asciiTheme="majorBidi" w:hAnsiTheme="majorBidi" w:cstheme="majorBidi"/>
          <w:sz w:val="20"/>
          <w:szCs w:val="20"/>
          <w:rtl/>
        </w:rPr>
        <w:t>יג</w:t>
      </w:r>
      <w:proofErr w:type="spellEnd"/>
      <w:r w:rsidR="00331826">
        <w:rPr>
          <w:rFonts w:asciiTheme="majorBidi" w:hAnsiTheme="majorBidi" w:cstheme="majorBidi" w:hint="cs"/>
          <w:sz w:val="20"/>
          <w:szCs w:val="20"/>
          <w:rtl/>
        </w:rPr>
        <w:t xml:space="preserve">, </w:t>
      </w:r>
      <w:r w:rsidR="00331826" w:rsidRPr="00312FD9">
        <w:rPr>
          <w:rFonts w:asciiTheme="majorBidi" w:hAnsiTheme="majorBidi" w:cstheme="majorBidi"/>
          <w:sz w:val="20"/>
          <w:szCs w:val="20"/>
          <w:rtl/>
        </w:rPr>
        <w:t>ב הערה</w:t>
      </w:r>
      <w:r w:rsidR="00774A4B">
        <w:rPr>
          <w:rFonts w:asciiTheme="majorBidi" w:hAnsiTheme="majorBidi" w:cstheme="majorBidi"/>
          <w:sz w:val="20"/>
          <w:szCs w:val="20"/>
          <w:rtl/>
        </w:rPr>
        <w:t xml:space="preserve"> </w:t>
      </w:r>
      <w:r w:rsidR="00331826" w:rsidRPr="00312FD9">
        <w:rPr>
          <w:rFonts w:asciiTheme="majorBidi" w:hAnsiTheme="majorBidi" w:cstheme="majorBidi"/>
          <w:sz w:val="20"/>
          <w:szCs w:val="20"/>
          <w:rtl/>
        </w:rPr>
        <w:t>8.</w:t>
      </w:r>
    </w:p>
  </w:footnote>
  <w:footnote w:id="25">
    <w:p w14:paraId="42C4CEFA" w14:textId="77777777" w:rsidR="00312FD9" w:rsidRPr="00312FD9" w:rsidRDefault="00312FD9" w:rsidP="00312FD9">
      <w:pPr>
        <w:pStyle w:val="a3"/>
        <w:spacing w:line="360" w:lineRule="auto"/>
        <w:rPr>
          <w:rFonts w:asciiTheme="majorBidi" w:hAnsiTheme="majorBidi" w:cstheme="majorBidi"/>
        </w:rPr>
      </w:pPr>
      <w:r w:rsidRPr="00312FD9">
        <w:rPr>
          <w:rStyle w:val="a5"/>
          <w:rFonts w:asciiTheme="majorBidi" w:hAnsiTheme="majorBidi" w:cstheme="majorBidi"/>
        </w:rPr>
        <w:footnoteRef/>
      </w:r>
      <w:r w:rsidRPr="00312FD9">
        <w:rPr>
          <w:rFonts w:asciiTheme="majorBidi" w:hAnsiTheme="majorBidi" w:cstheme="majorBidi"/>
          <w:rtl/>
        </w:rPr>
        <w:t xml:space="preserve"> </w:t>
      </w:r>
      <w:proofErr w:type="spellStart"/>
      <w:r w:rsidRPr="00312FD9">
        <w:rPr>
          <w:rFonts w:asciiTheme="majorBidi" w:hAnsiTheme="majorBidi" w:cstheme="majorBidi"/>
          <w:rtl/>
        </w:rPr>
        <w:t>הגרי"</w:t>
      </w:r>
      <w:r>
        <w:rPr>
          <w:rFonts w:asciiTheme="majorBidi" w:hAnsiTheme="majorBidi" w:cstheme="majorBidi"/>
          <w:rtl/>
        </w:rPr>
        <w:t>ז</w:t>
      </w:r>
      <w:proofErr w:type="spellEnd"/>
      <w:r>
        <w:rPr>
          <w:rFonts w:asciiTheme="majorBidi" w:hAnsiTheme="majorBidi" w:cstheme="majorBidi"/>
          <w:rtl/>
        </w:rPr>
        <w:t xml:space="preserve"> כאן.</w:t>
      </w:r>
    </w:p>
  </w:footnote>
  <w:footnote w:id="26">
    <w:p w14:paraId="134523D1" w14:textId="52B3D518" w:rsidR="00F86A55" w:rsidRPr="004447AF" w:rsidRDefault="00F86A55" w:rsidP="004447AF">
      <w:pPr>
        <w:spacing w:after="0" w:line="360" w:lineRule="auto"/>
        <w:rPr>
          <w:rFonts w:asciiTheme="majorBidi" w:hAnsiTheme="majorBidi" w:cstheme="majorBidi"/>
          <w:sz w:val="20"/>
          <w:szCs w:val="20"/>
          <w:rtl/>
        </w:rPr>
      </w:pPr>
      <w:r w:rsidRPr="00312FD9">
        <w:rPr>
          <w:rStyle w:val="a5"/>
          <w:rFonts w:asciiTheme="majorBidi" w:hAnsiTheme="majorBidi" w:cstheme="majorBidi"/>
          <w:sz w:val="20"/>
          <w:szCs w:val="20"/>
        </w:rPr>
        <w:footnoteRef/>
      </w:r>
      <w:r w:rsidRPr="00312FD9">
        <w:rPr>
          <w:rFonts w:asciiTheme="majorBidi" w:hAnsiTheme="majorBidi" w:cstheme="majorBidi"/>
          <w:sz w:val="20"/>
          <w:szCs w:val="20"/>
          <w:rtl/>
        </w:rPr>
        <w:t xml:space="preserve"> חברותא - </w:t>
      </w:r>
      <w:proofErr w:type="spellStart"/>
      <w:r w:rsidRPr="00312FD9">
        <w:rPr>
          <w:rFonts w:asciiTheme="majorBidi" w:hAnsiTheme="majorBidi" w:cstheme="majorBidi"/>
          <w:sz w:val="20"/>
          <w:szCs w:val="20"/>
          <w:rtl/>
        </w:rPr>
        <w:t>יג</w:t>
      </w:r>
      <w:proofErr w:type="spellEnd"/>
      <w:r w:rsidR="00331826">
        <w:rPr>
          <w:rFonts w:asciiTheme="majorBidi" w:hAnsiTheme="majorBidi" w:cstheme="majorBidi" w:hint="cs"/>
          <w:sz w:val="20"/>
          <w:szCs w:val="20"/>
          <w:rtl/>
        </w:rPr>
        <w:t xml:space="preserve">, </w:t>
      </w:r>
      <w:r w:rsidRPr="00312FD9">
        <w:rPr>
          <w:rFonts w:asciiTheme="majorBidi" w:hAnsiTheme="majorBidi" w:cstheme="majorBidi"/>
          <w:sz w:val="20"/>
          <w:szCs w:val="20"/>
          <w:rtl/>
        </w:rPr>
        <w:t>ב הערה</w:t>
      </w:r>
      <w:r w:rsidR="00774A4B">
        <w:rPr>
          <w:rFonts w:asciiTheme="majorBidi" w:hAnsiTheme="majorBidi" w:cstheme="majorBidi"/>
          <w:sz w:val="20"/>
          <w:szCs w:val="20"/>
          <w:rtl/>
        </w:rPr>
        <w:t xml:space="preserve"> </w:t>
      </w:r>
      <w:r w:rsidRPr="00312FD9">
        <w:rPr>
          <w:rFonts w:asciiTheme="majorBidi" w:hAnsiTheme="majorBidi" w:cstheme="majorBidi"/>
          <w:sz w:val="20"/>
          <w:szCs w:val="20"/>
          <w:rtl/>
        </w:rPr>
        <w:t>8.</w:t>
      </w:r>
    </w:p>
  </w:footnote>
  <w:footnote w:id="27">
    <w:p w14:paraId="5E7BB7FB" w14:textId="0B2518B7" w:rsidR="004447AF" w:rsidRDefault="004447AF" w:rsidP="004447AF">
      <w:pPr>
        <w:spacing w:after="0" w:line="360" w:lineRule="auto"/>
        <w:rPr>
          <w:rFonts w:ascii="David" w:hAnsi="David" w:cs="David"/>
          <w:sz w:val="20"/>
          <w:szCs w:val="20"/>
          <w:rtl/>
        </w:rPr>
      </w:pPr>
      <w:r w:rsidRPr="004447AF">
        <w:rPr>
          <w:rStyle w:val="a5"/>
          <w:sz w:val="20"/>
          <w:szCs w:val="20"/>
        </w:rPr>
        <w:footnoteRef/>
      </w:r>
      <w:r w:rsidRPr="004447AF">
        <w:rPr>
          <w:sz w:val="20"/>
          <w:szCs w:val="20"/>
          <w:rtl/>
        </w:rPr>
        <w:t xml:space="preserve"> </w:t>
      </w:r>
      <w:r w:rsidRPr="004447AF">
        <w:rPr>
          <w:rFonts w:ascii="David" w:hAnsi="David" w:cs="David" w:hint="cs"/>
          <w:sz w:val="20"/>
          <w:szCs w:val="20"/>
          <w:rtl/>
        </w:rPr>
        <w:t>"</w:t>
      </w:r>
      <w:r w:rsidRPr="004447AF">
        <w:rPr>
          <w:rFonts w:ascii="David" w:hAnsi="David" w:cs="David"/>
          <w:sz w:val="20"/>
          <w:szCs w:val="20"/>
          <w:rtl/>
        </w:rPr>
        <w:t xml:space="preserve">הכא לא </w:t>
      </w:r>
      <w:proofErr w:type="spellStart"/>
      <w:r w:rsidRPr="004447AF">
        <w:rPr>
          <w:rFonts w:ascii="David" w:hAnsi="David" w:cs="David"/>
          <w:sz w:val="20"/>
          <w:szCs w:val="20"/>
          <w:rtl/>
        </w:rPr>
        <w:t>חשיב</w:t>
      </w:r>
      <w:proofErr w:type="spellEnd"/>
      <w:r w:rsidRPr="004447AF">
        <w:rPr>
          <w:rFonts w:ascii="David" w:hAnsi="David" w:cs="David"/>
          <w:sz w:val="20"/>
          <w:szCs w:val="20"/>
          <w:rtl/>
        </w:rPr>
        <w:t xml:space="preserve"> הולכה דרבי שמעון לטעמיה</w:t>
      </w:r>
      <w:r>
        <w:rPr>
          <w:rFonts w:ascii="David" w:hAnsi="David" w:cs="David" w:hint="cs"/>
          <w:sz w:val="20"/>
          <w:szCs w:val="20"/>
          <w:rtl/>
        </w:rPr>
        <w:t>,</w:t>
      </w:r>
      <w:r w:rsidR="00774A4B">
        <w:rPr>
          <w:rFonts w:ascii="David" w:hAnsi="David" w:cs="David" w:hint="cs"/>
          <w:sz w:val="20"/>
          <w:szCs w:val="20"/>
          <w:rtl/>
        </w:rPr>
        <w:t xml:space="preserve"> </w:t>
      </w:r>
      <w:r w:rsidRPr="004447AF">
        <w:rPr>
          <w:rFonts w:ascii="David" w:hAnsi="David" w:cs="David"/>
          <w:sz w:val="20"/>
          <w:szCs w:val="20"/>
          <w:rtl/>
        </w:rPr>
        <w:t xml:space="preserve">דלא </w:t>
      </w:r>
      <w:proofErr w:type="spellStart"/>
      <w:r w:rsidRPr="004447AF">
        <w:rPr>
          <w:rFonts w:ascii="David" w:hAnsi="David" w:cs="David"/>
          <w:sz w:val="20"/>
          <w:szCs w:val="20"/>
          <w:rtl/>
        </w:rPr>
        <w:t>חשיב</w:t>
      </w:r>
      <w:proofErr w:type="spellEnd"/>
      <w:r w:rsidRPr="004447AF">
        <w:rPr>
          <w:rFonts w:ascii="David" w:hAnsi="David" w:cs="David"/>
          <w:sz w:val="20"/>
          <w:szCs w:val="20"/>
          <w:rtl/>
        </w:rPr>
        <w:t xml:space="preserve"> לה עבודה בס</w:t>
      </w:r>
      <w:r>
        <w:rPr>
          <w:rFonts w:ascii="David" w:hAnsi="David" w:cs="David"/>
          <w:sz w:val="20"/>
          <w:szCs w:val="20"/>
          <w:rtl/>
        </w:rPr>
        <w:t xml:space="preserve">וף פרק קמא </w:t>
      </w:r>
      <w:proofErr w:type="spellStart"/>
      <w:r>
        <w:rPr>
          <w:rFonts w:ascii="David" w:hAnsi="David" w:cs="David"/>
          <w:sz w:val="20"/>
          <w:szCs w:val="20"/>
          <w:rtl/>
        </w:rPr>
        <w:t>דזבחים</w:t>
      </w:r>
      <w:proofErr w:type="spellEnd"/>
      <w:r>
        <w:rPr>
          <w:rFonts w:ascii="David" w:hAnsi="David" w:cs="David"/>
          <w:sz w:val="20"/>
          <w:szCs w:val="20"/>
          <w:rtl/>
        </w:rPr>
        <w:t xml:space="preserve"> (דף יד:) משום</w:t>
      </w:r>
      <w:r w:rsidR="00774A4B">
        <w:rPr>
          <w:rFonts w:ascii="David" w:hAnsi="David" w:cs="David" w:hint="cs"/>
          <w:sz w:val="20"/>
          <w:szCs w:val="20"/>
          <w:rtl/>
        </w:rPr>
        <w:t xml:space="preserve"> </w:t>
      </w:r>
    </w:p>
    <w:p w14:paraId="4B4DF4B8" w14:textId="7A336CC8" w:rsidR="00241AA9" w:rsidRDefault="004447AF" w:rsidP="00241AA9">
      <w:pPr>
        <w:spacing w:after="0" w:line="360" w:lineRule="auto"/>
        <w:rPr>
          <w:rFonts w:ascii="David" w:hAnsi="David" w:cs="David"/>
          <w:sz w:val="20"/>
          <w:szCs w:val="20"/>
          <w:rtl/>
        </w:rPr>
      </w:pPr>
      <w:proofErr w:type="spellStart"/>
      <w:r w:rsidRPr="004447AF">
        <w:rPr>
          <w:rFonts w:ascii="David" w:hAnsi="David" w:cs="David"/>
          <w:sz w:val="20"/>
          <w:szCs w:val="20"/>
          <w:rtl/>
        </w:rPr>
        <w:t>דאיפשר</w:t>
      </w:r>
      <w:proofErr w:type="spellEnd"/>
      <w:r w:rsidRPr="004447AF">
        <w:rPr>
          <w:rFonts w:ascii="David" w:hAnsi="David" w:cs="David"/>
          <w:sz w:val="20"/>
          <w:szCs w:val="20"/>
          <w:rtl/>
        </w:rPr>
        <w:t xml:space="preserve"> לבטלה</w:t>
      </w:r>
      <w:r w:rsidRPr="004447AF">
        <w:rPr>
          <w:rFonts w:ascii="David" w:hAnsi="David" w:cs="David" w:hint="cs"/>
          <w:sz w:val="20"/>
          <w:szCs w:val="20"/>
          <w:rtl/>
        </w:rPr>
        <w:t xml:space="preserve">" </w:t>
      </w:r>
      <w:r w:rsidRPr="004447AF">
        <w:rPr>
          <w:rFonts w:asciiTheme="majorBidi" w:hAnsiTheme="majorBidi" w:cstheme="majorBidi"/>
          <w:sz w:val="20"/>
          <w:szCs w:val="20"/>
          <w:rtl/>
        </w:rPr>
        <w:t xml:space="preserve">(תוספות מסכת מנחות דף </w:t>
      </w:r>
      <w:proofErr w:type="spellStart"/>
      <w:r w:rsidRPr="004447AF">
        <w:rPr>
          <w:rFonts w:asciiTheme="majorBidi" w:hAnsiTheme="majorBidi" w:cstheme="majorBidi"/>
          <w:sz w:val="20"/>
          <w:szCs w:val="20"/>
          <w:rtl/>
        </w:rPr>
        <w:t>יח</w:t>
      </w:r>
      <w:proofErr w:type="spellEnd"/>
      <w:r w:rsidRPr="004447AF">
        <w:rPr>
          <w:rFonts w:asciiTheme="majorBidi" w:hAnsiTheme="majorBidi" w:cstheme="majorBidi"/>
          <w:sz w:val="20"/>
          <w:szCs w:val="20"/>
          <w:rtl/>
        </w:rPr>
        <w:t xml:space="preserve"> עמוד ב ד"ה מנין)</w:t>
      </w:r>
      <w:r w:rsidRPr="004447AF">
        <w:rPr>
          <w:rFonts w:asciiTheme="majorBidi" w:hAnsiTheme="majorBidi" w:cstheme="majorBidi" w:hint="cs"/>
          <w:sz w:val="20"/>
          <w:szCs w:val="20"/>
          <w:rtl/>
        </w:rPr>
        <w:t>.</w:t>
      </w:r>
      <w:r w:rsidR="00241AA9">
        <w:rPr>
          <w:rFonts w:ascii="David" w:hAnsi="David" w:cs="David" w:hint="cs"/>
          <w:sz w:val="20"/>
          <w:szCs w:val="20"/>
          <w:rtl/>
        </w:rPr>
        <w:t xml:space="preserve"> ותמה </w:t>
      </w:r>
      <w:proofErr w:type="spellStart"/>
      <w:r w:rsidR="00241AA9">
        <w:rPr>
          <w:rFonts w:ascii="David" w:hAnsi="David" w:cs="David" w:hint="cs"/>
          <w:sz w:val="20"/>
          <w:szCs w:val="20"/>
          <w:rtl/>
        </w:rPr>
        <w:t>הגרי"ז</w:t>
      </w:r>
      <w:proofErr w:type="spellEnd"/>
      <w:r w:rsidR="00241AA9">
        <w:rPr>
          <w:rFonts w:ascii="David" w:hAnsi="David" w:cs="David" w:hint="cs"/>
          <w:sz w:val="20"/>
          <w:szCs w:val="20"/>
          <w:rtl/>
        </w:rPr>
        <w:t xml:space="preserve">: </w:t>
      </w:r>
      <w:r w:rsidR="00241AA9" w:rsidRPr="00241AA9">
        <w:rPr>
          <w:rFonts w:ascii="David" w:hAnsi="David" w:cs="David" w:hint="cs"/>
          <w:sz w:val="20"/>
          <w:szCs w:val="20"/>
          <w:rtl/>
        </w:rPr>
        <w:t>"</w:t>
      </w:r>
      <w:proofErr w:type="spellStart"/>
      <w:r w:rsidR="00241AA9" w:rsidRPr="00241AA9">
        <w:rPr>
          <w:rFonts w:ascii="David" w:hAnsi="David" w:cs="David"/>
          <w:sz w:val="20"/>
          <w:szCs w:val="20"/>
          <w:rtl/>
        </w:rPr>
        <w:t>דהא</w:t>
      </w:r>
      <w:proofErr w:type="spellEnd"/>
      <w:r w:rsidR="00241AA9" w:rsidRPr="00241AA9">
        <w:rPr>
          <w:rFonts w:ascii="David" w:hAnsi="David" w:cs="David"/>
          <w:sz w:val="20"/>
          <w:szCs w:val="20"/>
          <w:rtl/>
        </w:rPr>
        <w:t xml:space="preserve"> הולכה בזר פסולה אף </w:t>
      </w:r>
    </w:p>
    <w:p w14:paraId="08B21D33" w14:textId="21E133E3" w:rsidR="004447AF" w:rsidRPr="00F2791C" w:rsidRDefault="00241AA9" w:rsidP="00F2791C">
      <w:pPr>
        <w:spacing w:after="0" w:line="360" w:lineRule="auto"/>
        <w:rPr>
          <w:rFonts w:ascii="David" w:hAnsi="David" w:cs="David"/>
          <w:sz w:val="20"/>
          <w:szCs w:val="20"/>
        </w:rPr>
      </w:pPr>
      <w:proofErr w:type="spellStart"/>
      <w:r w:rsidRPr="00241AA9">
        <w:rPr>
          <w:rFonts w:ascii="David" w:hAnsi="David" w:cs="David"/>
          <w:sz w:val="20"/>
          <w:szCs w:val="20"/>
          <w:rtl/>
        </w:rPr>
        <w:t>דאפשר</w:t>
      </w:r>
      <w:proofErr w:type="spellEnd"/>
      <w:r w:rsidRPr="00241AA9">
        <w:rPr>
          <w:rFonts w:ascii="David" w:hAnsi="David" w:cs="David"/>
          <w:sz w:val="20"/>
          <w:szCs w:val="20"/>
          <w:rtl/>
        </w:rPr>
        <w:t xml:space="preserve"> לבטלה </w:t>
      </w:r>
      <w:proofErr w:type="spellStart"/>
      <w:r w:rsidRPr="00241AA9">
        <w:rPr>
          <w:rFonts w:ascii="David" w:hAnsi="David" w:cs="David"/>
          <w:sz w:val="20"/>
          <w:szCs w:val="20"/>
          <w:rtl/>
        </w:rPr>
        <w:t>כדאיתא</w:t>
      </w:r>
      <w:proofErr w:type="spellEnd"/>
      <w:r w:rsidRPr="00241AA9">
        <w:rPr>
          <w:rFonts w:ascii="David" w:hAnsi="David" w:cs="David"/>
          <w:sz w:val="20"/>
          <w:szCs w:val="20"/>
          <w:rtl/>
        </w:rPr>
        <w:t xml:space="preserve"> בזבחים (דף י"ד ע"ב) וא"כ </w:t>
      </w:r>
      <w:proofErr w:type="spellStart"/>
      <w:r w:rsidRPr="00241AA9">
        <w:rPr>
          <w:rFonts w:ascii="David" w:hAnsi="David" w:cs="David"/>
          <w:sz w:val="20"/>
          <w:szCs w:val="20"/>
          <w:rtl/>
        </w:rPr>
        <w:t>בעיא</w:t>
      </w:r>
      <w:proofErr w:type="spellEnd"/>
      <w:r w:rsidRPr="00241AA9">
        <w:rPr>
          <w:rFonts w:ascii="David" w:hAnsi="David" w:cs="David"/>
          <w:sz w:val="20"/>
          <w:szCs w:val="20"/>
          <w:rtl/>
        </w:rPr>
        <w:t xml:space="preserve"> כהונה וצ"ע</w:t>
      </w:r>
      <w:r w:rsidRPr="00241AA9">
        <w:rPr>
          <w:rFonts w:ascii="David" w:hAnsi="David" w:cs="David" w:hint="cs"/>
          <w:sz w:val="20"/>
          <w:szCs w:val="20"/>
          <w:rtl/>
        </w:rPr>
        <w:t>".</w:t>
      </w:r>
    </w:p>
  </w:footnote>
  <w:footnote w:id="28">
    <w:p w14:paraId="3416E5A6" w14:textId="57904F6C" w:rsidR="00241AA9" w:rsidRPr="00241AA9" w:rsidRDefault="00241AA9" w:rsidP="00241AA9">
      <w:pPr>
        <w:spacing w:after="0" w:line="360" w:lineRule="auto"/>
        <w:rPr>
          <w:rFonts w:asciiTheme="majorBidi" w:hAnsiTheme="majorBidi" w:cstheme="majorBidi"/>
          <w:sz w:val="20"/>
          <w:szCs w:val="20"/>
        </w:rPr>
      </w:pPr>
      <w:r w:rsidRPr="00241AA9">
        <w:rPr>
          <w:rStyle w:val="a5"/>
          <w:rFonts w:asciiTheme="majorBidi" w:hAnsiTheme="majorBidi" w:cstheme="majorBidi"/>
          <w:sz w:val="20"/>
          <w:szCs w:val="20"/>
        </w:rPr>
        <w:footnoteRef/>
      </w:r>
      <w:r w:rsidRPr="00241AA9">
        <w:rPr>
          <w:rFonts w:asciiTheme="majorBidi" w:hAnsiTheme="majorBidi" w:cstheme="majorBidi"/>
          <w:sz w:val="20"/>
          <w:szCs w:val="20"/>
          <w:rtl/>
        </w:rPr>
        <w:t xml:space="preserve"> דיון ארוך ישנו בשאלה באילו מלאכות המשנה </w:t>
      </w:r>
      <w:r>
        <w:rPr>
          <w:rFonts w:asciiTheme="majorBidi" w:hAnsiTheme="majorBidi" w:cstheme="majorBidi" w:hint="cs"/>
          <w:sz w:val="20"/>
          <w:szCs w:val="20"/>
          <w:rtl/>
        </w:rPr>
        <w:t>ו</w:t>
      </w:r>
      <w:r w:rsidRPr="00241AA9">
        <w:rPr>
          <w:rFonts w:asciiTheme="majorBidi" w:hAnsiTheme="majorBidi" w:cstheme="majorBidi"/>
          <w:sz w:val="20"/>
          <w:szCs w:val="20"/>
          <w:rtl/>
        </w:rPr>
        <w:t>רבי שמעון</w:t>
      </w:r>
      <w:r>
        <w:rPr>
          <w:rFonts w:asciiTheme="majorBidi" w:hAnsiTheme="majorBidi" w:cstheme="majorBidi" w:hint="cs"/>
          <w:sz w:val="20"/>
          <w:szCs w:val="20"/>
          <w:rtl/>
        </w:rPr>
        <w:t xml:space="preserve"> חולקים</w:t>
      </w:r>
      <w:r w:rsidRPr="00241AA9">
        <w:rPr>
          <w:rFonts w:asciiTheme="majorBidi" w:hAnsiTheme="majorBidi" w:cstheme="majorBidi"/>
          <w:sz w:val="20"/>
          <w:szCs w:val="20"/>
          <w:rtl/>
        </w:rPr>
        <w:t>. האם הוא חולק גם בבלילה? עסקו בזה רש"י, תוספות, קרן אורה, וחברותא כאן הערה</w:t>
      </w:r>
      <w:r w:rsidR="00774A4B">
        <w:rPr>
          <w:rFonts w:asciiTheme="majorBidi" w:hAnsiTheme="majorBidi" w:cstheme="majorBidi"/>
          <w:sz w:val="20"/>
          <w:szCs w:val="20"/>
          <w:rtl/>
        </w:rPr>
        <w:t xml:space="preserve"> </w:t>
      </w:r>
      <w:r w:rsidRPr="00241AA9">
        <w:rPr>
          <w:rFonts w:asciiTheme="majorBidi" w:hAnsiTheme="majorBidi" w:cstheme="majorBidi"/>
          <w:sz w:val="20"/>
          <w:szCs w:val="20"/>
          <w:rtl/>
        </w:rPr>
        <w:t>23 המביא גם את דברי החזון איש.</w:t>
      </w:r>
    </w:p>
  </w:footnote>
  <w:footnote w:id="29">
    <w:p w14:paraId="6D74ED04" w14:textId="5643D8C5" w:rsidR="004447AF" w:rsidRPr="00241AA9" w:rsidRDefault="004447AF" w:rsidP="00241AA9">
      <w:pPr>
        <w:spacing w:after="0" w:line="360" w:lineRule="auto"/>
        <w:rPr>
          <w:rFonts w:asciiTheme="majorBidi" w:hAnsiTheme="majorBidi" w:cstheme="majorBidi"/>
          <w:sz w:val="20"/>
          <w:szCs w:val="20"/>
        </w:rPr>
      </w:pPr>
      <w:r w:rsidRPr="00241AA9">
        <w:rPr>
          <w:rStyle w:val="a5"/>
          <w:rFonts w:asciiTheme="majorBidi" w:hAnsiTheme="majorBidi" w:cstheme="majorBidi"/>
          <w:sz w:val="20"/>
          <w:szCs w:val="20"/>
        </w:rPr>
        <w:footnoteRef/>
      </w:r>
      <w:r w:rsidRPr="00241AA9">
        <w:rPr>
          <w:rFonts w:asciiTheme="majorBidi" w:hAnsiTheme="majorBidi" w:cstheme="majorBidi"/>
          <w:sz w:val="20"/>
          <w:szCs w:val="20"/>
          <w:rtl/>
        </w:rPr>
        <w:t xml:space="preserve"> דפים </w:t>
      </w:r>
      <w:proofErr w:type="spellStart"/>
      <w:r w:rsidRPr="00241AA9">
        <w:rPr>
          <w:rFonts w:asciiTheme="majorBidi" w:hAnsiTheme="majorBidi" w:cstheme="majorBidi"/>
          <w:sz w:val="20"/>
          <w:szCs w:val="20"/>
          <w:rtl/>
        </w:rPr>
        <w:t>יז</w:t>
      </w:r>
      <w:proofErr w:type="spellEnd"/>
      <w:r w:rsidRPr="00241AA9">
        <w:rPr>
          <w:rFonts w:asciiTheme="majorBidi" w:hAnsiTheme="majorBidi" w:cstheme="majorBidi"/>
          <w:sz w:val="20"/>
          <w:szCs w:val="20"/>
          <w:rtl/>
        </w:rPr>
        <w:t xml:space="preserve"> -</w:t>
      </w:r>
      <w:r w:rsidR="00241AA9" w:rsidRPr="00241AA9">
        <w:rPr>
          <w:rFonts w:asciiTheme="majorBidi" w:hAnsiTheme="majorBidi" w:cstheme="majorBidi"/>
          <w:sz w:val="20"/>
          <w:szCs w:val="20"/>
          <w:rtl/>
        </w:rPr>
        <w:t xml:space="preserve"> </w:t>
      </w:r>
      <w:proofErr w:type="spellStart"/>
      <w:r w:rsidR="00241AA9" w:rsidRPr="00241AA9">
        <w:rPr>
          <w:rFonts w:asciiTheme="majorBidi" w:hAnsiTheme="majorBidi" w:cstheme="majorBidi"/>
          <w:sz w:val="20"/>
          <w:szCs w:val="20"/>
          <w:rtl/>
        </w:rPr>
        <w:t>יח</w:t>
      </w:r>
      <w:proofErr w:type="spellEnd"/>
      <w:r w:rsidR="00241AA9" w:rsidRPr="00241AA9">
        <w:rPr>
          <w:rFonts w:asciiTheme="majorBidi" w:hAnsiTheme="majorBidi" w:cstheme="majorBidi"/>
          <w:sz w:val="20"/>
          <w:szCs w:val="20"/>
          <w:rtl/>
        </w:rPr>
        <w:t>.</w:t>
      </w:r>
    </w:p>
  </w:footnote>
  <w:footnote w:id="30">
    <w:p w14:paraId="39B598E1" w14:textId="03DFE50C" w:rsidR="004447AF" w:rsidRPr="00C91060" w:rsidRDefault="004447AF" w:rsidP="00C91060">
      <w:pPr>
        <w:spacing w:after="0" w:line="360" w:lineRule="auto"/>
        <w:rPr>
          <w:rFonts w:asciiTheme="majorBidi" w:hAnsiTheme="majorBidi" w:cstheme="majorBidi"/>
          <w:sz w:val="20"/>
          <w:szCs w:val="20"/>
          <w:rtl/>
        </w:rPr>
      </w:pPr>
      <w:r w:rsidRPr="00241AA9">
        <w:rPr>
          <w:rStyle w:val="a5"/>
          <w:rFonts w:asciiTheme="majorBidi" w:hAnsiTheme="majorBidi" w:cstheme="majorBidi"/>
          <w:sz w:val="20"/>
          <w:szCs w:val="20"/>
        </w:rPr>
        <w:footnoteRef/>
      </w:r>
      <w:r w:rsidRPr="00241AA9">
        <w:rPr>
          <w:rFonts w:asciiTheme="majorBidi" w:hAnsiTheme="majorBidi" w:cstheme="majorBidi"/>
          <w:sz w:val="20"/>
          <w:szCs w:val="20"/>
          <w:rtl/>
        </w:rPr>
        <w:t xml:space="preserve"> חברותא </w:t>
      </w:r>
      <w:r w:rsidR="00E3479D">
        <w:rPr>
          <w:rFonts w:asciiTheme="majorBidi" w:hAnsiTheme="majorBidi" w:cstheme="majorBidi"/>
          <w:sz w:val="20"/>
          <w:szCs w:val="20"/>
          <w:rtl/>
        </w:rPr>
        <w:t>–</w:t>
      </w:r>
      <w:r w:rsidRPr="00241AA9">
        <w:rPr>
          <w:rFonts w:asciiTheme="majorBidi" w:hAnsiTheme="majorBidi" w:cstheme="majorBidi"/>
          <w:sz w:val="20"/>
          <w:szCs w:val="20"/>
          <w:rtl/>
        </w:rPr>
        <w:t xml:space="preserve"> </w:t>
      </w:r>
      <w:proofErr w:type="spellStart"/>
      <w:r w:rsidRPr="00241AA9">
        <w:rPr>
          <w:rFonts w:asciiTheme="majorBidi" w:hAnsiTheme="majorBidi" w:cstheme="majorBidi"/>
          <w:sz w:val="20"/>
          <w:szCs w:val="20"/>
          <w:rtl/>
        </w:rPr>
        <w:t>יח</w:t>
      </w:r>
      <w:proofErr w:type="spellEnd"/>
      <w:r w:rsidR="00E3479D">
        <w:rPr>
          <w:rFonts w:asciiTheme="majorBidi" w:hAnsiTheme="majorBidi" w:cstheme="majorBidi" w:hint="cs"/>
          <w:sz w:val="20"/>
          <w:szCs w:val="20"/>
          <w:rtl/>
        </w:rPr>
        <w:t xml:space="preserve">, </w:t>
      </w:r>
      <w:r w:rsidRPr="00241AA9">
        <w:rPr>
          <w:rFonts w:asciiTheme="majorBidi" w:hAnsiTheme="majorBidi" w:cstheme="majorBidi"/>
          <w:sz w:val="20"/>
          <w:szCs w:val="20"/>
          <w:rtl/>
        </w:rPr>
        <w:t>ב הערה</w:t>
      </w:r>
      <w:r w:rsidR="00774A4B">
        <w:rPr>
          <w:rFonts w:asciiTheme="majorBidi" w:hAnsiTheme="majorBidi" w:cstheme="majorBidi"/>
          <w:sz w:val="20"/>
          <w:szCs w:val="20"/>
          <w:rtl/>
        </w:rPr>
        <w:t xml:space="preserve"> </w:t>
      </w:r>
      <w:r w:rsidRPr="00241AA9">
        <w:rPr>
          <w:rFonts w:asciiTheme="majorBidi" w:hAnsiTheme="majorBidi" w:cstheme="majorBidi"/>
          <w:sz w:val="20"/>
          <w:szCs w:val="20"/>
          <w:rtl/>
        </w:rPr>
        <w:t xml:space="preserve">21. </w:t>
      </w:r>
    </w:p>
  </w:footnote>
  <w:footnote w:id="31">
    <w:p w14:paraId="06B6D545" w14:textId="77777777" w:rsidR="00C91060" w:rsidRPr="00C91060" w:rsidRDefault="00C91060" w:rsidP="00C91060">
      <w:pPr>
        <w:pStyle w:val="a3"/>
        <w:spacing w:line="360" w:lineRule="auto"/>
        <w:rPr>
          <w:rFonts w:asciiTheme="majorBidi" w:hAnsiTheme="majorBidi" w:cstheme="majorBidi"/>
        </w:rPr>
      </w:pPr>
      <w:r w:rsidRPr="00C91060">
        <w:rPr>
          <w:rStyle w:val="a5"/>
          <w:rFonts w:asciiTheme="majorBidi" w:hAnsiTheme="majorBidi" w:cstheme="majorBidi"/>
        </w:rPr>
        <w:footnoteRef/>
      </w:r>
      <w:r w:rsidRPr="00C91060">
        <w:rPr>
          <w:rFonts w:asciiTheme="majorBidi" w:hAnsiTheme="majorBidi" w:cstheme="majorBidi"/>
          <w:rtl/>
        </w:rPr>
        <w:t xml:space="preserve"> מנחת חינוך מצווה </w:t>
      </w:r>
      <w:proofErr w:type="spellStart"/>
      <w:r w:rsidRPr="00C91060">
        <w:rPr>
          <w:rFonts w:asciiTheme="majorBidi" w:hAnsiTheme="majorBidi" w:cstheme="majorBidi"/>
          <w:rtl/>
        </w:rPr>
        <w:t>קטז</w:t>
      </w:r>
      <w:proofErr w:type="spellEnd"/>
      <w:r w:rsidRPr="00C91060">
        <w:rPr>
          <w:rFonts w:asciiTheme="majorBidi" w:hAnsiTheme="majorBidi" w:cstheme="maj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03683678"/>
      <w:docPartObj>
        <w:docPartGallery w:val="Page Numbers (Top of Page)"/>
        <w:docPartUnique/>
      </w:docPartObj>
    </w:sdtPr>
    <w:sdtEndPr>
      <w:rPr>
        <w:cs/>
      </w:rPr>
    </w:sdtEndPr>
    <w:sdtContent>
      <w:p w14:paraId="28935631" w14:textId="77777777" w:rsidR="009B5654" w:rsidRDefault="009B5654">
        <w:pPr>
          <w:pStyle w:val="a7"/>
          <w:rPr>
            <w:cs/>
          </w:rPr>
        </w:pPr>
        <w:r>
          <w:fldChar w:fldCharType="begin"/>
        </w:r>
        <w:r>
          <w:rPr>
            <w:cs/>
          </w:rPr>
          <w:instrText>PAGE   \* MERGEFORMAT</w:instrText>
        </w:r>
        <w:r>
          <w:fldChar w:fldCharType="separate"/>
        </w:r>
        <w:r w:rsidRPr="009B5654">
          <w:rPr>
            <w:noProof/>
            <w:rtl/>
            <w:lang w:val="he-IL"/>
          </w:rPr>
          <w:t>5</w:t>
        </w:r>
        <w:r>
          <w:fldChar w:fldCharType="end"/>
        </w:r>
      </w:p>
    </w:sdtContent>
  </w:sdt>
  <w:p w14:paraId="375E5C16" w14:textId="77777777" w:rsidR="0032493E" w:rsidRDefault="003249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10EF"/>
    <w:multiLevelType w:val="hybridMultilevel"/>
    <w:tmpl w:val="07E89EF2"/>
    <w:lvl w:ilvl="0" w:tplc="1368FB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E03B0"/>
    <w:multiLevelType w:val="hybridMultilevel"/>
    <w:tmpl w:val="94585E30"/>
    <w:lvl w:ilvl="0" w:tplc="A07E76EA">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611F21B9"/>
    <w:multiLevelType w:val="hybridMultilevel"/>
    <w:tmpl w:val="3DA0AEFE"/>
    <w:lvl w:ilvl="0" w:tplc="1C4294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0D"/>
    <w:rsid w:val="00037E26"/>
    <w:rsid w:val="000477C6"/>
    <w:rsid w:val="000620EB"/>
    <w:rsid w:val="000707DA"/>
    <w:rsid w:val="000F6C14"/>
    <w:rsid w:val="00102340"/>
    <w:rsid w:val="00106068"/>
    <w:rsid w:val="001B3126"/>
    <w:rsid w:val="002007A4"/>
    <w:rsid w:val="00241AA9"/>
    <w:rsid w:val="00292D19"/>
    <w:rsid w:val="003059EC"/>
    <w:rsid w:val="00312FD9"/>
    <w:rsid w:val="0032493E"/>
    <w:rsid w:val="00331826"/>
    <w:rsid w:val="004066FB"/>
    <w:rsid w:val="004447AF"/>
    <w:rsid w:val="0046241A"/>
    <w:rsid w:val="005F2503"/>
    <w:rsid w:val="00607445"/>
    <w:rsid w:val="00723851"/>
    <w:rsid w:val="00756D0D"/>
    <w:rsid w:val="00774A4B"/>
    <w:rsid w:val="00783586"/>
    <w:rsid w:val="007873F3"/>
    <w:rsid w:val="00792810"/>
    <w:rsid w:val="0081420E"/>
    <w:rsid w:val="00913A4B"/>
    <w:rsid w:val="00932C35"/>
    <w:rsid w:val="0096346A"/>
    <w:rsid w:val="009B5654"/>
    <w:rsid w:val="00A91E36"/>
    <w:rsid w:val="00B0772E"/>
    <w:rsid w:val="00B13128"/>
    <w:rsid w:val="00B637A2"/>
    <w:rsid w:val="00BB0189"/>
    <w:rsid w:val="00BB4099"/>
    <w:rsid w:val="00BD0ED3"/>
    <w:rsid w:val="00C26014"/>
    <w:rsid w:val="00C91060"/>
    <w:rsid w:val="00C955AD"/>
    <w:rsid w:val="00E04BDD"/>
    <w:rsid w:val="00E3479D"/>
    <w:rsid w:val="00E57821"/>
    <w:rsid w:val="00F20137"/>
    <w:rsid w:val="00F2791C"/>
    <w:rsid w:val="00F73E27"/>
    <w:rsid w:val="00F769E5"/>
    <w:rsid w:val="00F81A94"/>
    <w:rsid w:val="00F86A55"/>
    <w:rsid w:val="00F952C3"/>
    <w:rsid w:val="00FE4D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AB1F"/>
  <w15:chartTrackingRefBased/>
  <w15:docId w15:val="{08456190-8205-4BD3-979A-DEF97C4B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66FB"/>
    <w:pPr>
      <w:spacing w:after="0" w:line="240" w:lineRule="auto"/>
    </w:pPr>
    <w:rPr>
      <w:sz w:val="20"/>
      <w:szCs w:val="20"/>
    </w:rPr>
  </w:style>
  <w:style w:type="character" w:customStyle="1" w:styleId="a4">
    <w:name w:val="טקסט הערת שוליים תו"/>
    <w:basedOn w:val="a0"/>
    <w:link w:val="a3"/>
    <w:uiPriority w:val="99"/>
    <w:semiHidden/>
    <w:rsid w:val="004066FB"/>
    <w:rPr>
      <w:sz w:val="20"/>
      <w:szCs w:val="20"/>
    </w:rPr>
  </w:style>
  <w:style w:type="character" w:styleId="a5">
    <w:name w:val="footnote reference"/>
    <w:basedOn w:val="a0"/>
    <w:uiPriority w:val="99"/>
    <w:semiHidden/>
    <w:unhideWhenUsed/>
    <w:rsid w:val="004066FB"/>
    <w:rPr>
      <w:vertAlign w:val="superscript"/>
    </w:rPr>
  </w:style>
  <w:style w:type="paragraph" w:styleId="a6">
    <w:name w:val="List Paragraph"/>
    <w:basedOn w:val="a"/>
    <w:uiPriority w:val="34"/>
    <w:qFormat/>
    <w:rsid w:val="00F86A55"/>
    <w:pPr>
      <w:ind w:left="720"/>
      <w:contextualSpacing/>
    </w:pPr>
  </w:style>
  <w:style w:type="paragraph" w:styleId="a7">
    <w:name w:val="header"/>
    <w:basedOn w:val="a"/>
    <w:link w:val="a8"/>
    <w:uiPriority w:val="99"/>
    <w:unhideWhenUsed/>
    <w:rsid w:val="0032493E"/>
    <w:pPr>
      <w:tabs>
        <w:tab w:val="center" w:pos="4153"/>
        <w:tab w:val="right" w:pos="8306"/>
      </w:tabs>
      <w:spacing w:after="0" w:line="240" w:lineRule="auto"/>
    </w:pPr>
  </w:style>
  <w:style w:type="character" w:customStyle="1" w:styleId="a8">
    <w:name w:val="כותרת עליונה תו"/>
    <w:basedOn w:val="a0"/>
    <w:link w:val="a7"/>
    <w:uiPriority w:val="99"/>
    <w:rsid w:val="0032493E"/>
  </w:style>
  <w:style w:type="paragraph" w:styleId="a9">
    <w:name w:val="footer"/>
    <w:basedOn w:val="a"/>
    <w:link w:val="aa"/>
    <w:uiPriority w:val="99"/>
    <w:unhideWhenUsed/>
    <w:rsid w:val="0032493E"/>
    <w:pPr>
      <w:tabs>
        <w:tab w:val="center" w:pos="4153"/>
        <w:tab w:val="right" w:pos="8306"/>
      </w:tabs>
      <w:spacing w:after="0" w:line="240" w:lineRule="auto"/>
    </w:pPr>
  </w:style>
  <w:style w:type="character" w:customStyle="1" w:styleId="aa">
    <w:name w:val="כותרת תחתונה תו"/>
    <w:basedOn w:val="a0"/>
    <w:link w:val="a9"/>
    <w:uiPriority w:val="99"/>
    <w:rsid w:val="0032493E"/>
  </w:style>
  <w:style w:type="paragraph" w:styleId="ab">
    <w:name w:val="Revision"/>
    <w:hidden/>
    <w:uiPriority w:val="99"/>
    <w:semiHidden/>
    <w:rsid w:val="00783586"/>
    <w:pPr>
      <w:spacing w:after="0" w:line="240" w:lineRule="auto"/>
    </w:pPr>
  </w:style>
  <w:style w:type="character" w:styleId="ac">
    <w:name w:val="annotation reference"/>
    <w:basedOn w:val="a0"/>
    <w:uiPriority w:val="99"/>
    <w:semiHidden/>
    <w:unhideWhenUsed/>
    <w:rsid w:val="00C955AD"/>
    <w:rPr>
      <w:sz w:val="16"/>
      <w:szCs w:val="16"/>
    </w:rPr>
  </w:style>
  <w:style w:type="paragraph" w:styleId="ad">
    <w:name w:val="annotation text"/>
    <w:basedOn w:val="a"/>
    <w:link w:val="ae"/>
    <w:uiPriority w:val="99"/>
    <w:unhideWhenUsed/>
    <w:rsid w:val="00C955AD"/>
    <w:pPr>
      <w:spacing w:line="240" w:lineRule="auto"/>
    </w:pPr>
    <w:rPr>
      <w:sz w:val="20"/>
      <w:szCs w:val="20"/>
    </w:rPr>
  </w:style>
  <w:style w:type="character" w:customStyle="1" w:styleId="ae">
    <w:name w:val="טקסט הערה תו"/>
    <w:basedOn w:val="a0"/>
    <w:link w:val="ad"/>
    <w:uiPriority w:val="99"/>
    <w:rsid w:val="00C955AD"/>
    <w:rPr>
      <w:sz w:val="20"/>
      <w:szCs w:val="20"/>
    </w:rPr>
  </w:style>
  <w:style w:type="paragraph" w:styleId="af">
    <w:name w:val="annotation subject"/>
    <w:basedOn w:val="ad"/>
    <w:next w:val="ad"/>
    <w:link w:val="af0"/>
    <w:uiPriority w:val="99"/>
    <w:semiHidden/>
    <w:unhideWhenUsed/>
    <w:rsid w:val="00C955AD"/>
    <w:rPr>
      <w:b/>
      <w:bCs/>
    </w:rPr>
  </w:style>
  <w:style w:type="character" w:customStyle="1" w:styleId="af0">
    <w:name w:val="נושא הערה תו"/>
    <w:basedOn w:val="ae"/>
    <w:link w:val="af"/>
    <w:uiPriority w:val="99"/>
    <w:semiHidden/>
    <w:rsid w:val="00C955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DBF77-C45B-4A12-9401-1A227C87B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1254</Words>
  <Characters>6271</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2025-06-10T15:32:00Z</dcterms:created>
  <dcterms:modified xsi:type="dcterms:W3CDTF">2025-07-21T06:53:00Z</dcterms:modified>
</cp:coreProperties>
</file>