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D8F8" w14:textId="77777777" w:rsidR="005D4F37" w:rsidRPr="00CE4BEE" w:rsidRDefault="005D4F37" w:rsidP="005D4F37">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b/>
          <w:bCs/>
          <w:sz w:val="28"/>
          <w:szCs w:val="28"/>
          <w:u w:val="single"/>
          <w:rtl/>
        </w:rPr>
        <w:t>כשרות בשר הנשחט באיסור אותו ואת בנו</w:t>
      </w:r>
    </w:p>
    <w:p w14:paraId="209867C8" w14:textId="77777777" w:rsidR="005D4F37" w:rsidRPr="00067504" w:rsidRDefault="005D4F37" w:rsidP="005D4F37">
      <w:pPr>
        <w:spacing w:after="0" w:line="360" w:lineRule="auto"/>
        <w:rPr>
          <w:rFonts w:asciiTheme="majorBidi" w:hAnsiTheme="majorBidi" w:cs="Times New Roman"/>
          <w:sz w:val="24"/>
          <w:szCs w:val="24"/>
          <w:rtl/>
        </w:rPr>
      </w:pPr>
      <w:bookmarkStart w:id="0" w:name="_Hlk216791027"/>
    </w:p>
    <w:p w14:paraId="11D2144A"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 xml:space="preserve"> חולין </w:t>
      </w:r>
      <w:proofErr w:type="spellStart"/>
      <w:r w:rsidRPr="00067504">
        <w:rPr>
          <w:rFonts w:asciiTheme="majorBidi" w:hAnsiTheme="majorBidi" w:cs="Times New Roman"/>
          <w:sz w:val="24"/>
          <w:szCs w:val="24"/>
          <w:rtl/>
        </w:rPr>
        <w:t>עח</w:t>
      </w:r>
      <w:proofErr w:type="spellEnd"/>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w:t>
      </w:r>
    </w:p>
    <w:p w14:paraId="436109F0"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 xml:space="preserve">אותו ואת בנו נוהג בין בארץ בין בח"ל, בפני הבית ושלא בפני הבית, בחולין </w:t>
      </w:r>
      <w:proofErr w:type="spellStart"/>
      <w:r w:rsidRPr="00067504">
        <w:rPr>
          <w:rFonts w:asciiTheme="majorBidi" w:hAnsiTheme="majorBidi" w:cs="Times New Roman"/>
          <w:sz w:val="24"/>
          <w:szCs w:val="24"/>
          <w:rtl/>
        </w:rPr>
        <w:t>ובמוקדשין</w:t>
      </w:r>
      <w:proofErr w:type="spellEnd"/>
      <w:r w:rsidRPr="00067504">
        <w:rPr>
          <w:rFonts w:asciiTheme="majorBidi" w:hAnsiTheme="majorBidi" w:cs="Times New Roman"/>
          <w:sz w:val="24"/>
          <w:szCs w:val="24"/>
          <w:rtl/>
        </w:rPr>
        <w:t>. כיצד</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השוחט אותו ואת בנו, חולין, בחוץ, שניהם כשרים, והשני סופג את הארבעים. קדשים בחוץ, הראשון - חייב כרת, ושניהם פסולים, ושניהם סופגים את הארבעים. חולין בפנים, שניהם </w:t>
      </w:r>
      <w:proofErr w:type="spellStart"/>
      <w:r w:rsidRPr="00067504">
        <w:rPr>
          <w:rFonts w:asciiTheme="majorBidi" w:hAnsiTheme="majorBidi" w:cs="Times New Roman"/>
          <w:sz w:val="24"/>
          <w:szCs w:val="24"/>
          <w:rtl/>
        </w:rPr>
        <w:t>פסולין</w:t>
      </w:r>
      <w:proofErr w:type="spellEnd"/>
      <w:r w:rsidRPr="00067504">
        <w:rPr>
          <w:rFonts w:asciiTheme="majorBidi" w:hAnsiTheme="majorBidi" w:cs="Times New Roman"/>
          <w:sz w:val="24"/>
          <w:szCs w:val="24"/>
          <w:rtl/>
        </w:rPr>
        <w:t>, והשני - סופג את הארבעים. קדשים בפנים, הראשון - כשר ופטור, והשני - סופג את הארבעים ופסול</w:t>
      </w:r>
      <w:r w:rsidRPr="00067504">
        <w:rPr>
          <w:rFonts w:asciiTheme="majorBidi" w:hAnsiTheme="majorBidi" w:cstheme="majorBidi" w:hint="cs"/>
          <w:sz w:val="24"/>
          <w:szCs w:val="24"/>
          <w:rtl/>
        </w:rPr>
        <w:t>.</w:t>
      </w:r>
    </w:p>
    <w:p w14:paraId="7CC718B8" w14:textId="77777777" w:rsidR="005D4F37" w:rsidRPr="00067504" w:rsidRDefault="005D4F37" w:rsidP="005D4F37">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החידוש בהלכה</w:t>
      </w:r>
    </w:p>
    <w:p w14:paraId="7D0C578E" w14:textId="77777777" w:rsidR="005D4F37" w:rsidRPr="00067504" w:rsidRDefault="005D4F37" w:rsidP="005D4F37">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במשנה נאמר שבשר הבהמה ובנה כשר בחולין. לכאורה אין בדבר כל חידוש, שכן </w:t>
      </w:r>
      <w:proofErr w:type="spellStart"/>
      <w:r w:rsidRPr="00067504">
        <w:rPr>
          <w:rFonts w:asciiTheme="majorBidi" w:hAnsiTheme="majorBidi" w:cstheme="majorBidi" w:hint="cs"/>
          <w:sz w:val="24"/>
          <w:szCs w:val="24"/>
          <w:rtl/>
        </w:rPr>
        <w:t>הסוגיה</w:t>
      </w:r>
      <w:proofErr w:type="spellEnd"/>
      <w:r w:rsidRPr="00067504">
        <w:rPr>
          <w:rFonts w:asciiTheme="majorBidi" w:hAnsiTheme="majorBidi" w:cstheme="majorBidi" w:hint="cs"/>
          <w:sz w:val="24"/>
          <w:szCs w:val="24"/>
          <w:rtl/>
        </w:rPr>
        <w:t xml:space="preserve"> לקמן שואלת מדוע לא ייאסר בשר 'אותו ואת בנו' כתועבה: </w:t>
      </w:r>
      <w:r w:rsidRPr="00067504">
        <w:rPr>
          <w:rFonts w:ascii="David" w:hAnsi="David" w:cs="David"/>
          <w:sz w:val="24"/>
          <w:szCs w:val="24"/>
          <w:rtl/>
        </w:rPr>
        <w:t xml:space="preserve">"אותו ואת בנו </w:t>
      </w:r>
      <w:proofErr w:type="spellStart"/>
      <w:r w:rsidRPr="00067504">
        <w:rPr>
          <w:rFonts w:ascii="David" w:hAnsi="David" w:cs="David"/>
          <w:sz w:val="24"/>
          <w:szCs w:val="24"/>
          <w:rtl/>
        </w:rPr>
        <w:t>ליתסר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מדאסר</w:t>
      </w:r>
      <w:proofErr w:type="spellEnd"/>
      <w:r w:rsidRPr="00067504">
        <w:rPr>
          <w:rFonts w:ascii="David" w:hAnsi="David" w:cs="David"/>
          <w:sz w:val="24"/>
          <w:szCs w:val="24"/>
          <w:rtl/>
        </w:rPr>
        <w:t xml:space="preserve"> רחמנא מחוסר זמן לגבוה - מכלל </w:t>
      </w:r>
      <w:proofErr w:type="spellStart"/>
      <w:r w:rsidRPr="00067504">
        <w:rPr>
          <w:rFonts w:ascii="David" w:hAnsi="David" w:cs="David"/>
          <w:sz w:val="24"/>
          <w:szCs w:val="24"/>
          <w:rtl/>
        </w:rPr>
        <w:t>דלהדיוט</w:t>
      </w:r>
      <w:proofErr w:type="spellEnd"/>
      <w:r w:rsidRPr="00067504">
        <w:rPr>
          <w:rFonts w:ascii="David" w:hAnsi="David" w:cs="David"/>
          <w:sz w:val="24"/>
          <w:szCs w:val="24"/>
          <w:rtl/>
        </w:rPr>
        <w:t xml:space="preserve"> שרי</w:t>
      </w:r>
      <w:r w:rsidRPr="00067504">
        <w:rPr>
          <w:rStyle w:val="a5"/>
          <w:rFonts w:ascii="David" w:hAnsi="David" w:cs="David"/>
          <w:sz w:val="24"/>
          <w:szCs w:val="24"/>
          <w:rtl/>
        </w:rPr>
        <w:footnoteReference w:id="1"/>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רש"י אכן כותב:</w:t>
      </w:r>
    </w:p>
    <w:p w14:paraId="5D87E795"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משום דבעי </w:t>
      </w:r>
      <w:proofErr w:type="spellStart"/>
      <w:r w:rsidRPr="00067504">
        <w:rPr>
          <w:rFonts w:ascii="David" w:hAnsi="David" w:cs="David"/>
          <w:sz w:val="24"/>
          <w:szCs w:val="24"/>
          <w:rtl/>
        </w:rPr>
        <w:t>למיתני</w:t>
      </w:r>
      <w:proofErr w:type="spellEnd"/>
      <w:r w:rsidRPr="00067504">
        <w:rPr>
          <w:rFonts w:ascii="David" w:hAnsi="David" w:cs="David"/>
          <w:sz w:val="24"/>
          <w:szCs w:val="24"/>
          <w:rtl/>
        </w:rPr>
        <w:t xml:space="preserve"> סיפא שניהם </w:t>
      </w:r>
      <w:proofErr w:type="spellStart"/>
      <w:r w:rsidRPr="00067504">
        <w:rPr>
          <w:rFonts w:ascii="David" w:hAnsi="David" w:cs="David"/>
          <w:sz w:val="24"/>
          <w:szCs w:val="24"/>
          <w:rtl/>
        </w:rPr>
        <w:t>פסולין</w:t>
      </w:r>
      <w:proofErr w:type="spellEnd"/>
      <w:r w:rsidRPr="00067504">
        <w:rPr>
          <w:rFonts w:ascii="David" w:hAnsi="David" w:cs="David" w:hint="cs"/>
          <w:sz w:val="24"/>
          <w:szCs w:val="24"/>
          <w:rtl/>
        </w:rPr>
        <w:t>.</w:t>
      </w:r>
      <w:r w:rsidRPr="00067504">
        <w:rPr>
          <w:rFonts w:ascii="David" w:hAnsi="David" w:cs="David"/>
          <w:sz w:val="24"/>
          <w:szCs w:val="24"/>
          <w:rtl/>
        </w:rPr>
        <w:t xml:space="preserve"> ובגמרא מפרש </w:t>
      </w:r>
      <w:proofErr w:type="spellStart"/>
      <w:r w:rsidRPr="00067504">
        <w:rPr>
          <w:rFonts w:ascii="David" w:hAnsi="David" w:cs="David"/>
          <w:sz w:val="24"/>
          <w:szCs w:val="24"/>
          <w:rtl/>
        </w:rPr>
        <w:t>אמאי</w:t>
      </w:r>
      <w:proofErr w:type="spellEnd"/>
      <w:r w:rsidRPr="00067504">
        <w:rPr>
          <w:rFonts w:ascii="David" w:hAnsi="David" w:cs="David"/>
          <w:sz w:val="24"/>
          <w:szCs w:val="24"/>
          <w:rtl/>
        </w:rPr>
        <w:t xml:space="preserve"> נקטינהו</w:t>
      </w:r>
      <w:r w:rsidRPr="00067504">
        <w:rPr>
          <w:rStyle w:val="a5"/>
          <w:rFonts w:ascii="David" w:hAnsi="David" w:cs="David"/>
          <w:sz w:val="24"/>
          <w:szCs w:val="24"/>
          <w:rtl/>
        </w:rPr>
        <w:footnoteReference w:id="2"/>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בעלי התוספות מציעים שהחידוש הוא ש</w:t>
      </w:r>
      <w:r w:rsidRPr="00067504">
        <w:rPr>
          <w:rFonts w:ascii="David" w:hAnsi="David" w:cs="David" w:hint="cs"/>
          <w:sz w:val="24"/>
          <w:szCs w:val="24"/>
          <w:rtl/>
        </w:rPr>
        <w:t>"</w:t>
      </w:r>
      <w:r w:rsidRPr="00067504">
        <w:rPr>
          <w:rFonts w:ascii="David" w:hAnsi="David" w:cs="David"/>
          <w:sz w:val="24"/>
          <w:szCs w:val="24"/>
          <w:rtl/>
        </w:rPr>
        <w:t xml:space="preserve">ס"ד </w:t>
      </w:r>
      <w:proofErr w:type="spellStart"/>
      <w:r w:rsidRPr="00067504">
        <w:rPr>
          <w:rFonts w:ascii="David" w:hAnsi="David" w:cs="David"/>
          <w:sz w:val="24"/>
          <w:szCs w:val="24"/>
          <w:rtl/>
        </w:rPr>
        <w:t>דמיפסל</w:t>
      </w:r>
      <w:proofErr w:type="spellEnd"/>
      <w:r w:rsidRPr="00067504">
        <w:rPr>
          <w:rFonts w:ascii="David" w:hAnsi="David" w:cs="David"/>
          <w:sz w:val="24"/>
          <w:szCs w:val="24"/>
          <w:rtl/>
        </w:rPr>
        <w:t xml:space="preserve"> שני משום לא תאכל כל תועבה </w:t>
      </w:r>
      <w:proofErr w:type="spellStart"/>
      <w:r w:rsidRPr="00067504">
        <w:rPr>
          <w:rFonts w:ascii="David" w:hAnsi="David" w:cs="David"/>
          <w:sz w:val="24"/>
          <w:szCs w:val="24"/>
          <w:rtl/>
        </w:rPr>
        <w:t>כדאמר</w:t>
      </w:r>
      <w:proofErr w:type="spellEnd"/>
      <w:r w:rsidRPr="00067504">
        <w:rPr>
          <w:rFonts w:ascii="David" w:hAnsi="David" w:cs="David"/>
          <w:sz w:val="24"/>
          <w:szCs w:val="24"/>
          <w:rtl/>
        </w:rPr>
        <w:t xml:space="preserve"> בפרק כל הבש</w:t>
      </w:r>
      <w:r w:rsidRPr="00067504">
        <w:rPr>
          <w:rFonts w:ascii="David" w:hAnsi="David" w:cs="David" w:hint="cs"/>
          <w:sz w:val="24"/>
          <w:szCs w:val="24"/>
          <w:rtl/>
        </w:rPr>
        <w:t>ר</w:t>
      </w:r>
      <w:r w:rsidRPr="00067504">
        <w:rPr>
          <w:rStyle w:val="a5"/>
          <w:rFonts w:ascii="David" w:hAnsi="David" w:cs="David"/>
          <w:sz w:val="24"/>
          <w:szCs w:val="24"/>
          <w:rtl/>
        </w:rPr>
        <w:footnoteReference w:id="3"/>
      </w:r>
      <w:r w:rsidRPr="00067504">
        <w:rPr>
          <w:rFonts w:ascii="David" w:hAnsi="David" w:cs="David" w:hint="cs"/>
          <w:sz w:val="24"/>
          <w:szCs w:val="24"/>
          <w:rtl/>
        </w:rPr>
        <w:t>".</w:t>
      </w:r>
    </w:p>
    <w:p w14:paraId="41CC28DA"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גם רע"א מחפש חידוש בהלכה זו: </w:t>
      </w:r>
    </w:p>
    <w:p w14:paraId="50481859" w14:textId="77777777" w:rsidR="005D4F37" w:rsidRPr="00067504" w:rsidRDefault="005D4F37" w:rsidP="005D4F37">
      <w:pPr>
        <w:spacing w:after="0" w:line="360" w:lineRule="auto"/>
        <w:ind w:left="720"/>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לכאורה מה בעי להשמיענו. ונראה </w:t>
      </w:r>
      <w:proofErr w:type="spellStart"/>
      <w:r w:rsidRPr="00067504">
        <w:rPr>
          <w:rFonts w:ascii="David" w:hAnsi="David" w:cs="David"/>
          <w:sz w:val="24"/>
          <w:szCs w:val="24"/>
          <w:rtl/>
        </w:rPr>
        <w:t>דאתי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לאשמעינן</w:t>
      </w:r>
      <w:proofErr w:type="spellEnd"/>
      <w:r w:rsidRPr="00067504">
        <w:rPr>
          <w:rFonts w:ascii="David" w:hAnsi="David" w:cs="David" w:hint="cs"/>
          <w:sz w:val="24"/>
          <w:szCs w:val="24"/>
          <w:rtl/>
        </w:rPr>
        <w:t xml:space="preserve"> </w:t>
      </w:r>
      <w:r w:rsidRPr="00067504">
        <w:rPr>
          <w:rFonts w:ascii="David" w:hAnsi="David" w:cs="David"/>
          <w:sz w:val="24"/>
          <w:szCs w:val="24"/>
          <w:rtl/>
        </w:rPr>
        <w:t>דל</w:t>
      </w:r>
      <w:r w:rsidRPr="00067504">
        <w:rPr>
          <w:rFonts w:ascii="David" w:hAnsi="David" w:cs="David" w:hint="cs"/>
          <w:sz w:val="24"/>
          <w:szCs w:val="24"/>
          <w:rtl/>
        </w:rPr>
        <w:t xml:space="preserve">א נאמר: </w:t>
      </w:r>
      <w:r w:rsidRPr="00067504">
        <w:rPr>
          <w:rFonts w:ascii="David" w:hAnsi="David" w:cs="David"/>
          <w:sz w:val="24"/>
          <w:szCs w:val="24"/>
          <w:rtl/>
        </w:rPr>
        <w:t xml:space="preserve">כל מאי </w:t>
      </w:r>
      <w:proofErr w:type="spellStart"/>
      <w:r w:rsidRPr="00067504">
        <w:rPr>
          <w:rFonts w:ascii="David" w:hAnsi="David" w:cs="David"/>
          <w:sz w:val="24"/>
          <w:szCs w:val="24"/>
          <w:rtl/>
        </w:rPr>
        <w:t>דאמר</w:t>
      </w:r>
      <w:proofErr w:type="spellEnd"/>
      <w:r w:rsidRPr="00067504">
        <w:rPr>
          <w:rFonts w:ascii="David" w:hAnsi="David" w:cs="David"/>
          <w:sz w:val="24"/>
          <w:szCs w:val="24"/>
          <w:rtl/>
        </w:rPr>
        <w:t xml:space="preserve"> רחמנא ל</w:t>
      </w:r>
      <w:r w:rsidRPr="00067504">
        <w:rPr>
          <w:rFonts w:ascii="David" w:hAnsi="David" w:cs="David" w:hint="cs"/>
          <w:sz w:val="24"/>
          <w:szCs w:val="24"/>
          <w:rtl/>
        </w:rPr>
        <w:t xml:space="preserve">א תעביד, </w:t>
      </w:r>
      <w:r w:rsidRPr="00067504">
        <w:rPr>
          <w:rFonts w:ascii="David" w:hAnsi="David" w:cs="David"/>
          <w:sz w:val="24"/>
          <w:szCs w:val="24"/>
          <w:rtl/>
        </w:rPr>
        <w:t>א</w:t>
      </w:r>
      <w:r w:rsidRPr="00067504">
        <w:rPr>
          <w:rFonts w:ascii="David" w:hAnsi="David" w:cs="David" w:hint="cs"/>
          <w:sz w:val="24"/>
          <w:szCs w:val="24"/>
          <w:rtl/>
        </w:rPr>
        <w:t xml:space="preserve">י עביד לא מהני, </w:t>
      </w:r>
      <w:proofErr w:type="spellStart"/>
      <w:r w:rsidRPr="00067504">
        <w:rPr>
          <w:rFonts w:ascii="David" w:hAnsi="David" w:cs="David"/>
          <w:sz w:val="24"/>
          <w:szCs w:val="24"/>
          <w:rtl/>
        </w:rPr>
        <w:t>והוי</w:t>
      </w:r>
      <w:proofErr w:type="spellEnd"/>
      <w:r w:rsidRPr="00067504">
        <w:rPr>
          <w:rFonts w:ascii="David" w:hAnsi="David" w:cs="David"/>
          <w:sz w:val="24"/>
          <w:szCs w:val="24"/>
          <w:rtl/>
        </w:rPr>
        <w:t xml:space="preserve"> נחירה</w:t>
      </w:r>
      <w:r w:rsidRPr="00067504">
        <w:rPr>
          <w:rStyle w:val="a5"/>
          <w:rFonts w:ascii="David" w:hAnsi="David" w:cs="David"/>
          <w:sz w:val="24"/>
          <w:szCs w:val="24"/>
          <w:rtl/>
        </w:rPr>
        <w:footnoteReference w:id="4"/>
      </w:r>
      <w:r w:rsidRPr="00067504">
        <w:rPr>
          <w:rFonts w:ascii="David" w:hAnsi="David" w:cs="David" w:hint="cs"/>
          <w:sz w:val="24"/>
          <w:szCs w:val="24"/>
          <w:rtl/>
        </w:rPr>
        <w:t>"</w:t>
      </w:r>
    </w:p>
    <w:p w14:paraId="78DAF069"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ואז הבשר יהיה אסור באכילה.</w:t>
      </w:r>
    </w:p>
    <w:p w14:paraId="0245E36F"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באמת מדוע לא נאמר כן? שלוש תשובות הוצעו לשאלה זו: 1. אין אומרים כלל זה, אלא באיסור מוחלט אבל לא באיסור זמני, </w:t>
      </w:r>
      <w:r w:rsidRPr="00067504">
        <w:rPr>
          <w:rFonts w:ascii="David" w:hAnsi="David" w:cs="David"/>
          <w:sz w:val="24"/>
          <w:szCs w:val="24"/>
          <w:rtl/>
        </w:rPr>
        <w:t xml:space="preserve">"כיון </w:t>
      </w:r>
      <w:proofErr w:type="spellStart"/>
      <w:r w:rsidRPr="00067504">
        <w:rPr>
          <w:rFonts w:ascii="David" w:hAnsi="David" w:cs="David"/>
          <w:sz w:val="24"/>
          <w:szCs w:val="24"/>
          <w:rtl/>
        </w:rPr>
        <w:t>דאפשר</w:t>
      </w:r>
      <w:proofErr w:type="spellEnd"/>
      <w:r w:rsidRPr="00067504">
        <w:rPr>
          <w:rFonts w:ascii="David" w:hAnsi="David" w:cs="David"/>
          <w:sz w:val="24"/>
          <w:szCs w:val="24"/>
          <w:rtl/>
        </w:rPr>
        <w:t xml:space="preserve"> לעשות בהיתר</w:t>
      </w:r>
      <w:r w:rsidRPr="00067504">
        <w:rPr>
          <w:rStyle w:val="a5"/>
          <w:rFonts w:ascii="David" w:hAnsi="David" w:cs="David"/>
          <w:sz w:val="24"/>
          <w:szCs w:val="24"/>
          <w:rtl/>
        </w:rPr>
        <w:footnoteReference w:id="5"/>
      </w:r>
      <w:r w:rsidRPr="00067504">
        <w:rPr>
          <w:rFonts w:ascii="David" w:hAnsi="David" w:cs="David"/>
          <w:sz w:val="24"/>
          <w:szCs w:val="24"/>
          <w:rtl/>
        </w:rPr>
        <w:t xml:space="preserve">". </w:t>
      </w:r>
      <w:r w:rsidRPr="00067504">
        <w:rPr>
          <w:rFonts w:asciiTheme="majorBidi" w:hAnsiTheme="majorBidi" w:cstheme="majorBidi"/>
          <w:sz w:val="24"/>
          <w:szCs w:val="24"/>
          <w:rtl/>
        </w:rPr>
        <w:t>2. גזירת הכתוב היא, כפי שלמדנו בגמרא, שרק לקדשים נפסל מחוסר זמן</w:t>
      </w:r>
      <w:r w:rsidRPr="00067504">
        <w:rPr>
          <w:rStyle w:val="a5"/>
          <w:rFonts w:asciiTheme="majorBidi" w:hAnsiTheme="majorBidi" w:cstheme="majorBidi"/>
          <w:sz w:val="24"/>
          <w:szCs w:val="24"/>
          <w:rtl/>
        </w:rPr>
        <w:footnoteReference w:id="6"/>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לביאור השלישי נחוצה הקדמה: בגמרא מתמודדים עם דעה דומה מאוד לעניין 'אי עביד לא מהני'. </w:t>
      </w:r>
      <w:r w:rsidRPr="00067504">
        <w:rPr>
          <w:rFonts w:asciiTheme="majorBidi" w:hAnsiTheme="majorBidi" w:cs="Times New Roman" w:hint="cs"/>
          <w:sz w:val="24"/>
          <w:szCs w:val="24"/>
          <w:rtl/>
        </w:rPr>
        <w:t>רבי שמעון סובר ששחיטה שאינה ראויה אינה שחיטה. הגמרא מוכיחה שמשנתנו איננה כדעת רבי שמעון:</w:t>
      </w:r>
      <w:r w:rsidRPr="00067504">
        <w:rPr>
          <w:rFonts w:asciiTheme="majorBidi" w:hAnsiTheme="majorBidi" w:cstheme="majorBidi" w:hint="cs"/>
          <w:sz w:val="24"/>
          <w:szCs w:val="24"/>
          <w:rtl/>
        </w:rPr>
        <w:t xml:space="preserve"> </w:t>
      </w:r>
    </w:p>
    <w:p w14:paraId="4E32D365" w14:textId="77777777" w:rsidR="005D4F37" w:rsidRPr="00067504" w:rsidRDefault="005D4F37" w:rsidP="005D4F37">
      <w:pPr>
        <w:spacing w:after="0" w:line="360" w:lineRule="auto"/>
        <w:ind w:left="720"/>
        <w:rPr>
          <w:rFonts w:ascii="David" w:hAnsi="David" w:cs="David"/>
          <w:sz w:val="24"/>
          <w:szCs w:val="24"/>
          <w:rtl/>
        </w:rPr>
      </w:pPr>
      <w:r w:rsidRPr="00067504">
        <w:rPr>
          <w:rFonts w:ascii="David" w:hAnsi="David" w:cs="David"/>
          <w:sz w:val="24"/>
          <w:szCs w:val="24"/>
          <w:rtl/>
        </w:rPr>
        <w:t xml:space="preserve">אמר רבי </w:t>
      </w:r>
      <w:proofErr w:type="spellStart"/>
      <w:r w:rsidRPr="00067504">
        <w:rPr>
          <w:rFonts w:ascii="David" w:hAnsi="David" w:cs="David"/>
          <w:sz w:val="24"/>
          <w:szCs w:val="24"/>
          <w:rtl/>
        </w:rPr>
        <w:t>אושעיא</w:t>
      </w:r>
      <w:proofErr w:type="spellEnd"/>
      <w:r w:rsidRPr="00067504">
        <w:rPr>
          <w:rFonts w:ascii="David" w:hAnsi="David" w:cs="David"/>
          <w:sz w:val="24"/>
          <w:szCs w:val="24"/>
          <w:rtl/>
        </w:rPr>
        <w:t xml:space="preserve">: כולה </w:t>
      </w:r>
      <w:proofErr w:type="spellStart"/>
      <w:r w:rsidRPr="00067504">
        <w:rPr>
          <w:rFonts w:ascii="David" w:hAnsi="David" w:cs="David"/>
          <w:sz w:val="24"/>
          <w:szCs w:val="24"/>
          <w:rtl/>
        </w:rPr>
        <w:t>מתניתין</w:t>
      </w:r>
      <w:proofErr w:type="spellEnd"/>
      <w:r w:rsidRPr="00067504">
        <w:rPr>
          <w:rFonts w:ascii="David" w:hAnsi="David" w:cs="David"/>
          <w:sz w:val="24"/>
          <w:szCs w:val="24"/>
          <w:rtl/>
        </w:rPr>
        <w:t xml:space="preserve"> דלא כר' שמעון, ממאי - </w:t>
      </w:r>
      <w:proofErr w:type="spellStart"/>
      <w:r w:rsidRPr="00067504">
        <w:rPr>
          <w:rFonts w:ascii="David" w:hAnsi="David" w:cs="David"/>
          <w:sz w:val="24"/>
          <w:szCs w:val="24"/>
          <w:rtl/>
        </w:rPr>
        <w:t>מדקא</w:t>
      </w:r>
      <w:proofErr w:type="spellEnd"/>
      <w:r w:rsidRPr="00067504">
        <w:rPr>
          <w:rFonts w:ascii="David" w:hAnsi="David" w:cs="David"/>
          <w:sz w:val="24"/>
          <w:szCs w:val="24"/>
          <w:rtl/>
        </w:rPr>
        <w:t xml:space="preserve"> תני: קדשים בחוץ, הראשון חייב כרת, ושניהם פסולים, ושניהם סופגים את הארבעים</w:t>
      </w:r>
      <w:r>
        <w:rPr>
          <w:rFonts w:ascii="David" w:hAnsi="David" w:cs="David" w:hint="cs"/>
          <w:sz w:val="24"/>
          <w:szCs w:val="24"/>
          <w:rtl/>
        </w:rPr>
        <w:t>.</w:t>
      </w:r>
      <w:r w:rsidRPr="00067504">
        <w:rPr>
          <w:rFonts w:ascii="David" w:hAnsi="David" w:cs="David"/>
          <w:sz w:val="24"/>
          <w:szCs w:val="24"/>
          <w:rtl/>
        </w:rPr>
        <w:t xml:space="preserve"> מכדי</w:t>
      </w:r>
      <w:r>
        <w:rPr>
          <w:rFonts w:ascii="David" w:hAnsi="David" w:cs="David" w:hint="cs"/>
          <w:sz w:val="24"/>
          <w:szCs w:val="24"/>
          <w:rtl/>
        </w:rPr>
        <w:t>,</w:t>
      </w:r>
      <w:r w:rsidRPr="00067504">
        <w:rPr>
          <w:rFonts w:ascii="David" w:hAnsi="David" w:cs="David"/>
          <w:sz w:val="24"/>
          <w:szCs w:val="24"/>
          <w:rtl/>
        </w:rPr>
        <w:t xml:space="preserve"> שמעינן ליה לרבי שמעון </w:t>
      </w:r>
      <w:proofErr w:type="spellStart"/>
      <w:r w:rsidRPr="00067504">
        <w:rPr>
          <w:rFonts w:ascii="David" w:hAnsi="David" w:cs="David"/>
          <w:sz w:val="24"/>
          <w:szCs w:val="24"/>
          <w:rtl/>
        </w:rPr>
        <w:t>דאמר</w:t>
      </w:r>
      <w:proofErr w:type="spellEnd"/>
      <w:r w:rsidRPr="00067504">
        <w:rPr>
          <w:rFonts w:ascii="David" w:hAnsi="David" w:cs="David"/>
          <w:sz w:val="24"/>
          <w:szCs w:val="24"/>
          <w:rtl/>
        </w:rPr>
        <w:t>: שחיטה שאינה ראויה - לא שמה שחיטה</w:t>
      </w:r>
      <w:r>
        <w:rPr>
          <w:rFonts w:ascii="David" w:hAnsi="David" w:cs="David" w:hint="cs"/>
          <w:sz w:val="24"/>
          <w:szCs w:val="24"/>
          <w:rtl/>
        </w:rPr>
        <w:t>.</w:t>
      </w:r>
      <w:r w:rsidRPr="00067504">
        <w:rPr>
          <w:rFonts w:ascii="David" w:hAnsi="David" w:cs="David"/>
          <w:sz w:val="24"/>
          <w:szCs w:val="24"/>
          <w:rtl/>
        </w:rPr>
        <w:t xml:space="preserve"> קמא </w:t>
      </w:r>
      <w:proofErr w:type="spellStart"/>
      <w:r w:rsidRPr="00067504">
        <w:rPr>
          <w:rFonts w:ascii="David" w:hAnsi="David" w:cs="David"/>
          <w:sz w:val="24"/>
          <w:szCs w:val="24"/>
          <w:rtl/>
        </w:rPr>
        <w:t>מיקטל</w:t>
      </w:r>
      <w:proofErr w:type="spellEnd"/>
      <w:r w:rsidRPr="00067504">
        <w:rPr>
          <w:rFonts w:ascii="David" w:hAnsi="David" w:cs="David"/>
          <w:sz w:val="24"/>
          <w:szCs w:val="24"/>
          <w:rtl/>
        </w:rPr>
        <w:t xml:space="preserve"> קטליה, שני מתקבל בפנים הוא, כרת נמי </w:t>
      </w:r>
      <w:proofErr w:type="spellStart"/>
      <w:r w:rsidRPr="00067504">
        <w:rPr>
          <w:rFonts w:ascii="David" w:hAnsi="David" w:cs="David"/>
          <w:sz w:val="24"/>
          <w:szCs w:val="24"/>
          <w:rtl/>
        </w:rPr>
        <w:t>ליחייב</w:t>
      </w:r>
      <w:proofErr w:type="spellEnd"/>
      <w:r w:rsidRPr="00067504">
        <w:rPr>
          <w:rFonts w:ascii="David" w:hAnsi="David" w:cs="David"/>
          <w:sz w:val="24"/>
          <w:szCs w:val="24"/>
          <w:rtl/>
        </w:rPr>
        <w:t>!</w:t>
      </w:r>
      <w:r w:rsidRPr="00067504">
        <w:rPr>
          <w:rStyle w:val="a5"/>
          <w:rFonts w:ascii="David" w:hAnsi="David" w:cs="David"/>
          <w:sz w:val="24"/>
          <w:szCs w:val="24"/>
          <w:rtl/>
        </w:rPr>
        <w:footnoteReference w:id="7"/>
      </w:r>
      <w:r w:rsidRPr="00067504">
        <w:rPr>
          <w:rFonts w:ascii="David" w:hAnsi="David" w:cs="David" w:hint="cs"/>
          <w:sz w:val="24"/>
          <w:szCs w:val="24"/>
          <w:rtl/>
        </w:rPr>
        <w:t xml:space="preserve">. </w:t>
      </w:r>
    </w:p>
    <w:p w14:paraId="0EE49AC5"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כלומר, לדעת רבי שמעון השחיטה השנייה בחוץ נחשבת ראשונה, שהייתה ראויה </w:t>
      </w:r>
      <w:proofErr w:type="spellStart"/>
      <w:r w:rsidRPr="00067504">
        <w:rPr>
          <w:rFonts w:asciiTheme="majorBidi" w:hAnsiTheme="majorBidi" w:cstheme="majorBidi" w:hint="cs"/>
          <w:sz w:val="24"/>
          <w:szCs w:val="24"/>
          <w:rtl/>
        </w:rPr>
        <w:t>להיקרב</w:t>
      </w:r>
      <w:proofErr w:type="spellEnd"/>
      <w:r w:rsidRPr="00067504">
        <w:rPr>
          <w:rFonts w:asciiTheme="majorBidi" w:hAnsiTheme="majorBidi" w:cstheme="majorBidi" w:hint="cs"/>
          <w:sz w:val="24"/>
          <w:szCs w:val="24"/>
          <w:rtl/>
        </w:rPr>
        <w:t xml:space="preserve"> בפנים כיוון שהראשונה נפסלה. רבי </w:t>
      </w:r>
      <w:proofErr w:type="spellStart"/>
      <w:r w:rsidRPr="00067504">
        <w:rPr>
          <w:rFonts w:asciiTheme="majorBidi" w:hAnsiTheme="majorBidi" w:cstheme="majorBidi" w:hint="cs"/>
          <w:sz w:val="24"/>
          <w:szCs w:val="24"/>
          <w:rtl/>
        </w:rPr>
        <w:t>אושעיא</w:t>
      </w:r>
      <w:proofErr w:type="spellEnd"/>
      <w:r w:rsidRPr="00067504">
        <w:rPr>
          <w:rFonts w:asciiTheme="majorBidi" w:hAnsiTheme="majorBidi" w:cstheme="majorBidi" w:hint="cs"/>
          <w:sz w:val="24"/>
          <w:szCs w:val="24"/>
          <w:rtl/>
        </w:rPr>
        <w:t xml:space="preserve"> ממשיך לפרט את דיני משנתנו, ולהדגים כיצד אינם תואמים את שיטת רבי שמעון.</w:t>
      </w:r>
    </w:p>
    <w:p w14:paraId="73123036"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ויש להבין, מדוע לא הוכיח כן מן ההלכה הראשונה, שבחולין שניהם כשרים, הרי לדברי רבי שמעון השחיטה השנייה איננה ראויה בהיותה 'אותו ואת בנו'. נראה שבמקרה זה מודה רבי שמעון שהשחיטה כשרה. שהרי אם נאמר שהשחיטה השנייה איננה כשרה, אין כאן עבירה כלל, כדין השוחט אותו ואת בנו </w:t>
      </w:r>
      <w:proofErr w:type="spellStart"/>
      <w:r w:rsidRPr="00067504">
        <w:rPr>
          <w:rFonts w:asciiTheme="majorBidi" w:hAnsiTheme="majorBidi" w:cstheme="majorBidi" w:hint="cs"/>
          <w:sz w:val="24"/>
          <w:szCs w:val="24"/>
          <w:rtl/>
        </w:rPr>
        <w:t>ונתנבלה</w:t>
      </w:r>
      <w:proofErr w:type="spellEnd"/>
      <w:r w:rsidRPr="00067504">
        <w:rPr>
          <w:rFonts w:asciiTheme="majorBidi" w:hAnsiTheme="majorBidi" w:cstheme="majorBidi" w:hint="cs"/>
          <w:sz w:val="24"/>
          <w:szCs w:val="24"/>
          <w:rtl/>
        </w:rPr>
        <w:t xml:space="preserve"> בידו</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ואם כן מתבטלת כל מצוות אותו ואת בנו. משמע, בזה לא אמר רבי שמעון</w:t>
      </w:r>
      <w:r w:rsidRPr="00067504">
        <w:rPr>
          <w:rStyle w:val="a5"/>
          <w:rFonts w:asciiTheme="majorBidi" w:hAnsiTheme="majorBidi" w:cstheme="majorBidi"/>
          <w:sz w:val="24"/>
          <w:szCs w:val="24"/>
          <w:rtl/>
        </w:rPr>
        <w:footnoteReference w:id="9"/>
      </w:r>
      <w:r w:rsidRPr="00067504">
        <w:rPr>
          <w:rFonts w:asciiTheme="majorBidi" w:hAnsiTheme="majorBidi" w:cstheme="majorBidi" w:hint="cs"/>
          <w:sz w:val="24"/>
          <w:szCs w:val="24"/>
          <w:rtl/>
        </w:rPr>
        <w:t>.</w:t>
      </w:r>
    </w:p>
    <w:p w14:paraId="1BD06DBF"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מכל האמור ברור לכאורה שאין כל בעיה באכילת הבהמה שנשחטה באיסור. באמת </w:t>
      </w:r>
      <w:proofErr w:type="spellStart"/>
      <w:r w:rsidRPr="00067504">
        <w:rPr>
          <w:rFonts w:asciiTheme="majorBidi" w:hAnsiTheme="majorBidi" w:cstheme="majorBidi" w:hint="cs"/>
          <w:sz w:val="24"/>
          <w:szCs w:val="24"/>
          <w:rtl/>
        </w:rPr>
        <w:t>הריא"ז</w:t>
      </w:r>
      <w:proofErr w:type="spellEnd"/>
      <w:r w:rsidRPr="00067504">
        <w:rPr>
          <w:rFonts w:asciiTheme="majorBidi" w:hAnsiTheme="majorBidi" w:cstheme="majorBidi" w:hint="cs"/>
          <w:sz w:val="24"/>
          <w:szCs w:val="24"/>
          <w:rtl/>
        </w:rPr>
        <w:t xml:space="preserve"> פוסק: </w:t>
      </w:r>
    </w:p>
    <w:p w14:paraId="260F020B" w14:textId="77777777" w:rsidR="005D4F37" w:rsidRPr="00067504" w:rsidRDefault="005D4F37" w:rsidP="005D4F37">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ואם עבר ושחט מותר באכילה</w:t>
      </w:r>
      <w:r w:rsidRPr="00067504">
        <w:rPr>
          <w:rStyle w:val="a5"/>
          <w:rFonts w:ascii="David" w:hAnsi="David" w:cs="David"/>
          <w:sz w:val="24"/>
          <w:szCs w:val="24"/>
          <w:rtl/>
        </w:rPr>
        <w:footnoteReference w:id="10"/>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כן פשט ההלכה ברמב"ם: </w:t>
      </w:r>
      <w:r w:rsidRPr="00067504">
        <w:rPr>
          <w:rFonts w:ascii="David" w:hAnsi="David" w:cs="David" w:hint="cs"/>
          <w:sz w:val="24"/>
          <w:szCs w:val="24"/>
          <w:rtl/>
        </w:rPr>
        <w:t>"</w:t>
      </w:r>
      <w:r w:rsidRPr="00067504">
        <w:rPr>
          <w:rFonts w:ascii="David" w:hAnsi="David" w:cs="David"/>
          <w:sz w:val="24"/>
          <w:szCs w:val="24"/>
          <w:rtl/>
        </w:rPr>
        <w:t>השוחט אותו ואת בנו ביום אחד הבשר מותר באכילה והשוחט לוקה</w:t>
      </w:r>
      <w:r w:rsidRPr="00067504">
        <w:rPr>
          <w:rStyle w:val="a5"/>
          <w:rFonts w:ascii="David" w:hAnsi="David" w:cs="David"/>
          <w:sz w:val="24"/>
          <w:szCs w:val="24"/>
          <w:rtl/>
        </w:rPr>
        <w:footnoteReference w:id="11"/>
      </w:r>
      <w:r w:rsidRPr="00067504">
        <w:rPr>
          <w:rFonts w:ascii="David" w:hAnsi="David" w:cs="David" w:hint="cs"/>
          <w:sz w:val="24"/>
          <w:szCs w:val="24"/>
          <w:rtl/>
        </w:rPr>
        <w:t>".</w:t>
      </w:r>
    </w:p>
    <w:p w14:paraId="28CE28AE" w14:textId="77777777" w:rsidR="005D4F37" w:rsidRPr="00067504" w:rsidRDefault="005D4F37" w:rsidP="005D4F37">
      <w:pPr>
        <w:spacing w:after="0"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 xml:space="preserve">ב. שיטת </w:t>
      </w:r>
      <w:proofErr w:type="spellStart"/>
      <w:r w:rsidRPr="00067504">
        <w:rPr>
          <w:rFonts w:asciiTheme="majorBidi" w:hAnsiTheme="majorBidi" w:cstheme="majorBidi"/>
          <w:b/>
          <w:bCs/>
          <w:sz w:val="24"/>
          <w:szCs w:val="24"/>
          <w:rtl/>
        </w:rPr>
        <w:t>בה"ג</w:t>
      </w:r>
      <w:proofErr w:type="spellEnd"/>
      <w:r w:rsidRPr="00067504">
        <w:rPr>
          <w:rFonts w:asciiTheme="majorBidi" w:hAnsiTheme="majorBidi" w:cstheme="majorBidi" w:hint="cs"/>
          <w:b/>
          <w:bCs/>
          <w:sz w:val="24"/>
          <w:szCs w:val="24"/>
          <w:rtl/>
        </w:rPr>
        <w:t xml:space="preserve"> לאסור באכילה</w:t>
      </w:r>
    </w:p>
    <w:p w14:paraId="07FB5609"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בעל הלכות גדולות סבור שקיים איסור זמני באכילת הבשר. </w:t>
      </w:r>
    </w:p>
    <w:p w14:paraId="50203AEF" w14:textId="77777777" w:rsidR="005D4F37" w:rsidRPr="00067504" w:rsidRDefault="005D4F37" w:rsidP="005D4F37">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עבר ושחט אימא </w:t>
      </w:r>
      <w:proofErr w:type="spellStart"/>
      <w:r w:rsidRPr="00067504">
        <w:rPr>
          <w:rFonts w:ascii="David" w:hAnsi="David" w:cs="David"/>
          <w:sz w:val="24"/>
          <w:szCs w:val="24"/>
          <w:rtl/>
        </w:rPr>
        <w:t>וברתא</w:t>
      </w:r>
      <w:proofErr w:type="spellEnd"/>
      <w:r w:rsidRPr="00067504">
        <w:rPr>
          <w:rFonts w:ascii="David" w:hAnsi="David" w:cs="David"/>
          <w:sz w:val="24"/>
          <w:szCs w:val="24"/>
          <w:rtl/>
        </w:rPr>
        <w:t xml:space="preserve"> בחד יומה, אימא שרי </w:t>
      </w:r>
      <w:proofErr w:type="spellStart"/>
      <w:r w:rsidRPr="00067504">
        <w:rPr>
          <w:rFonts w:ascii="David" w:hAnsi="David" w:cs="David"/>
          <w:sz w:val="24"/>
          <w:szCs w:val="24"/>
          <w:rtl/>
        </w:rPr>
        <w:t>למיכלה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בשעתא</w:t>
      </w:r>
      <w:proofErr w:type="spellEnd"/>
      <w:r w:rsidRPr="00067504">
        <w:rPr>
          <w:rFonts w:ascii="David" w:hAnsi="David" w:cs="David"/>
          <w:sz w:val="24"/>
          <w:szCs w:val="24"/>
          <w:rtl/>
        </w:rPr>
        <w:t xml:space="preserve">, ברתה משהי לה עד </w:t>
      </w:r>
      <w:proofErr w:type="spellStart"/>
      <w:r w:rsidRPr="00067504">
        <w:rPr>
          <w:rFonts w:ascii="David" w:hAnsi="David" w:cs="David"/>
          <w:sz w:val="24"/>
          <w:szCs w:val="24"/>
          <w:rtl/>
        </w:rPr>
        <w:t>לאורתא</w:t>
      </w:r>
      <w:proofErr w:type="spellEnd"/>
      <w:r w:rsidRPr="00067504">
        <w:rPr>
          <w:rFonts w:ascii="David" w:hAnsi="David" w:cs="David"/>
          <w:sz w:val="24"/>
          <w:szCs w:val="24"/>
          <w:rtl/>
        </w:rPr>
        <w:t xml:space="preserve"> ואכיל לה</w:t>
      </w:r>
      <w:r>
        <w:rPr>
          <w:rFonts w:ascii="David" w:hAnsi="David" w:cs="David" w:hint="cs"/>
          <w:sz w:val="24"/>
          <w:szCs w:val="24"/>
          <w:rtl/>
        </w:rPr>
        <w:t xml:space="preserve">. </w:t>
      </w:r>
      <w:r w:rsidRPr="00067504">
        <w:rPr>
          <w:rFonts w:ascii="David" w:hAnsi="David" w:cs="David"/>
          <w:sz w:val="24"/>
          <w:szCs w:val="24"/>
          <w:rtl/>
        </w:rPr>
        <w:t xml:space="preserve">אי במזיד שחטה </w:t>
      </w:r>
      <w:proofErr w:type="spellStart"/>
      <w:r w:rsidRPr="00067504">
        <w:rPr>
          <w:rFonts w:ascii="David" w:hAnsi="David" w:cs="David"/>
          <w:sz w:val="24"/>
          <w:szCs w:val="24"/>
          <w:rtl/>
        </w:rPr>
        <w:t>לברתה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מלקינן</w:t>
      </w:r>
      <w:proofErr w:type="spellEnd"/>
      <w:r w:rsidRPr="00067504">
        <w:rPr>
          <w:rFonts w:ascii="David" w:hAnsi="David" w:cs="David"/>
          <w:sz w:val="24"/>
          <w:szCs w:val="24"/>
          <w:rtl/>
        </w:rPr>
        <w:t xml:space="preserve"> ליה</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ולאורתא</w:t>
      </w:r>
      <w:proofErr w:type="spellEnd"/>
      <w:r w:rsidRPr="00067504">
        <w:rPr>
          <w:rFonts w:ascii="David" w:hAnsi="David" w:cs="David"/>
          <w:sz w:val="24"/>
          <w:szCs w:val="24"/>
          <w:rtl/>
        </w:rPr>
        <w:t xml:space="preserve"> שרי באכילה</w:t>
      </w:r>
      <w:r w:rsidRPr="00067504">
        <w:rPr>
          <w:rStyle w:val="a5"/>
          <w:rFonts w:asciiTheme="majorBidi" w:hAnsiTheme="majorBidi" w:cs="Times New Roman"/>
          <w:sz w:val="24"/>
          <w:szCs w:val="24"/>
          <w:rtl/>
        </w:rPr>
        <w:footnoteReference w:id="12"/>
      </w:r>
      <w:r w:rsidRPr="00067504">
        <w:rPr>
          <w:rFonts w:asciiTheme="majorBidi" w:hAnsiTheme="majorBidi" w:cs="Times New Roman"/>
          <w:sz w:val="24"/>
          <w:szCs w:val="24"/>
          <w:rtl/>
        </w:rPr>
        <w:t xml:space="preserve">. </w:t>
      </w:r>
    </w:p>
    <w:p w14:paraId="7F81CE58"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דעתו מובאת בין השאר על ידי הרמב"ן:</w:t>
      </w:r>
    </w:p>
    <w:p w14:paraId="31D5F8E9" w14:textId="77777777" w:rsidR="005D4F37" w:rsidRPr="00067504" w:rsidRDefault="005D4F37" w:rsidP="005D4F37">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הא </w:t>
      </w:r>
      <w:proofErr w:type="spellStart"/>
      <w:r w:rsidRPr="00067504">
        <w:rPr>
          <w:rFonts w:ascii="David" w:hAnsi="David" w:cs="David"/>
          <w:sz w:val="24"/>
          <w:szCs w:val="24"/>
          <w:rtl/>
        </w:rPr>
        <w:t>דתנן</w:t>
      </w:r>
      <w:proofErr w:type="spellEnd"/>
      <w:r w:rsidRPr="00067504">
        <w:rPr>
          <w:rFonts w:ascii="David" w:hAnsi="David" w:cs="David"/>
          <w:sz w:val="24"/>
          <w:szCs w:val="24"/>
          <w:rtl/>
        </w:rPr>
        <w:t xml:space="preserve"> ושניהם כשרים ושניהם סופגים. מצאתי בהלכות גדולות ואי עבר ושחט אמה ובתה בחד יומא קמא שרי </w:t>
      </w:r>
      <w:proofErr w:type="spellStart"/>
      <w:r w:rsidRPr="00067504">
        <w:rPr>
          <w:rFonts w:ascii="David" w:hAnsi="David" w:cs="David"/>
          <w:sz w:val="24"/>
          <w:szCs w:val="24"/>
          <w:rtl/>
        </w:rPr>
        <w:t>למיכליה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בשעתיה</w:t>
      </w:r>
      <w:proofErr w:type="spellEnd"/>
      <w:r w:rsidRPr="00067504">
        <w:rPr>
          <w:rFonts w:ascii="David" w:hAnsi="David" w:cs="David"/>
          <w:sz w:val="24"/>
          <w:szCs w:val="24"/>
          <w:rtl/>
        </w:rPr>
        <w:t xml:space="preserve">, </w:t>
      </w:r>
      <w:proofErr w:type="spellStart"/>
      <w:r w:rsidRPr="00067504">
        <w:rPr>
          <w:rFonts w:ascii="David" w:hAnsi="David" w:cs="David"/>
          <w:b/>
          <w:bCs/>
          <w:sz w:val="24"/>
          <w:szCs w:val="24"/>
          <w:rtl/>
        </w:rPr>
        <w:t>בתרא</w:t>
      </w:r>
      <w:proofErr w:type="spellEnd"/>
      <w:r w:rsidRPr="00067504">
        <w:rPr>
          <w:rFonts w:ascii="David" w:hAnsi="David" w:cs="David"/>
          <w:b/>
          <w:bCs/>
          <w:sz w:val="24"/>
          <w:szCs w:val="24"/>
          <w:rtl/>
        </w:rPr>
        <w:t xml:space="preserve"> משהי ליה עד </w:t>
      </w:r>
      <w:proofErr w:type="spellStart"/>
      <w:r w:rsidRPr="00067504">
        <w:rPr>
          <w:rFonts w:ascii="David" w:hAnsi="David" w:cs="David"/>
          <w:b/>
          <w:bCs/>
          <w:sz w:val="24"/>
          <w:szCs w:val="24"/>
          <w:rtl/>
        </w:rPr>
        <w:t>לאורתא</w:t>
      </w:r>
      <w:proofErr w:type="spellEnd"/>
      <w:r w:rsidRPr="00067504">
        <w:rPr>
          <w:rFonts w:ascii="David" w:hAnsi="David" w:cs="David"/>
          <w:b/>
          <w:bCs/>
          <w:sz w:val="24"/>
          <w:szCs w:val="24"/>
          <w:rtl/>
        </w:rPr>
        <w:t xml:space="preserve"> </w:t>
      </w:r>
      <w:r w:rsidRPr="00067504">
        <w:rPr>
          <w:rFonts w:ascii="David" w:hAnsi="David" w:cs="David"/>
          <w:sz w:val="24"/>
          <w:szCs w:val="24"/>
          <w:rtl/>
        </w:rPr>
        <w:t>ואכיל ליה</w:t>
      </w:r>
      <w:r>
        <w:rPr>
          <w:rFonts w:ascii="David" w:hAnsi="David" w:cs="David" w:hint="cs"/>
          <w:sz w:val="24"/>
          <w:szCs w:val="24"/>
          <w:rtl/>
        </w:rPr>
        <w:t>.</w:t>
      </w:r>
      <w:r w:rsidRPr="00067504">
        <w:rPr>
          <w:rFonts w:ascii="David" w:hAnsi="David" w:cs="David"/>
          <w:sz w:val="24"/>
          <w:szCs w:val="24"/>
          <w:rtl/>
        </w:rPr>
        <w:t xml:space="preserve"> ואי במזיד שחטיה </w:t>
      </w:r>
      <w:proofErr w:type="spellStart"/>
      <w:r w:rsidRPr="00067504">
        <w:rPr>
          <w:rFonts w:ascii="David" w:hAnsi="David" w:cs="David"/>
          <w:sz w:val="24"/>
          <w:szCs w:val="24"/>
          <w:rtl/>
        </w:rPr>
        <w:t>לבתרא</w:t>
      </w:r>
      <w:proofErr w:type="spellEnd"/>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מלקינן</w:t>
      </w:r>
      <w:proofErr w:type="spellEnd"/>
      <w:r w:rsidRPr="00067504">
        <w:rPr>
          <w:rFonts w:ascii="David" w:hAnsi="David" w:cs="David"/>
          <w:sz w:val="24"/>
          <w:szCs w:val="24"/>
          <w:rtl/>
        </w:rPr>
        <w:t xml:space="preserve"> ליה </w:t>
      </w:r>
      <w:proofErr w:type="spellStart"/>
      <w:r w:rsidRPr="00067504">
        <w:rPr>
          <w:rFonts w:ascii="David" w:hAnsi="David" w:cs="David"/>
          <w:sz w:val="24"/>
          <w:szCs w:val="24"/>
          <w:rtl/>
        </w:rPr>
        <w:t>ולאורתא</w:t>
      </w:r>
      <w:proofErr w:type="spellEnd"/>
      <w:r w:rsidRPr="00067504">
        <w:rPr>
          <w:rFonts w:ascii="David" w:hAnsi="David" w:cs="David"/>
          <w:sz w:val="24"/>
          <w:szCs w:val="24"/>
          <w:rtl/>
        </w:rPr>
        <w:t xml:space="preserve"> שרי באכילה, ולא מצאתי זה בתלמוד, וקנס הוא שלמד ממעשה שבת, ואין תלמודו דומה יפה</w:t>
      </w:r>
      <w:r w:rsidRPr="00067504">
        <w:rPr>
          <w:rStyle w:val="a5"/>
          <w:rFonts w:ascii="David" w:hAnsi="David" w:cs="David"/>
          <w:sz w:val="24"/>
          <w:szCs w:val="24"/>
          <w:rtl/>
        </w:rPr>
        <w:footnoteReference w:id="13"/>
      </w:r>
      <w:r w:rsidRPr="00067504">
        <w:rPr>
          <w:rFonts w:ascii="David" w:hAnsi="David" w:cs="David"/>
          <w:sz w:val="24"/>
          <w:szCs w:val="24"/>
          <w:rtl/>
        </w:rPr>
        <w:t>.</w:t>
      </w:r>
      <w:r w:rsidRPr="00067504">
        <w:rPr>
          <w:rFonts w:ascii="David" w:hAnsi="David" w:cs="David" w:hint="cs"/>
          <w:sz w:val="24"/>
          <w:szCs w:val="24"/>
          <w:rtl/>
        </w:rPr>
        <w:t xml:space="preserve"> </w:t>
      </w:r>
    </w:p>
    <w:p w14:paraId="78BACEB2" w14:textId="77777777" w:rsidR="005D4F37" w:rsidRPr="00067504" w:rsidRDefault="005D4F37" w:rsidP="005D4F37">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t>הרא"ש</w:t>
      </w:r>
      <w:proofErr w:type="spellEnd"/>
      <w:r w:rsidRPr="00067504">
        <w:rPr>
          <w:rStyle w:val="a5"/>
          <w:rFonts w:asciiTheme="majorBidi" w:hAnsiTheme="majorBidi" w:cstheme="majorBidi"/>
          <w:sz w:val="24"/>
          <w:szCs w:val="24"/>
          <w:rtl/>
        </w:rPr>
        <w:footnoteReference w:id="14"/>
      </w:r>
      <w:r w:rsidRPr="00067504">
        <w:rPr>
          <w:rFonts w:asciiTheme="majorBidi" w:hAnsiTheme="majorBidi" w:cstheme="majorBidi" w:hint="cs"/>
          <w:sz w:val="24"/>
          <w:szCs w:val="24"/>
          <w:rtl/>
        </w:rPr>
        <w:t xml:space="preserve"> מציע מקור ל</w:t>
      </w:r>
      <w:r>
        <w:rPr>
          <w:rFonts w:asciiTheme="majorBidi" w:hAnsiTheme="majorBidi" w:cstheme="majorBidi" w:hint="cs"/>
          <w:sz w:val="24"/>
          <w:szCs w:val="24"/>
          <w:rtl/>
        </w:rPr>
        <w:t>אסור</w:t>
      </w:r>
      <w:r w:rsidRPr="00067504">
        <w:rPr>
          <w:rFonts w:asciiTheme="majorBidi" w:hAnsiTheme="majorBidi" w:cstheme="majorBidi" w:hint="cs"/>
          <w:sz w:val="24"/>
          <w:szCs w:val="24"/>
          <w:rtl/>
        </w:rPr>
        <w:t xml:space="preserve"> מהמשך הגמרא: </w:t>
      </w:r>
    </w:p>
    <w:p w14:paraId="31986A84" w14:textId="77777777" w:rsidR="005D4F37" w:rsidRPr="00067504" w:rsidRDefault="005D4F37" w:rsidP="005D4F37">
      <w:pPr>
        <w:spacing w:after="0" w:line="360" w:lineRule="auto"/>
        <w:ind w:left="720"/>
        <w:rPr>
          <w:rFonts w:ascii="David" w:hAnsi="David" w:cs="David"/>
          <w:sz w:val="24"/>
          <w:szCs w:val="24"/>
          <w:rtl/>
        </w:rPr>
      </w:pPr>
      <w:r w:rsidRPr="00067504">
        <w:rPr>
          <w:rFonts w:ascii="David" w:hAnsi="David" w:cs="David"/>
          <w:sz w:val="24"/>
          <w:szCs w:val="24"/>
          <w:rtl/>
        </w:rPr>
        <w:t xml:space="preserve">שנים שלקחו פרה ובנה, איזה שלקח ראשון - </w:t>
      </w:r>
      <w:proofErr w:type="spellStart"/>
      <w:r w:rsidRPr="00067504">
        <w:rPr>
          <w:rFonts w:ascii="David" w:hAnsi="David" w:cs="David"/>
          <w:sz w:val="24"/>
          <w:szCs w:val="24"/>
          <w:rtl/>
        </w:rPr>
        <w:t>ישחוט</w:t>
      </w:r>
      <w:proofErr w:type="spellEnd"/>
      <w:r w:rsidRPr="00067504">
        <w:rPr>
          <w:rFonts w:ascii="David" w:hAnsi="David" w:cs="David"/>
          <w:sz w:val="24"/>
          <w:szCs w:val="24"/>
          <w:rtl/>
        </w:rPr>
        <w:t xml:space="preserve"> ראשון, ואם קדם השני - זכה. </w:t>
      </w:r>
    </w:p>
    <w:p w14:paraId="3F3B1A80" w14:textId="77777777" w:rsidR="005D4F37" w:rsidRPr="00067504" w:rsidRDefault="005D4F37" w:rsidP="005D4F37">
      <w:pPr>
        <w:spacing w:after="0" w:line="360" w:lineRule="auto"/>
        <w:ind w:left="720"/>
        <w:rPr>
          <w:rFonts w:asciiTheme="majorBidi" w:hAnsiTheme="majorBidi" w:cstheme="majorBidi"/>
          <w:sz w:val="24"/>
          <w:szCs w:val="24"/>
          <w:rtl/>
        </w:rPr>
      </w:pPr>
      <w:proofErr w:type="spellStart"/>
      <w:r w:rsidRPr="00067504">
        <w:rPr>
          <w:rFonts w:ascii="David" w:hAnsi="David" w:cs="David"/>
          <w:sz w:val="24"/>
          <w:szCs w:val="24"/>
          <w:rtl/>
        </w:rPr>
        <w:t>גמ</w:t>
      </w:r>
      <w:proofErr w:type="spellEnd"/>
      <w:r w:rsidRPr="00067504">
        <w:rPr>
          <w:rFonts w:ascii="David" w:hAnsi="David" w:cs="David"/>
          <w:sz w:val="24"/>
          <w:szCs w:val="24"/>
          <w:rtl/>
        </w:rPr>
        <w:t xml:space="preserve">'. אמר רב יוסף: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דינא</w:t>
      </w:r>
      <w:proofErr w:type="spellEnd"/>
      <w:r w:rsidRPr="00067504">
        <w:rPr>
          <w:rFonts w:ascii="David" w:hAnsi="David" w:cs="David"/>
          <w:sz w:val="24"/>
          <w:szCs w:val="24"/>
          <w:rtl/>
        </w:rPr>
        <w:t xml:space="preserve"> תנן. תנא: אם קדם השני הרי זה זריז ונשכר; זריז - דלא עבד </w:t>
      </w:r>
      <w:proofErr w:type="spellStart"/>
      <w:r w:rsidRPr="00067504">
        <w:rPr>
          <w:rFonts w:ascii="David" w:hAnsi="David" w:cs="David"/>
          <w:sz w:val="24"/>
          <w:szCs w:val="24"/>
          <w:rtl/>
        </w:rPr>
        <w:t>איסורא</w:t>
      </w:r>
      <w:proofErr w:type="spellEnd"/>
      <w:r w:rsidRPr="00067504">
        <w:rPr>
          <w:rFonts w:ascii="David" w:hAnsi="David" w:cs="David"/>
          <w:sz w:val="24"/>
          <w:szCs w:val="24"/>
          <w:rtl/>
        </w:rPr>
        <w:t xml:space="preserve">, ונשכר - </w:t>
      </w:r>
      <w:proofErr w:type="spellStart"/>
      <w:r w:rsidRPr="00067504">
        <w:rPr>
          <w:rFonts w:ascii="David" w:hAnsi="David" w:cs="David"/>
          <w:sz w:val="24"/>
          <w:szCs w:val="24"/>
          <w:rtl/>
        </w:rPr>
        <w:t>דקאכיל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בשרא</w:t>
      </w:r>
      <w:proofErr w:type="spellEnd"/>
      <w:r w:rsidRPr="00067504">
        <w:rPr>
          <w:rStyle w:val="a5"/>
          <w:rFonts w:ascii="David" w:hAnsi="David" w:cs="David"/>
          <w:sz w:val="24"/>
          <w:szCs w:val="24"/>
          <w:rtl/>
        </w:rPr>
        <w:footnoteReference w:id="15"/>
      </w:r>
      <w:r w:rsidRPr="00067504">
        <w:rPr>
          <w:rFonts w:ascii="David" w:hAnsi="David" w:cs="David"/>
          <w:sz w:val="24"/>
          <w:szCs w:val="24"/>
          <w:rtl/>
        </w:rPr>
        <w:t>.</w:t>
      </w:r>
      <w:r w:rsidRPr="00067504">
        <w:rPr>
          <w:rFonts w:ascii="David" w:hAnsi="David" w:cs="David" w:hint="cs"/>
          <w:sz w:val="24"/>
          <w:szCs w:val="24"/>
          <w:rtl/>
        </w:rPr>
        <w:t xml:space="preserve"> </w:t>
      </w:r>
    </w:p>
    <w:p w14:paraId="59748474"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הרי שאם לא הקדים לשחוט, נאסר באכילת הבשר</w:t>
      </w:r>
      <w:r w:rsidRPr="00067504">
        <w:rPr>
          <w:rStyle w:val="a5"/>
          <w:rFonts w:asciiTheme="majorBidi" w:hAnsiTheme="majorBidi" w:cstheme="majorBidi"/>
          <w:sz w:val="24"/>
          <w:szCs w:val="24"/>
          <w:rtl/>
        </w:rPr>
        <w:footnoteReference w:id="16"/>
      </w:r>
      <w:r w:rsidRPr="00067504">
        <w:rPr>
          <w:rFonts w:asciiTheme="majorBidi" w:hAnsiTheme="majorBidi" w:cstheme="majorBidi" w:hint="cs"/>
          <w:sz w:val="24"/>
          <w:szCs w:val="24"/>
          <w:rtl/>
        </w:rPr>
        <w:t xml:space="preserve">. </w:t>
      </w:r>
    </w:p>
    <w:p w14:paraId="660A3BD1" w14:textId="77777777" w:rsidR="005D4F37" w:rsidRPr="00067504" w:rsidRDefault="005D4F37" w:rsidP="005D4F37">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lastRenderedPageBreak/>
        <w:t>הב"ח</w:t>
      </w:r>
      <w:proofErr w:type="spellEnd"/>
      <w:r w:rsidRPr="00067504">
        <w:rPr>
          <w:rFonts w:asciiTheme="majorBidi" w:hAnsiTheme="majorBidi" w:cstheme="majorBidi" w:hint="cs"/>
          <w:sz w:val="24"/>
          <w:szCs w:val="24"/>
          <w:rtl/>
        </w:rPr>
        <w:t xml:space="preserve"> מסביר שלהבנת </w:t>
      </w:r>
      <w:proofErr w:type="spellStart"/>
      <w:r w:rsidRPr="00067504">
        <w:rPr>
          <w:rFonts w:asciiTheme="majorBidi" w:hAnsiTheme="majorBidi" w:cstheme="majorBidi" w:hint="cs"/>
          <w:sz w:val="24"/>
          <w:szCs w:val="24"/>
          <w:rtl/>
        </w:rPr>
        <w:t>בה"ג</w:t>
      </w:r>
      <w:proofErr w:type="spellEnd"/>
      <w:r w:rsidRPr="00067504">
        <w:rPr>
          <w:rFonts w:asciiTheme="majorBidi" w:hAnsiTheme="majorBidi" w:cstheme="majorBidi" w:hint="cs"/>
          <w:sz w:val="24"/>
          <w:szCs w:val="24"/>
          <w:rtl/>
        </w:rPr>
        <w:t xml:space="preserve">, הגמרא ששללה איסור אותו ואת בנו בחולין באכילה, שללה רק איסור תמידי כתועבה, אולם </w:t>
      </w:r>
      <w:r w:rsidRPr="00067504">
        <w:rPr>
          <w:rFonts w:ascii="David" w:hAnsi="David" w:cs="David"/>
          <w:sz w:val="24"/>
          <w:szCs w:val="24"/>
          <w:rtl/>
        </w:rPr>
        <w:t>"בו ביום ודאי אסור</w:t>
      </w:r>
      <w:r w:rsidRPr="00067504">
        <w:rPr>
          <w:rStyle w:val="a5"/>
          <w:rFonts w:ascii="David" w:hAnsi="David" w:cs="David"/>
          <w:sz w:val="24"/>
          <w:szCs w:val="24"/>
          <w:rtl/>
        </w:rPr>
        <w:footnoteReference w:id="17"/>
      </w:r>
      <w:r w:rsidRPr="00067504">
        <w:rPr>
          <w:rFonts w:ascii="David" w:hAnsi="David" w:cs="David"/>
          <w:sz w:val="24"/>
          <w:szCs w:val="24"/>
          <w:rtl/>
        </w:rPr>
        <w:t>"</w:t>
      </w:r>
      <w:r w:rsidRPr="00067504">
        <w:rPr>
          <w:rFonts w:asciiTheme="majorBidi" w:hAnsiTheme="majorBidi" w:cstheme="majorBidi" w:hint="cs"/>
          <w:sz w:val="24"/>
          <w:szCs w:val="24"/>
          <w:rtl/>
        </w:rPr>
        <w:t>. לפי זה, האיסור הוא דאורייתא</w:t>
      </w:r>
      <w:r w:rsidRPr="00067504">
        <w:rPr>
          <w:rStyle w:val="a5"/>
          <w:rFonts w:asciiTheme="majorBidi" w:hAnsiTheme="majorBidi" w:cstheme="majorBidi"/>
          <w:sz w:val="24"/>
          <w:szCs w:val="24"/>
          <w:rtl/>
        </w:rPr>
        <w:footnoteReference w:id="18"/>
      </w:r>
      <w:r w:rsidRPr="00067504">
        <w:rPr>
          <w:rFonts w:asciiTheme="majorBidi" w:hAnsiTheme="majorBidi" w:cstheme="majorBidi" w:hint="cs"/>
          <w:sz w:val="24"/>
          <w:szCs w:val="24"/>
          <w:rtl/>
        </w:rPr>
        <w:t>, ולפיכך חל גם על אחרים. כך כותב גם ב'תבואות שור</w:t>
      </w:r>
      <w:r w:rsidRPr="00067504">
        <w:rPr>
          <w:rStyle w:val="a5"/>
          <w:rFonts w:asciiTheme="majorBidi" w:hAnsiTheme="majorBidi" w:cstheme="majorBidi"/>
          <w:sz w:val="24"/>
          <w:szCs w:val="24"/>
          <w:rtl/>
        </w:rPr>
        <w:footnoteReference w:id="19"/>
      </w:r>
      <w:r w:rsidRPr="00067504">
        <w:rPr>
          <w:rFonts w:asciiTheme="majorBidi" w:hAnsiTheme="majorBidi" w:cstheme="majorBidi" w:hint="cs"/>
          <w:sz w:val="24"/>
          <w:szCs w:val="24"/>
          <w:rtl/>
        </w:rPr>
        <w:t>', אולם דעת הפרישה</w:t>
      </w:r>
      <w:r w:rsidRPr="00067504">
        <w:rPr>
          <w:rStyle w:val="a5"/>
          <w:rFonts w:asciiTheme="majorBidi" w:hAnsiTheme="majorBidi" w:cstheme="majorBidi"/>
          <w:sz w:val="24"/>
          <w:szCs w:val="24"/>
          <w:rtl/>
        </w:rPr>
        <w:footnoteReference w:id="20"/>
      </w:r>
      <w:r w:rsidRPr="00067504">
        <w:rPr>
          <w:rFonts w:asciiTheme="majorBidi" w:hAnsiTheme="majorBidi" w:cstheme="majorBidi" w:hint="cs"/>
          <w:sz w:val="24"/>
          <w:szCs w:val="24"/>
          <w:rtl/>
        </w:rPr>
        <w:t xml:space="preserve"> היא שגם </w:t>
      </w:r>
      <w:proofErr w:type="spellStart"/>
      <w:r w:rsidRPr="00067504">
        <w:rPr>
          <w:rFonts w:asciiTheme="majorBidi" w:hAnsiTheme="majorBidi" w:cstheme="majorBidi" w:hint="cs"/>
          <w:sz w:val="24"/>
          <w:szCs w:val="24"/>
          <w:rtl/>
        </w:rPr>
        <w:t>בה"ג</w:t>
      </w:r>
      <w:proofErr w:type="spellEnd"/>
      <w:r w:rsidRPr="00067504">
        <w:rPr>
          <w:rFonts w:asciiTheme="majorBidi" w:hAnsiTheme="majorBidi" w:cstheme="majorBidi" w:hint="cs"/>
          <w:sz w:val="24"/>
          <w:szCs w:val="24"/>
          <w:rtl/>
        </w:rPr>
        <w:t xml:space="preserve"> צריך לתת מקום לגמרא שאסרה רק לגבוה, ואם כן אין איסור אמיתי בבשר, אלא רק קנס לשוחט עצמו, שלא יפיק הנאה מהקדמת אותו יום. כן מוכיח גם </w:t>
      </w:r>
      <w:proofErr w:type="spellStart"/>
      <w:r w:rsidRPr="00067504">
        <w:rPr>
          <w:rFonts w:asciiTheme="majorBidi" w:hAnsiTheme="majorBidi" w:cstheme="majorBidi" w:hint="cs"/>
          <w:sz w:val="24"/>
          <w:szCs w:val="24"/>
          <w:rtl/>
        </w:rPr>
        <w:t>הש"ך</w:t>
      </w:r>
      <w:proofErr w:type="spellEnd"/>
      <w:r w:rsidRPr="00067504">
        <w:rPr>
          <w:rStyle w:val="a5"/>
          <w:rFonts w:asciiTheme="majorBidi" w:hAnsiTheme="majorBidi" w:cstheme="majorBidi"/>
          <w:sz w:val="24"/>
          <w:szCs w:val="24"/>
          <w:rtl/>
        </w:rPr>
        <w:footnoteReference w:id="21"/>
      </w:r>
      <w:r w:rsidRPr="00067504">
        <w:rPr>
          <w:rFonts w:asciiTheme="majorBidi" w:hAnsiTheme="majorBidi" w:cstheme="majorBidi" w:hint="cs"/>
          <w:sz w:val="24"/>
          <w:szCs w:val="24"/>
          <w:rtl/>
        </w:rPr>
        <w:t xml:space="preserve"> מן הראיה שהביא </w:t>
      </w:r>
      <w:proofErr w:type="spellStart"/>
      <w:r w:rsidRPr="00067504">
        <w:rPr>
          <w:rFonts w:asciiTheme="majorBidi" w:hAnsiTheme="majorBidi" w:cstheme="majorBidi" w:hint="cs"/>
          <w:sz w:val="24"/>
          <w:szCs w:val="24"/>
          <w:rtl/>
        </w:rPr>
        <w:t>הרא"ש</w:t>
      </w:r>
      <w:proofErr w:type="spellEnd"/>
      <w:r w:rsidRPr="00067504">
        <w:rPr>
          <w:rFonts w:asciiTheme="majorBidi" w:hAnsiTheme="majorBidi" w:cstheme="majorBidi" w:hint="cs"/>
          <w:sz w:val="24"/>
          <w:szCs w:val="24"/>
          <w:rtl/>
        </w:rPr>
        <w:t>, שמדובר על איסור אישי בלבד</w:t>
      </w:r>
      <w:r w:rsidRPr="00067504">
        <w:rPr>
          <w:rStyle w:val="a5"/>
          <w:rFonts w:asciiTheme="majorBidi" w:hAnsiTheme="majorBidi" w:cstheme="majorBidi"/>
          <w:sz w:val="24"/>
          <w:szCs w:val="24"/>
          <w:rtl/>
        </w:rPr>
        <w:footnoteReference w:id="22"/>
      </w:r>
      <w:r w:rsidRPr="00067504">
        <w:rPr>
          <w:rFonts w:asciiTheme="majorBidi" w:hAnsiTheme="majorBidi" w:cstheme="majorBidi" w:hint="cs"/>
          <w:sz w:val="24"/>
          <w:szCs w:val="24"/>
          <w:rtl/>
        </w:rPr>
        <w:t>. ערוך השולחן טען ש</w:t>
      </w:r>
      <w:r w:rsidRPr="00067504">
        <w:rPr>
          <w:rFonts w:ascii="David" w:hAnsi="David" w:cs="David"/>
          <w:sz w:val="24"/>
          <w:szCs w:val="24"/>
          <w:rtl/>
        </w:rPr>
        <w:t>"אין נראה להחמיר כל כך באיסור שאין לו שורש בש"ס"</w:t>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ו</w:t>
      </w:r>
      <w:r w:rsidRPr="00067504">
        <w:rPr>
          <w:rFonts w:asciiTheme="majorBidi" w:hAnsiTheme="majorBidi" w:cstheme="majorBidi" w:hint="cs"/>
          <w:sz w:val="24"/>
          <w:szCs w:val="24"/>
          <w:rtl/>
        </w:rPr>
        <w:t xml:space="preserve">הלך בדרך אמצעית: </w:t>
      </w:r>
    </w:p>
    <w:p w14:paraId="31A5AD6C"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David" w:hAnsi="David" w:cs="David"/>
          <w:sz w:val="24"/>
          <w:szCs w:val="24"/>
          <w:rtl/>
        </w:rPr>
        <w:t xml:space="preserve">"ואפשר </w:t>
      </w:r>
      <w:proofErr w:type="spellStart"/>
      <w:r w:rsidRPr="00067504">
        <w:rPr>
          <w:rFonts w:ascii="David" w:hAnsi="David" w:cs="David"/>
          <w:sz w:val="24"/>
          <w:szCs w:val="24"/>
          <w:rtl/>
        </w:rPr>
        <w:t>דלבני</w:t>
      </w:r>
      <w:proofErr w:type="spellEnd"/>
      <w:r w:rsidRPr="00067504">
        <w:rPr>
          <w:rFonts w:ascii="David" w:hAnsi="David" w:cs="David"/>
          <w:sz w:val="24"/>
          <w:szCs w:val="24"/>
          <w:rtl/>
        </w:rPr>
        <w:t xml:space="preserve"> ביתו אסור כמו לעצמו</w:t>
      </w:r>
      <w:r w:rsidRPr="00067504">
        <w:rPr>
          <w:rFonts w:ascii="David" w:hAnsi="David" w:cs="David" w:hint="cs"/>
          <w:sz w:val="24"/>
          <w:szCs w:val="24"/>
          <w:rtl/>
        </w:rPr>
        <w:t>,</w:t>
      </w:r>
      <w:r w:rsidRPr="00067504">
        <w:rPr>
          <w:rFonts w:ascii="David" w:hAnsi="David" w:cs="David"/>
          <w:sz w:val="24"/>
          <w:szCs w:val="24"/>
          <w:rtl/>
        </w:rPr>
        <w:t xml:space="preserve"> כי היכי דלא </w:t>
      </w:r>
      <w:proofErr w:type="spellStart"/>
      <w:r w:rsidRPr="00067504">
        <w:rPr>
          <w:rFonts w:ascii="David" w:hAnsi="David" w:cs="David"/>
          <w:sz w:val="24"/>
          <w:szCs w:val="24"/>
          <w:rtl/>
        </w:rPr>
        <w:t>ליהני</w:t>
      </w:r>
      <w:proofErr w:type="spellEnd"/>
      <w:r w:rsidRPr="00067504">
        <w:rPr>
          <w:rFonts w:ascii="David" w:hAnsi="David" w:cs="David"/>
          <w:sz w:val="24"/>
          <w:szCs w:val="24"/>
          <w:rtl/>
        </w:rPr>
        <w:t xml:space="preserve"> מעשה איסור שעשה</w:t>
      </w:r>
      <w:r w:rsidRPr="00067504">
        <w:rPr>
          <w:rStyle w:val="a5"/>
          <w:rFonts w:ascii="David" w:hAnsi="David" w:cs="David"/>
          <w:sz w:val="24"/>
          <w:szCs w:val="24"/>
          <w:rtl/>
        </w:rPr>
        <w:footnoteReference w:id="23"/>
      </w:r>
      <w:r w:rsidRPr="00067504">
        <w:rPr>
          <w:rFonts w:ascii="David" w:hAnsi="David" w:cs="David"/>
          <w:sz w:val="24"/>
          <w:szCs w:val="24"/>
          <w:rtl/>
        </w:rPr>
        <w:t>".</w:t>
      </w:r>
      <w:r w:rsidRPr="00067504">
        <w:rPr>
          <w:rFonts w:asciiTheme="majorBidi" w:hAnsiTheme="majorBidi" w:cs="Times New Roman"/>
          <w:sz w:val="24"/>
          <w:szCs w:val="24"/>
          <w:rtl/>
        </w:rPr>
        <w:t xml:space="preserve"> </w:t>
      </w:r>
      <w:proofErr w:type="spellStart"/>
      <w:r w:rsidRPr="00067504">
        <w:rPr>
          <w:rFonts w:asciiTheme="majorBidi" w:hAnsiTheme="majorBidi" w:cstheme="majorBidi" w:hint="cs"/>
          <w:sz w:val="24"/>
          <w:szCs w:val="24"/>
          <w:rtl/>
        </w:rPr>
        <w:t>הגר"א</w:t>
      </w:r>
      <w:proofErr w:type="spellEnd"/>
      <w:r w:rsidRPr="00067504">
        <w:rPr>
          <w:rStyle w:val="a5"/>
          <w:rFonts w:asciiTheme="majorBidi" w:hAnsiTheme="majorBidi" w:cstheme="majorBidi"/>
          <w:sz w:val="24"/>
          <w:szCs w:val="24"/>
          <w:rtl/>
        </w:rPr>
        <w:footnoteReference w:id="24"/>
      </w:r>
      <w:r w:rsidRPr="00067504">
        <w:rPr>
          <w:rFonts w:asciiTheme="majorBidi" w:hAnsiTheme="majorBidi" w:cstheme="majorBidi" w:hint="cs"/>
          <w:sz w:val="24"/>
          <w:szCs w:val="24"/>
          <w:rtl/>
        </w:rPr>
        <w:t xml:space="preserve"> מניח שהאיסור הוא דרבנן, וכך ניתן לפרש את פשט המשנה המכשירה את הבשר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מדאורייתא לאלתר, ומדרבנן בחלוף יום.</w:t>
      </w:r>
    </w:p>
    <w:p w14:paraId="3BFAE2AC"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נוסח </w:t>
      </w:r>
      <w:proofErr w:type="spellStart"/>
      <w:r w:rsidRPr="00067504">
        <w:rPr>
          <w:rFonts w:asciiTheme="majorBidi" w:hAnsiTheme="majorBidi" w:cstheme="majorBidi" w:hint="cs"/>
          <w:sz w:val="24"/>
          <w:szCs w:val="24"/>
          <w:rtl/>
        </w:rPr>
        <w:t>הבה"ג</w:t>
      </w:r>
      <w:proofErr w:type="spellEnd"/>
      <w:r w:rsidRPr="00067504">
        <w:rPr>
          <w:rFonts w:asciiTheme="majorBidi" w:hAnsiTheme="majorBidi" w:cstheme="majorBidi" w:hint="cs"/>
          <w:sz w:val="24"/>
          <w:szCs w:val="24"/>
          <w:rtl/>
        </w:rPr>
        <w:t xml:space="preserve"> כפי שהוא לפנינו אוסר שוגג כמזיד</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 וייתכן שזה מתאים לטענה שמקור האיסור דאורייתא</w:t>
      </w:r>
      <w:r w:rsidRPr="00067504">
        <w:rPr>
          <w:rStyle w:val="a5"/>
          <w:rFonts w:asciiTheme="majorBidi" w:hAnsiTheme="majorBidi" w:cstheme="majorBidi"/>
          <w:sz w:val="24"/>
          <w:szCs w:val="24"/>
          <w:rtl/>
        </w:rPr>
        <w:footnoteReference w:id="26"/>
      </w:r>
      <w:r w:rsidRPr="00067504">
        <w:rPr>
          <w:rFonts w:asciiTheme="majorBidi" w:hAnsiTheme="majorBidi" w:cstheme="majorBidi" w:hint="cs"/>
          <w:sz w:val="24"/>
          <w:szCs w:val="24"/>
          <w:rtl/>
        </w:rPr>
        <w:t>, אך להסבר שהאיסור הוא קנס - אין לאסור שוגג</w:t>
      </w:r>
      <w:r w:rsidRPr="00067504">
        <w:rPr>
          <w:rStyle w:val="a5"/>
          <w:rFonts w:asciiTheme="majorBidi" w:hAnsiTheme="majorBidi" w:cstheme="majorBidi"/>
          <w:sz w:val="24"/>
          <w:szCs w:val="24"/>
          <w:rtl/>
        </w:rPr>
        <w:footnoteReference w:id="27"/>
      </w:r>
      <w:r w:rsidRPr="00067504">
        <w:rPr>
          <w:rFonts w:asciiTheme="majorBidi" w:hAnsiTheme="majorBidi" w:cstheme="majorBidi" w:hint="cs"/>
          <w:sz w:val="24"/>
          <w:szCs w:val="24"/>
          <w:rtl/>
        </w:rPr>
        <w:t xml:space="preserve">. את דברי </w:t>
      </w:r>
      <w:proofErr w:type="spellStart"/>
      <w:r w:rsidRPr="00067504">
        <w:rPr>
          <w:rFonts w:asciiTheme="majorBidi" w:hAnsiTheme="majorBidi" w:cstheme="majorBidi" w:hint="cs"/>
          <w:sz w:val="24"/>
          <w:szCs w:val="24"/>
          <w:rtl/>
        </w:rPr>
        <w:t>הבה"ג</w:t>
      </w:r>
      <w:proofErr w:type="spellEnd"/>
      <w:r w:rsidRPr="00067504">
        <w:rPr>
          <w:rFonts w:asciiTheme="majorBidi" w:hAnsiTheme="majorBidi" w:cstheme="majorBidi" w:hint="cs"/>
          <w:sz w:val="24"/>
          <w:szCs w:val="24"/>
          <w:rtl/>
        </w:rPr>
        <w:t xml:space="preserve"> ניתן לצמצם לאיסור לשוגג הקרוב למזיד, למשל כשאינו מודע לאיסור כלל</w:t>
      </w:r>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 xml:space="preserve">, ובערוך השולחן נראה שמקל אף בזה. </w:t>
      </w:r>
      <w:r>
        <w:rPr>
          <w:rFonts w:asciiTheme="majorBidi" w:hAnsiTheme="majorBidi" w:cstheme="majorBidi" w:hint="cs"/>
          <w:sz w:val="24"/>
          <w:szCs w:val="24"/>
          <w:rtl/>
        </w:rPr>
        <w:t>הרמב"ם התיר לגמרי</w:t>
      </w:r>
      <w:r>
        <w:rPr>
          <w:rStyle w:val="a5"/>
          <w:rFonts w:asciiTheme="majorBidi" w:hAnsiTheme="majorBidi" w:cstheme="majorBidi"/>
          <w:sz w:val="24"/>
          <w:szCs w:val="24"/>
          <w:rtl/>
        </w:rPr>
        <w:footnoteReference w:id="29"/>
      </w:r>
      <w:r>
        <w:rPr>
          <w:rFonts w:asciiTheme="majorBidi" w:hAnsiTheme="majorBidi" w:cstheme="majorBidi" w:hint="cs"/>
          <w:sz w:val="24"/>
          <w:szCs w:val="24"/>
          <w:rtl/>
        </w:rPr>
        <w:t xml:space="preserve">. </w:t>
      </w:r>
      <w:r w:rsidRPr="00067504">
        <w:rPr>
          <w:rFonts w:asciiTheme="majorBidi" w:hAnsiTheme="majorBidi" w:cstheme="majorBidi" w:hint="cs"/>
          <w:sz w:val="24"/>
          <w:szCs w:val="24"/>
          <w:rtl/>
        </w:rPr>
        <w:t>בשולחן ערוך נפסק:</w:t>
      </w:r>
    </w:p>
    <w:p w14:paraId="22D6C38B" w14:textId="77777777" w:rsidR="005D4F37" w:rsidRPr="00067504" w:rsidRDefault="005D4F37" w:rsidP="005D4F37">
      <w:pPr>
        <w:spacing w:after="0" w:line="360" w:lineRule="auto"/>
        <w:rPr>
          <w:rFonts w:asciiTheme="majorBidi" w:hAnsiTheme="majorBidi" w:cstheme="majorBidi"/>
          <w:sz w:val="24"/>
          <w:szCs w:val="24"/>
          <w:rtl/>
        </w:rPr>
      </w:pPr>
      <w:r w:rsidRPr="00067504">
        <w:rPr>
          <w:rFonts w:asciiTheme="majorBidi" w:hAnsiTheme="majorBidi" w:cs="Times New Roman" w:hint="cs"/>
          <w:sz w:val="24"/>
          <w:szCs w:val="24"/>
          <w:rtl/>
        </w:rPr>
        <w:t>"</w:t>
      </w:r>
      <w:r w:rsidRPr="00067504">
        <w:rPr>
          <w:rFonts w:ascii="David" w:hAnsi="David" w:cs="David"/>
          <w:sz w:val="24"/>
          <w:szCs w:val="24"/>
          <w:rtl/>
        </w:rPr>
        <w:t>עבר ושחט אותו ואת בנו ביום א' מותר לאכלם; ויש מי שאוסר</w:t>
      </w:r>
      <w:r w:rsidRPr="00067504">
        <w:rPr>
          <w:rFonts w:asciiTheme="majorBidi" w:hAnsiTheme="majorBidi" w:cs="Times New Roman" w:hint="cs"/>
          <w:sz w:val="24"/>
          <w:szCs w:val="24"/>
          <w:rtl/>
        </w:rPr>
        <w:t xml:space="preserve"> </w:t>
      </w:r>
      <w:r w:rsidRPr="00067504">
        <w:rPr>
          <w:rFonts w:asciiTheme="majorBidi" w:hAnsiTheme="majorBidi" w:cs="Guttman Yad-Brush"/>
          <w:sz w:val="20"/>
          <w:szCs w:val="20"/>
          <w:rtl/>
        </w:rPr>
        <w:t>בו ביום</w:t>
      </w:r>
      <w:r w:rsidRPr="00067504">
        <w:rPr>
          <w:rFonts w:asciiTheme="majorBidi" w:hAnsiTheme="majorBidi" w:cs="Guttman Yad-Brush" w:hint="cs"/>
          <w:sz w:val="20"/>
          <w:szCs w:val="20"/>
          <w:rtl/>
        </w:rPr>
        <w:t xml:space="preserve"> </w:t>
      </w:r>
      <w:r w:rsidRPr="00067504">
        <w:rPr>
          <w:rFonts w:asciiTheme="majorBidi" w:hAnsiTheme="majorBidi" w:cs="Guttman Yad-Brush"/>
          <w:sz w:val="20"/>
          <w:szCs w:val="20"/>
          <w:rtl/>
        </w:rPr>
        <w:t>לאכול האחרון</w:t>
      </w:r>
      <w:r w:rsidRPr="00067504">
        <w:rPr>
          <w:rStyle w:val="a5"/>
          <w:rFonts w:asciiTheme="majorBidi" w:hAnsiTheme="majorBidi" w:cs="Guttman Yad-Brush"/>
          <w:sz w:val="20"/>
          <w:szCs w:val="20"/>
          <w:rtl/>
        </w:rPr>
        <w:footnoteReference w:id="30"/>
      </w:r>
      <w:r w:rsidRPr="00067504">
        <w:rPr>
          <w:rFonts w:asciiTheme="majorBidi" w:hAnsiTheme="majorBidi" w:cstheme="majorBidi" w:hint="cs"/>
          <w:sz w:val="24"/>
          <w:szCs w:val="24"/>
          <w:rtl/>
        </w:rPr>
        <w:t>". מחלוקת היא אם לא הכריע</w:t>
      </w:r>
      <w:r w:rsidRPr="00067504">
        <w:rPr>
          <w:rStyle w:val="a5"/>
          <w:rFonts w:asciiTheme="majorBidi" w:hAnsiTheme="majorBidi" w:cstheme="majorBidi"/>
          <w:sz w:val="24"/>
          <w:szCs w:val="24"/>
          <w:rtl/>
        </w:rPr>
        <w:footnoteReference w:id="31"/>
      </w:r>
      <w:r w:rsidRPr="00067504">
        <w:rPr>
          <w:rFonts w:asciiTheme="majorBidi" w:hAnsiTheme="majorBidi" w:cstheme="majorBidi" w:hint="cs"/>
          <w:sz w:val="24"/>
          <w:szCs w:val="24"/>
          <w:rtl/>
        </w:rPr>
        <w:t xml:space="preserve">, או שסתם להקל בעקבות </w:t>
      </w:r>
      <w:proofErr w:type="spellStart"/>
      <w:r w:rsidRPr="00067504">
        <w:rPr>
          <w:rFonts w:asciiTheme="majorBidi" w:hAnsiTheme="majorBidi" w:cstheme="majorBidi" w:hint="cs"/>
          <w:sz w:val="24"/>
          <w:szCs w:val="24"/>
          <w:rtl/>
        </w:rPr>
        <w:t>הרי"ף</w:t>
      </w:r>
      <w:proofErr w:type="spellEnd"/>
      <w:r w:rsidRPr="00067504">
        <w:rPr>
          <w:rFonts w:asciiTheme="majorBidi" w:hAnsiTheme="majorBidi" w:cstheme="majorBidi" w:hint="cs"/>
          <w:sz w:val="24"/>
          <w:szCs w:val="24"/>
          <w:rtl/>
        </w:rPr>
        <w:t xml:space="preserve"> והרמב"ם</w:t>
      </w:r>
      <w:r w:rsidRPr="00067504">
        <w:rPr>
          <w:rStyle w:val="a5"/>
          <w:rFonts w:asciiTheme="majorBidi" w:hAnsiTheme="majorBidi" w:cstheme="majorBidi"/>
          <w:sz w:val="24"/>
          <w:szCs w:val="24"/>
          <w:rtl/>
        </w:rPr>
        <w:footnoteReference w:id="32"/>
      </w:r>
      <w:r w:rsidRPr="00067504">
        <w:rPr>
          <w:rFonts w:asciiTheme="majorBidi" w:hAnsiTheme="majorBidi" w:cstheme="majorBidi" w:hint="cs"/>
          <w:sz w:val="24"/>
          <w:szCs w:val="24"/>
          <w:rtl/>
        </w:rPr>
        <w:t>.</w:t>
      </w:r>
    </w:p>
    <w:p w14:paraId="241863EB" w14:textId="77777777" w:rsidR="005D4F37" w:rsidRDefault="005D4F37" w:rsidP="005D4F37">
      <w:proofErr w:type="spellStart"/>
      <w:r w:rsidRPr="00067504">
        <w:rPr>
          <w:rFonts w:ascii="David" w:hAnsi="David" w:cs="David" w:hint="cs"/>
          <w:sz w:val="24"/>
          <w:szCs w:val="24"/>
          <w:rtl/>
        </w:rPr>
        <w:t>הרש"ל</w:t>
      </w:r>
      <w:proofErr w:type="spellEnd"/>
      <w:r w:rsidRPr="00067504">
        <w:rPr>
          <w:rFonts w:ascii="David" w:hAnsi="David" w:cs="David" w:hint="cs"/>
          <w:sz w:val="24"/>
          <w:szCs w:val="24"/>
          <w:rtl/>
        </w:rPr>
        <w:t xml:space="preserve"> כותב שיש לחשוש לדברי בעל הלכות גדולות, וכן פוסקים </w:t>
      </w:r>
      <w:proofErr w:type="spellStart"/>
      <w:r w:rsidRPr="00067504">
        <w:rPr>
          <w:rFonts w:ascii="David" w:hAnsi="David" w:cs="David" w:hint="cs"/>
          <w:sz w:val="24"/>
          <w:szCs w:val="24"/>
          <w:rtl/>
        </w:rPr>
        <w:t>הב"ח</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הש"ך</w:t>
      </w:r>
      <w:proofErr w:type="spellEnd"/>
      <w:r w:rsidRPr="00067504">
        <w:rPr>
          <w:rFonts w:ascii="David" w:hAnsi="David" w:cs="David" w:hint="cs"/>
          <w:sz w:val="24"/>
          <w:szCs w:val="24"/>
          <w:rtl/>
        </w:rPr>
        <w:t>, בעל תבואות שור, הפרי מגדים, ובעל פרי תואר. בעל דעת תורה כותב שכיוון שרבים מהראשונים מתירים, ניתן לסמוך עליהם לצורך סעודת מצווה כשאין בשר אחר, אולם בעל דרכי תשובה כותב שאין להקל אפילו לצורך גדול, משום שכל האחרונים פוסקים כדעת בעל הלכות גדולות</w:t>
      </w:r>
      <w:r w:rsidRPr="00067504">
        <w:rPr>
          <w:rStyle w:val="a5"/>
          <w:rFonts w:ascii="David" w:hAnsi="David" w:cs="David"/>
          <w:sz w:val="24"/>
          <w:szCs w:val="24"/>
          <w:rtl/>
        </w:rPr>
        <w:footnoteReference w:id="33"/>
      </w:r>
      <w:r w:rsidRPr="00067504">
        <w:rPr>
          <w:rFonts w:ascii="David" w:hAnsi="David" w:cs="David" w:hint="cs"/>
          <w:sz w:val="24"/>
          <w:szCs w:val="24"/>
          <w:rtl/>
        </w:rPr>
        <w:t>.</w:t>
      </w:r>
      <w:bookmarkEnd w:id="0"/>
    </w:p>
    <w:p w14:paraId="56BDFF98" w14:textId="77777777" w:rsidR="005D4F37" w:rsidRDefault="005D4F37" w:rsidP="005D4F37">
      <w:pPr>
        <w:spacing w:after="0" w:line="360" w:lineRule="auto"/>
        <w:jc w:val="center"/>
        <w:rPr>
          <w:rFonts w:asciiTheme="majorBidi" w:hAnsiTheme="majorBidi" w:cstheme="majorBidi"/>
          <w:b/>
          <w:bCs/>
          <w:sz w:val="28"/>
          <w:szCs w:val="28"/>
          <w:u w:val="single"/>
          <w:rtl/>
        </w:rPr>
      </w:pPr>
    </w:p>
    <w:p w14:paraId="52034029" w14:textId="77777777" w:rsidR="005D4F37" w:rsidRDefault="005D4F37" w:rsidP="005D4F37">
      <w:pPr>
        <w:spacing w:after="0" w:line="360" w:lineRule="auto"/>
        <w:jc w:val="center"/>
        <w:rPr>
          <w:rFonts w:asciiTheme="majorBidi" w:hAnsiTheme="majorBidi" w:cstheme="majorBidi"/>
          <w:b/>
          <w:bCs/>
          <w:sz w:val="28"/>
          <w:szCs w:val="28"/>
          <w:u w:val="single"/>
          <w:rtl/>
        </w:rPr>
      </w:pPr>
    </w:p>
    <w:p w14:paraId="0936C27C" w14:textId="77777777" w:rsidR="005D4F37" w:rsidRDefault="005D4F37" w:rsidP="005D4F37">
      <w:pPr>
        <w:spacing w:after="0" w:line="360" w:lineRule="auto"/>
        <w:jc w:val="center"/>
        <w:rPr>
          <w:rFonts w:asciiTheme="majorBidi" w:hAnsiTheme="majorBidi" w:cstheme="majorBidi"/>
          <w:b/>
          <w:bCs/>
          <w:sz w:val="28"/>
          <w:szCs w:val="28"/>
          <w:u w:val="single"/>
          <w:rtl/>
        </w:rPr>
      </w:pPr>
      <w:r w:rsidRPr="006F3DAB">
        <w:rPr>
          <w:rFonts w:asciiTheme="majorBidi" w:hAnsiTheme="majorBidi" w:cs="Times New Roman"/>
          <w:b/>
          <w:bCs/>
          <w:sz w:val="28"/>
          <w:szCs w:val="28"/>
          <w:u w:val="single"/>
          <w:rtl/>
        </w:rPr>
        <w:drawing>
          <wp:inline distT="0" distB="0" distL="0" distR="0" wp14:anchorId="4F878D56" wp14:editId="1E45FD5A">
            <wp:extent cx="3924848" cy="6087325"/>
            <wp:effectExtent l="0" t="0" r="0" b="889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3FA6A9D4"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6774" w14:textId="77777777" w:rsidR="005A4DA5" w:rsidRDefault="005A4DA5" w:rsidP="005D4F37">
      <w:pPr>
        <w:spacing w:after="0" w:line="240" w:lineRule="auto"/>
      </w:pPr>
      <w:r>
        <w:separator/>
      </w:r>
    </w:p>
  </w:endnote>
  <w:endnote w:type="continuationSeparator" w:id="0">
    <w:p w14:paraId="0A09406C" w14:textId="77777777" w:rsidR="005A4DA5" w:rsidRDefault="005A4DA5" w:rsidP="005D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38AA" w14:textId="77777777" w:rsidR="005A4DA5" w:rsidRDefault="005A4DA5" w:rsidP="005D4F37">
      <w:pPr>
        <w:spacing w:after="0" w:line="240" w:lineRule="auto"/>
      </w:pPr>
      <w:r>
        <w:separator/>
      </w:r>
    </w:p>
  </w:footnote>
  <w:footnote w:type="continuationSeparator" w:id="0">
    <w:p w14:paraId="4E2C7087" w14:textId="77777777" w:rsidR="005A4DA5" w:rsidRDefault="005A4DA5" w:rsidP="005D4F37">
      <w:pPr>
        <w:spacing w:after="0" w:line="240" w:lineRule="auto"/>
      </w:pPr>
      <w:r>
        <w:continuationSeparator/>
      </w:r>
    </w:p>
  </w:footnote>
  <w:footnote w:id="1">
    <w:p w14:paraId="7E1528C1" w14:textId="77777777" w:rsidR="005D4F37" w:rsidRPr="005D5758" w:rsidRDefault="005D4F37" w:rsidP="005D4F37">
      <w:pPr>
        <w:spacing w:after="0" w:line="360" w:lineRule="auto"/>
        <w:rPr>
          <w:rFonts w:asciiTheme="majorBidi" w:hAnsiTheme="majorBidi" w:cstheme="majorBidi"/>
          <w:sz w:val="20"/>
          <w:szCs w:val="20"/>
          <w:rtl/>
        </w:rPr>
      </w:pPr>
      <w:r w:rsidRPr="006E121F">
        <w:rPr>
          <w:rStyle w:val="a5"/>
          <w:sz w:val="20"/>
          <w:szCs w:val="20"/>
        </w:rPr>
        <w:footnoteRef/>
      </w:r>
      <w:r w:rsidRPr="006E121F">
        <w:rPr>
          <w:sz w:val="20"/>
          <w:szCs w:val="20"/>
          <w:rtl/>
        </w:rPr>
        <w:t xml:space="preserve"> </w:t>
      </w:r>
      <w:proofErr w:type="spellStart"/>
      <w:r w:rsidRPr="006E121F">
        <w:rPr>
          <w:rFonts w:asciiTheme="majorBidi" w:hAnsiTheme="majorBidi" w:cs="Times New Roman"/>
          <w:sz w:val="20"/>
          <w:szCs w:val="20"/>
          <w:rtl/>
        </w:rPr>
        <w:t>קטו</w:t>
      </w:r>
      <w:proofErr w:type="spellEnd"/>
      <w:r>
        <w:rPr>
          <w:rFonts w:asciiTheme="majorBidi" w:hAnsiTheme="majorBidi" w:cs="Times New Roman" w:hint="cs"/>
          <w:sz w:val="20"/>
          <w:szCs w:val="20"/>
          <w:rtl/>
        </w:rPr>
        <w:t xml:space="preserve">, </w:t>
      </w:r>
      <w:r w:rsidRPr="006E121F">
        <w:rPr>
          <w:rFonts w:asciiTheme="majorBidi" w:hAnsiTheme="majorBidi" w:cs="Times New Roman"/>
          <w:sz w:val="20"/>
          <w:szCs w:val="20"/>
          <w:rtl/>
        </w:rPr>
        <w:t>א</w:t>
      </w:r>
      <w:r w:rsidRPr="006E121F">
        <w:rPr>
          <w:rFonts w:asciiTheme="majorBidi" w:hAnsiTheme="majorBidi" w:cstheme="majorBidi" w:hint="cs"/>
          <w:sz w:val="20"/>
          <w:szCs w:val="20"/>
          <w:rtl/>
        </w:rPr>
        <w:t>.</w:t>
      </w:r>
    </w:p>
  </w:footnote>
  <w:footnote w:id="2">
    <w:p w14:paraId="0CC963C3" w14:textId="77777777" w:rsidR="005D4F37" w:rsidRPr="006E121F" w:rsidRDefault="005D4F37" w:rsidP="005D4F37">
      <w:pPr>
        <w:spacing w:after="0" w:line="240" w:lineRule="auto"/>
        <w:rPr>
          <w:rFonts w:asciiTheme="majorBidi" w:hAnsiTheme="majorBidi" w:cstheme="majorBidi"/>
          <w:sz w:val="20"/>
          <w:szCs w:val="20"/>
          <w:rtl/>
        </w:rPr>
      </w:pPr>
      <w:r w:rsidRPr="006E121F">
        <w:rPr>
          <w:rStyle w:val="a5"/>
          <w:rFonts w:asciiTheme="majorBidi" w:hAnsiTheme="majorBidi" w:cstheme="majorBidi"/>
          <w:sz w:val="20"/>
          <w:szCs w:val="20"/>
        </w:rPr>
        <w:footnoteRef/>
      </w:r>
      <w:r w:rsidRPr="006E121F">
        <w:rPr>
          <w:rFonts w:asciiTheme="majorBidi" w:hAnsiTheme="majorBidi" w:cstheme="majorBidi"/>
          <w:sz w:val="20"/>
          <w:szCs w:val="20"/>
          <w:rtl/>
        </w:rPr>
        <w:t xml:space="preserve"> </w:t>
      </w:r>
      <w:r w:rsidRPr="006E121F">
        <w:rPr>
          <w:rFonts w:asciiTheme="majorBidi" w:hAnsiTheme="majorBidi" w:cstheme="majorBidi"/>
          <w:sz w:val="20"/>
          <w:szCs w:val="20"/>
          <w:rtl/>
        </w:rPr>
        <w:t>רש"י</w:t>
      </w:r>
      <w:r>
        <w:rPr>
          <w:rFonts w:asciiTheme="majorBidi" w:hAnsiTheme="majorBidi" w:cstheme="majorBidi"/>
          <w:sz w:val="20"/>
          <w:szCs w:val="20"/>
          <w:rtl/>
        </w:rPr>
        <w:t xml:space="preserve"> </w:t>
      </w:r>
      <w:proofErr w:type="spellStart"/>
      <w:r w:rsidRPr="006E121F">
        <w:rPr>
          <w:rFonts w:asciiTheme="majorBidi" w:hAnsiTheme="majorBidi" w:cstheme="majorBidi"/>
          <w:sz w:val="20"/>
          <w:szCs w:val="20"/>
          <w:rtl/>
        </w:rPr>
        <w:t>עח</w:t>
      </w:r>
      <w:proofErr w:type="spellEnd"/>
      <w:r>
        <w:rPr>
          <w:rFonts w:asciiTheme="majorBidi" w:hAnsiTheme="majorBidi" w:cstheme="majorBidi" w:hint="cs"/>
          <w:sz w:val="20"/>
          <w:szCs w:val="20"/>
          <w:rtl/>
        </w:rPr>
        <w:t xml:space="preserve">, </w:t>
      </w:r>
      <w:r w:rsidRPr="006E121F">
        <w:rPr>
          <w:rFonts w:asciiTheme="majorBidi" w:hAnsiTheme="majorBidi" w:cstheme="majorBidi"/>
          <w:sz w:val="20"/>
          <w:szCs w:val="20"/>
          <w:rtl/>
        </w:rPr>
        <w:t>א ד"ה שניהם כשרים. סיום דברי רש"י מתייחס ל'כל הפסולים</w:t>
      </w:r>
      <w:r>
        <w:rPr>
          <w:rFonts w:asciiTheme="majorBidi" w:hAnsiTheme="majorBidi" w:cstheme="majorBidi" w:hint="cs"/>
          <w:sz w:val="20"/>
          <w:szCs w:val="20"/>
          <w:rtl/>
        </w:rPr>
        <w:t>'</w:t>
      </w:r>
      <w:r w:rsidRPr="006E121F">
        <w:rPr>
          <w:rFonts w:asciiTheme="majorBidi" w:hAnsiTheme="majorBidi" w:cstheme="majorBidi"/>
          <w:sz w:val="20"/>
          <w:szCs w:val="20"/>
          <w:rtl/>
        </w:rPr>
        <w:t xml:space="preserve"> (</w:t>
      </w:r>
      <w:proofErr w:type="spellStart"/>
      <w:r w:rsidRPr="006E121F">
        <w:rPr>
          <w:rFonts w:asciiTheme="majorBidi" w:hAnsiTheme="majorBidi" w:cstheme="majorBidi"/>
          <w:sz w:val="20"/>
          <w:szCs w:val="20"/>
          <w:rtl/>
        </w:rPr>
        <w:t>מהרש"א</w:t>
      </w:r>
      <w:proofErr w:type="spellEnd"/>
      <w:r>
        <w:rPr>
          <w:rFonts w:asciiTheme="majorBidi" w:hAnsiTheme="majorBidi" w:cstheme="majorBidi" w:hint="cs"/>
          <w:sz w:val="20"/>
          <w:szCs w:val="20"/>
          <w:rtl/>
        </w:rPr>
        <w:t xml:space="preserve">, </w:t>
      </w:r>
      <w:proofErr w:type="spellStart"/>
      <w:r>
        <w:rPr>
          <w:rFonts w:asciiTheme="majorBidi" w:hAnsiTheme="majorBidi" w:cstheme="majorBidi" w:hint="cs"/>
          <w:sz w:val="20"/>
          <w:szCs w:val="20"/>
          <w:rtl/>
        </w:rPr>
        <w:t>ורש"ש</w:t>
      </w:r>
      <w:proofErr w:type="spellEnd"/>
      <w:r>
        <w:rPr>
          <w:rFonts w:asciiTheme="majorBidi" w:hAnsiTheme="majorBidi" w:cstheme="majorBidi" w:hint="cs"/>
          <w:sz w:val="20"/>
          <w:szCs w:val="20"/>
          <w:rtl/>
        </w:rPr>
        <w:t xml:space="preserve"> תמה על דבריו שאין בגמרא הסבר כזה לכך ששנו פסולים</w:t>
      </w:r>
      <w:r>
        <w:rPr>
          <w:rFonts w:asciiTheme="majorBidi" w:hAnsiTheme="majorBidi" w:cstheme="majorBidi"/>
          <w:sz w:val="20"/>
          <w:szCs w:val="20"/>
          <w:rtl/>
        </w:rPr>
        <w:t>)</w:t>
      </w:r>
      <w:r>
        <w:rPr>
          <w:rFonts w:asciiTheme="majorBidi" w:hAnsiTheme="majorBidi" w:cstheme="majorBidi" w:hint="cs"/>
          <w:sz w:val="20"/>
          <w:szCs w:val="20"/>
          <w:rtl/>
        </w:rPr>
        <w:t>.</w:t>
      </w:r>
    </w:p>
  </w:footnote>
  <w:footnote w:id="3">
    <w:p w14:paraId="2504D5D5" w14:textId="77777777" w:rsidR="005D4F37" w:rsidRPr="006E121F" w:rsidRDefault="005D4F37" w:rsidP="005D4F37">
      <w:pPr>
        <w:spacing w:after="0" w:line="360" w:lineRule="auto"/>
        <w:rPr>
          <w:rFonts w:asciiTheme="majorBidi" w:hAnsiTheme="majorBidi" w:cstheme="majorBidi"/>
          <w:sz w:val="20"/>
          <w:szCs w:val="20"/>
        </w:rPr>
      </w:pPr>
      <w:r>
        <w:rPr>
          <w:rStyle w:val="a5"/>
        </w:rPr>
        <w:footnoteRef/>
      </w:r>
      <w:r>
        <w:rPr>
          <w:rtl/>
        </w:rPr>
        <w:t xml:space="preserve"> </w:t>
      </w:r>
      <w:r w:rsidRPr="006E121F">
        <w:rPr>
          <w:rFonts w:asciiTheme="majorBidi" w:hAnsiTheme="majorBidi" w:cstheme="majorBidi"/>
          <w:sz w:val="20"/>
          <w:szCs w:val="20"/>
          <w:rtl/>
        </w:rPr>
        <w:t>תוספות פ</w:t>
      </w:r>
      <w:r>
        <w:rPr>
          <w:rFonts w:asciiTheme="majorBidi" w:hAnsiTheme="majorBidi" w:cstheme="majorBidi" w:hint="cs"/>
          <w:sz w:val="20"/>
          <w:szCs w:val="20"/>
          <w:rtl/>
        </w:rPr>
        <w:t xml:space="preserve">, </w:t>
      </w:r>
      <w:r w:rsidRPr="006E121F">
        <w:rPr>
          <w:rFonts w:asciiTheme="majorBidi" w:hAnsiTheme="majorBidi" w:cstheme="majorBidi"/>
          <w:sz w:val="20"/>
          <w:szCs w:val="20"/>
          <w:rtl/>
        </w:rPr>
        <w:t xml:space="preserve">א ד"ה </w:t>
      </w:r>
      <w:r>
        <w:rPr>
          <w:rFonts w:asciiTheme="majorBidi" w:hAnsiTheme="majorBidi" w:cstheme="majorBidi"/>
          <w:sz w:val="20"/>
          <w:szCs w:val="20"/>
          <w:rtl/>
        </w:rPr>
        <w:t>חולין בחוץ שניהם כשרים</w:t>
      </w:r>
      <w:r>
        <w:rPr>
          <w:rFonts w:asciiTheme="majorBidi" w:hAnsiTheme="majorBidi" w:cstheme="majorBidi" w:hint="cs"/>
          <w:sz w:val="20"/>
          <w:szCs w:val="20"/>
          <w:rtl/>
        </w:rPr>
        <w:t>.</w:t>
      </w:r>
    </w:p>
  </w:footnote>
  <w:footnote w:id="4">
    <w:p w14:paraId="458C0360" w14:textId="77777777" w:rsidR="005D4F37" w:rsidRDefault="005D4F37" w:rsidP="005D4F37">
      <w:pPr>
        <w:pStyle w:val="a3"/>
        <w:spacing w:line="360" w:lineRule="auto"/>
      </w:pPr>
      <w:r>
        <w:rPr>
          <w:rStyle w:val="a5"/>
        </w:rPr>
        <w:footnoteRef/>
      </w:r>
      <w:r>
        <w:rPr>
          <w:rtl/>
        </w:rPr>
        <w:t xml:space="preserve"> </w:t>
      </w:r>
      <w:r w:rsidRPr="005D5758">
        <w:rPr>
          <w:rFonts w:asciiTheme="majorBidi" w:hAnsiTheme="majorBidi" w:cstheme="majorBidi"/>
          <w:rtl/>
        </w:rPr>
        <w:t xml:space="preserve">רבי עקיבא איגר </w:t>
      </w:r>
      <w:proofErr w:type="spellStart"/>
      <w:r w:rsidRPr="005D5758">
        <w:rPr>
          <w:rFonts w:asciiTheme="majorBidi" w:hAnsiTheme="majorBidi" w:cstheme="majorBidi"/>
          <w:rtl/>
        </w:rPr>
        <w:t>עח</w:t>
      </w:r>
      <w:proofErr w:type="spellEnd"/>
      <w:r>
        <w:rPr>
          <w:rFonts w:asciiTheme="majorBidi" w:hAnsiTheme="majorBidi" w:cstheme="majorBidi" w:hint="cs"/>
          <w:rtl/>
        </w:rPr>
        <w:t>,</w:t>
      </w:r>
      <w:r w:rsidRPr="005D5758">
        <w:rPr>
          <w:rFonts w:asciiTheme="majorBidi" w:hAnsiTheme="majorBidi" w:cstheme="majorBidi"/>
          <w:rtl/>
        </w:rPr>
        <w:t xml:space="preserve"> א ד"ה חולין בחוץ שניהם כשרים.</w:t>
      </w:r>
      <w:r>
        <w:rPr>
          <w:rFonts w:asciiTheme="majorBidi" w:hAnsiTheme="majorBidi" w:cstheme="majorBidi"/>
          <w:sz w:val="24"/>
          <w:szCs w:val="24"/>
          <w:rtl/>
        </w:rPr>
        <w:t xml:space="preserve"> </w:t>
      </w:r>
    </w:p>
  </w:footnote>
  <w:footnote w:id="5">
    <w:p w14:paraId="276A6027" w14:textId="77777777" w:rsidR="005D4F37" w:rsidRDefault="005D4F37" w:rsidP="005D4F37">
      <w:pPr>
        <w:pStyle w:val="a3"/>
        <w:spacing w:line="360" w:lineRule="auto"/>
      </w:pPr>
      <w:r>
        <w:rPr>
          <w:rStyle w:val="a5"/>
        </w:rPr>
        <w:footnoteRef/>
      </w:r>
      <w:r>
        <w:rPr>
          <w:rtl/>
        </w:rPr>
        <w:t xml:space="preserve"> </w:t>
      </w:r>
      <w:proofErr w:type="spellStart"/>
      <w:r w:rsidRPr="009B1E12">
        <w:rPr>
          <w:rFonts w:asciiTheme="majorBidi" w:hAnsiTheme="majorBidi" w:cs="Times New Roman"/>
          <w:rtl/>
        </w:rPr>
        <w:t>ש"ך</w:t>
      </w:r>
      <w:proofErr w:type="spellEnd"/>
      <w:r w:rsidRPr="009B1E12">
        <w:rPr>
          <w:rFonts w:asciiTheme="majorBidi" w:hAnsiTheme="majorBidi" w:cs="Times New Roman"/>
          <w:rtl/>
        </w:rPr>
        <w:t xml:space="preserve"> </w:t>
      </w:r>
      <w:proofErr w:type="spellStart"/>
      <w:r>
        <w:rPr>
          <w:rFonts w:asciiTheme="majorBidi" w:hAnsiTheme="majorBidi" w:cs="Times New Roman" w:hint="cs"/>
          <w:rtl/>
        </w:rPr>
        <w:t>חו"מ</w:t>
      </w:r>
      <w:proofErr w:type="spellEnd"/>
      <w:r w:rsidRPr="009B1E12">
        <w:rPr>
          <w:rFonts w:asciiTheme="majorBidi" w:hAnsiTheme="majorBidi" w:cs="Times New Roman"/>
          <w:rtl/>
        </w:rPr>
        <w:t xml:space="preserve"> </w:t>
      </w:r>
      <w:proofErr w:type="spellStart"/>
      <w:r w:rsidRPr="009B1E12">
        <w:rPr>
          <w:rFonts w:asciiTheme="majorBidi" w:hAnsiTheme="majorBidi" w:cs="Times New Roman"/>
          <w:rtl/>
        </w:rPr>
        <w:t>רח</w:t>
      </w:r>
      <w:proofErr w:type="spellEnd"/>
      <w:r w:rsidRPr="009B1E12">
        <w:rPr>
          <w:rFonts w:asciiTheme="majorBidi" w:hAnsiTheme="majorBidi" w:cstheme="majorBidi" w:hint="cs"/>
          <w:rtl/>
        </w:rPr>
        <w:t xml:space="preserve"> </w:t>
      </w:r>
      <w:proofErr w:type="spellStart"/>
      <w:r w:rsidRPr="009B1E12">
        <w:rPr>
          <w:rFonts w:asciiTheme="majorBidi" w:hAnsiTheme="majorBidi" w:cstheme="majorBidi" w:hint="cs"/>
          <w:rtl/>
        </w:rPr>
        <w:t>ס"ק</w:t>
      </w:r>
      <w:proofErr w:type="spellEnd"/>
      <w:r w:rsidRPr="009B1E12">
        <w:rPr>
          <w:rFonts w:asciiTheme="majorBidi" w:hAnsiTheme="majorBidi" w:cstheme="majorBidi" w:hint="cs"/>
          <w:rtl/>
        </w:rPr>
        <w:t xml:space="preserve"> ב</w:t>
      </w:r>
      <w:r>
        <w:rPr>
          <w:rFonts w:asciiTheme="majorBidi" w:hAnsiTheme="majorBidi" w:cstheme="majorBidi" w:hint="cs"/>
          <w:rtl/>
        </w:rPr>
        <w:t>.</w:t>
      </w:r>
      <w:r>
        <w:rPr>
          <w:rFonts w:hint="cs"/>
          <w:rtl/>
        </w:rPr>
        <w:t xml:space="preserve"> </w:t>
      </w:r>
      <w:r w:rsidRPr="001758E2">
        <w:rPr>
          <w:rFonts w:asciiTheme="majorBidi" w:hAnsiTheme="majorBidi" w:cstheme="majorBidi"/>
          <w:rtl/>
        </w:rPr>
        <w:t xml:space="preserve">וכן כתב </w:t>
      </w:r>
      <w:proofErr w:type="spellStart"/>
      <w:r>
        <w:rPr>
          <w:rFonts w:asciiTheme="majorBidi" w:hAnsiTheme="majorBidi" w:cstheme="majorBidi" w:hint="cs"/>
          <w:rtl/>
        </w:rPr>
        <w:t>ב</w:t>
      </w:r>
      <w:r w:rsidRPr="001758E2">
        <w:rPr>
          <w:rFonts w:asciiTheme="majorBidi" w:hAnsiTheme="majorBidi" w:cstheme="majorBidi"/>
          <w:rtl/>
        </w:rPr>
        <w:t>פמ"ג</w:t>
      </w:r>
      <w:proofErr w:type="spellEnd"/>
      <w:r w:rsidRPr="001758E2">
        <w:rPr>
          <w:rFonts w:asciiTheme="majorBidi" w:hAnsiTheme="majorBidi" w:cstheme="majorBidi"/>
          <w:rtl/>
        </w:rPr>
        <w:t xml:space="preserve"> (יו"ד ט"ז שפ"ד אות ג).</w:t>
      </w:r>
    </w:p>
  </w:footnote>
  <w:footnote w:id="6">
    <w:p w14:paraId="36F78FAF" w14:textId="77777777" w:rsidR="005D4F37" w:rsidRPr="00432601" w:rsidRDefault="005D4F37" w:rsidP="005D4F37">
      <w:pPr>
        <w:spacing w:after="0" w:line="360" w:lineRule="auto"/>
        <w:rPr>
          <w:rFonts w:asciiTheme="majorBidi" w:hAnsiTheme="majorBidi" w:cstheme="majorBidi"/>
          <w:sz w:val="20"/>
          <w:szCs w:val="20"/>
        </w:rPr>
      </w:pPr>
      <w:r w:rsidRPr="009B1E12">
        <w:rPr>
          <w:rStyle w:val="a5"/>
          <w:rFonts w:asciiTheme="majorBidi" w:hAnsiTheme="majorBidi" w:cstheme="majorBidi"/>
        </w:rPr>
        <w:footnoteRef/>
      </w:r>
      <w:r w:rsidRPr="009B1E12">
        <w:rPr>
          <w:rFonts w:asciiTheme="majorBidi" w:hAnsiTheme="majorBidi" w:cstheme="majorBidi"/>
          <w:rtl/>
        </w:rPr>
        <w:t xml:space="preserve"> </w:t>
      </w:r>
      <w:r w:rsidRPr="009B1E12">
        <w:rPr>
          <w:rFonts w:asciiTheme="majorBidi" w:hAnsiTheme="majorBidi" w:cstheme="majorBidi"/>
          <w:sz w:val="20"/>
          <w:szCs w:val="20"/>
          <w:rtl/>
        </w:rPr>
        <w:t xml:space="preserve">משמר </w:t>
      </w:r>
      <w:proofErr w:type="spellStart"/>
      <w:r w:rsidRPr="009B1E12">
        <w:rPr>
          <w:rFonts w:asciiTheme="majorBidi" w:hAnsiTheme="majorBidi" w:cstheme="majorBidi"/>
          <w:sz w:val="20"/>
          <w:szCs w:val="20"/>
          <w:rtl/>
        </w:rPr>
        <w:t>הלוים</w:t>
      </w:r>
      <w:proofErr w:type="spellEnd"/>
      <w:r w:rsidRPr="009B1E12">
        <w:rPr>
          <w:rFonts w:asciiTheme="majorBidi" w:hAnsiTheme="majorBidi" w:cstheme="majorBidi"/>
          <w:sz w:val="20"/>
          <w:szCs w:val="20"/>
          <w:rtl/>
        </w:rPr>
        <w:t>, מובא כאן ב'דף על הדף'.</w:t>
      </w:r>
    </w:p>
  </w:footnote>
  <w:footnote w:id="7">
    <w:p w14:paraId="52500C68" w14:textId="77777777" w:rsidR="005D4F37" w:rsidRPr="00201951" w:rsidRDefault="005D4F37" w:rsidP="005D4F37">
      <w:pPr>
        <w:spacing w:after="0" w:line="360" w:lineRule="auto"/>
        <w:rPr>
          <w:rFonts w:asciiTheme="majorBidi" w:hAnsiTheme="majorBidi" w:cstheme="majorBidi"/>
          <w:sz w:val="20"/>
          <w:szCs w:val="20"/>
          <w:rtl/>
        </w:rPr>
      </w:pPr>
      <w:r w:rsidRPr="005D5758">
        <w:rPr>
          <w:rStyle w:val="a5"/>
          <w:rFonts w:asciiTheme="majorBidi" w:hAnsiTheme="majorBidi" w:cstheme="majorBidi"/>
          <w:sz w:val="20"/>
          <w:szCs w:val="20"/>
        </w:rPr>
        <w:footnoteRef/>
      </w:r>
      <w:r w:rsidRPr="005D5758">
        <w:rPr>
          <w:rFonts w:asciiTheme="majorBidi" w:hAnsiTheme="majorBidi" w:cstheme="majorBidi"/>
          <w:sz w:val="20"/>
          <w:szCs w:val="20"/>
          <w:rtl/>
        </w:rPr>
        <w:t xml:space="preserve"> </w:t>
      </w:r>
      <w:r w:rsidRPr="005D5758">
        <w:rPr>
          <w:rFonts w:asciiTheme="majorBidi" w:hAnsiTheme="majorBidi" w:cstheme="majorBidi"/>
          <w:sz w:val="20"/>
          <w:szCs w:val="20"/>
          <w:rtl/>
        </w:rPr>
        <w:t>פ</w:t>
      </w:r>
      <w:r>
        <w:rPr>
          <w:rFonts w:asciiTheme="majorBidi" w:hAnsiTheme="majorBidi" w:cstheme="majorBidi" w:hint="cs"/>
          <w:sz w:val="20"/>
          <w:szCs w:val="20"/>
          <w:rtl/>
        </w:rPr>
        <w:t>,</w:t>
      </w:r>
      <w:r w:rsidRPr="005D5758">
        <w:rPr>
          <w:rFonts w:asciiTheme="majorBidi" w:hAnsiTheme="majorBidi" w:cstheme="majorBidi"/>
          <w:sz w:val="20"/>
          <w:szCs w:val="20"/>
          <w:rtl/>
        </w:rPr>
        <w:t xml:space="preserve"> א-ב.</w:t>
      </w:r>
    </w:p>
  </w:footnote>
  <w:footnote w:id="8">
    <w:p w14:paraId="63F8D7D5" w14:textId="77777777" w:rsidR="005D4F37" w:rsidRPr="00201951" w:rsidRDefault="005D4F37" w:rsidP="005D4F37">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לקמן משנה פא, ב.</w:t>
      </w:r>
    </w:p>
  </w:footnote>
  <w:footnote w:id="9">
    <w:p w14:paraId="5C7CEF5A" w14:textId="77777777" w:rsidR="005D4F37" w:rsidRPr="00201951" w:rsidRDefault="005D4F37" w:rsidP="005D4F37">
      <w:pPr>
        <w:pStyle w:val="a3"/>
        <w:rPr>
          <w:rFonts w:asciiTheme="majorBidi" w:hAnsiTheme="majorBidi" w:cstheme="majorBidi"/>
        </w:rPr>
      </w:pPr>
      <w:r w:rsidRPr="00201951">
        <w:rPr>
          <w:rStyle w:val="a5"/>
          <w:rFonts w:asciiTheme="majorBidi" w:hAnsiTheme="majorBidi" w:cstheme="majorBidi"/>
        </w:rPr>
        <w:footnoteRef/>
      </w:r>
      <w:r w:rsidRPr="00201951">
        <w:rPr>
          <w:rFonts w:asciiTheme="majorBidi" w:hAnsiTheme="majorBidi" w:cstheme="majorBidi"/>
          <w:rtl/>
        </w:rPr>
        <w:t xml:space="preserve"> </w:t>
      </w:r>
      <w:r w:rsidRPr="00201951">
        <w:rPr>
          <w:rFonts w:asciiTheme="majorBidi" w:hAnsiTheme="majorBidi" w:cstheme="majorBidi"/>
          <w:rtl/>
        </w:rPr>
        <w:t>דברינו הם על יסוד חידושי הרמב"ן פ</w:t>
      </w:r>
      <w:r>
        <w:rPr>
          <w:rFonts w:asciiTheme="majorBidi" w:hAnsiTheme="majorBidi" w:cstheme="majorBidi" w:hint="cs"/>
          <w:rtl/>
        </w:rPr>
        <w:t xml:space="preserve">, </w:t>
      </w:r>
      <w:r w:rsidRPr="00201951">
        <w:rPr>
          <w:rFonts w:asciiTheme="majorBidi" w:hAnsiTheme="majorBidi" w:cstheme="majorBidi"/>
          <w:rtl/>
        </w:rPr>
        <w:t xml:space="preserve">ב ד"ה </w:t>
      </w:r>
      <w:r>
        <w:rPr>
          <w:rFonts w:asciiTheme="majorBidi" w:hAnsiTheme="majorBidi" w:cstheme="majorBidi" w:hint="cs"/>
          <w:rtl/>
        </w:rPr>
        <w:t>'</w:t>
      </w:r>
      <w:r w:rsidRPr="00201951">
        <w:rPr>
          <w:rFonts w:asciiTheme="majorBidi" w:hAnsiTheme="majorBidi" w:cstheme="majorBidi"/>
          <w:rtl/>
        </w:rPr>
        <w:t>לפיכך פירשו אחרים</w:t>
      </w:r>
      <w:r>
        <w:rPr>
          <w:rFonts w:asciiTheme="majorBidi" w:hAnsiTheme="majorBidi" w:cstheme="majorBidi" w:hint="cs"/>
          <w:rtl/>
        </w:rPr>
        <w:t>',</w:t>
      </w:r>
      <w:r w:rsidRPr="00201951">
        <w:rPr>
          <w:rFonts w:asciiTheme="majorBidi" w:hAnsiTheme="majorBidi" w:cstheme="majorBidi"/>
          <w:rtl/>
        </w:rPr>
        <w:t xml:space="preserve"> לגבי קיום האיסור בקדשים.</w:t>
      </w:r>
      <w:r>
        <w:rPr>
          <w:rFonts w:asciiTheme="majorBidi" w:hAnsiTheme="majorBidi" w:cstheme="majorBidi" w:hint="cs"/>
          <w:rtl/>
        </w:rPr>
        <w:t xml:space="preserve"> וכעין </w:t>
      </w:r>
      <w:r w:rsidRPr="00201951">
        <w:rPr>
          <w:rFonts w:asciiTheme="majorBidi" w:hAnsiTheme="majorBidi" w:cstheme="majorBidi"/>
          <w:rtl/>
        </w:rPr>
        <w:t>סב</w:t>
      </w:r>
      <w:r>
        <w:rPr>
          <w:rFonts w:asciiTheme="majorBidi" w:hAnsiTheme="majorBidi" w:cstheme="majorBidi"/>
          <w:rtl/>
        </w:rPr>
        <w:t xml:space="preserve">רת </w:t>
      </w:r>
      <w:proofErr w:type="spellStart"/>
      <w:r>
        <w:rPr>
          <w:rFonts w:asciiTheme="majorBidi" w:hAnsiTheme="majorBidi" w:cstheme="majorBidi"/>
          <w:rtl/>
        </w:rPr>
        <w:t>רעק"א</w:t>
      </w:r>
      <w:proofErr w:type="spellEnd"/>
      <w:r>
        <w:rPr>
          <w:rFonts w:asciiTheme="majorBidi" w:hAnsiTheme="majorBidi" w:cstheme="majorBidi"/>
          <w:rtl/>
        </w:rPr>
        <w:t xml:space="preserve"> בתשו</w:t>
      </w:r>
      <w:r>
        <w:rPr>
          <w:rFonts w:asciiTheme="majorBidi" w:hAnsiTheme="majorBidi" w:cstheme="majorBidi" w:hint="cs"/>
          <w:rtl/>
        </w:rPr>
        <w:t>בה</w:t>
      </w:r>
      <w:r>
        <w:rPr>
          <w:rFonts w:asciiTheme="majorBidi" w:hAnsiTheme="majorBidi" w:cstheme="majorBidi"/>
          <w:rtl/>
        </w:rPr>
        <w:t xml:space="preserve"> (קכ"ט) וסברת הבית הלוי (ח</w:t>
      </w:r>
      <w:r>
        <w:rPr>
          <w:rFonts w:asciiTheme="majorBidi" w:hAnsiTheme="majorBidi" w:cstheme="majorBidi" w:hint="cs"/>
          <w:rtl/>
        </w:rPr>
        <w:t xml:space="preserve">לק </w:t>
      </w:r>
      <w:r>
        <w:rPr>
          <w:rFonts w:asciiTheme="majorBidi" w:hAnsiTheme="majorBidi" w:cstheme="majorBidi"/>
          <w:rtl/>
        </w:rPr>
        <w:t xml:space="preserve">א </w:t>
      </w:r>
      <w:r w:rsidRPr="00201951">
        <w:rPr>
          <w:rFonts w:asciiTheme="majorBidi" w:hAnsiTheme="majorBidi" w:cstheme="majorBidi"/>
          <w:rtl/>
        </w:rPr>
        <w:t>ל' אות ב')</w:t>
      </w:r>
      <w:r>
        <w:rPr>
          <w:rFonts w:asciiTheme="majorBidi" w:hAnsiTheme="majorBidi" w:cstheme="majorBidi" w:hint="cs"/>
          <w:rtl/>
        </w:rPr>
        <w:t>, לגבי 'אי עביד לא מהני' (מובאים ב'דף על הדף' כאן).</w:t>
      </w:r>
    </w:p>
  </w:footnote>
  <w:footnote w:id="10">
    <w:p w14:paraId="3FF73BE4" w14:textId="77777777" w:rsidR="005D4F37" w:rsidRPr="001758E2" w:rsidRDefault="005D4F37" w:rsidP="005D4F37">
      <w:pPr>
        <w:spacing w:after="0" w:line="360" w:lineRule="auto"/>
        <w:rPr>
          <w:rFonts w:asciiTheme="majorBidi" w:hAnsiTheme="majorBidi" w:cstheme="majorBidi"/>
          <w:sz w:val="20"/>
          <w:szCs w:val="20"/>
        </w:rPr>
      </w:pPr>
      <w:r w:rsidRPr="009B1E12">
        <w:rPr>
          <w:rStyle w:val="a5"/>
          <w:rFonts w:asciiTheme="majorBidi" w:hAnsiTheme="majorBidi" w:cstheme="majorBidi"/>
          <w:sz w:val="20"/>
          <w:szCs w:val="20"/>
        </w:rPr>
        <w:footnoteRef/>
      </w:r>
      <w:r>
        <w:rPr>
          <w:rtl/>
        </w:rPr>
        <w:t xml:space="preserve"> </w:t>
      </w:r>
      <w:r w:rsidRPr="009B1E12">
        <w:rPr>
          <w:rFonts w:asciiTheme="majorBidi" w:hAnsiTheme="majorBidi" w:cstheme="majorBidi"/>
          <w:sz w:val="20"/>
          <w:szCs w:val="20"/>
          <w:rtl/>
        </w:rPr>
        <w:t xml:space="preserve">פסקי </w:t>
      </w:r>
      <w:proofErr w:type="spellStart"/>
      <w:r w:rsidRPr="009B1E12">
        <w:rPr>
          <w:rFonts w:asciiTheme="majorBidi" w:hAnsiTheme="majorBidi" w:cstheme="majorBidi"/>
          <w:sz w:val="20"/>
          <w:szCs w:val="20"/>
          <w:rtl/>
        </w:rPr>
        <w:t>ריא"ז</w:t>
      </w:r>
      <w:proofErr w:type="spellEnd"/>
      <w:r w:rsidRPr="009B1E12">
        <w:rPr>
          <w:rFonts w:asciiTheme="majorBidi" w:hAnsiTheme="majorBidi" w:cstheme="majorBidi"/>
          <w:sz w:val="20"/>
          <w:szCs w:val="20"/>
          <w:rtl/>
        </w:rPr>
        <w:t xml:space="preserve"> </w:t>
      </w:r>
      <w:proofErr w:type="spellStart"/>
      <w:r w:rsidRPr="009B1E12">
        <w:rPr>
          <w:rFonts w:asciiTheme="majorBidi" w:hAnsiTheme="majorBidi" w:cstheme="majorBidi"/>
          <w:sz w:val="20"/>
          <w:szCs w:val="20"/>
          <w:rtl/>
        </w:rPr>
        <w:t>עח</w:t>
      </w:r>
      <w:proofErr w:type="spellEnd"/>
      <w:r>
        <w:rPr>
          <w:rFonts w:asciiTheme="majorBidi" w:hAnsiTheme="majorBidi" w:cstheme="majorBidi" w:hint="cs"/>
          <w:sz w:val="20"/>
          <w:szCs w:val="20"/>
          <w:rtl/>
        </w:rPr>
        <w:t xml:space="preserve">, </w:t>
      </w:r>
      <w:r w:rsidRPr="009B1E12">
        <w:rPr>
          <w:rFonts w:asciiTheme="majorBidi" w:hAnsiTheme="majorBidi" w:cstheme="majorBidi"/>
          <w:sz w:val="20"/>
          <w:szCs w:val="20"/>
          <w:rtl/>
        </w:rPr>
        <w:t>א</w:t>
      </w:r>
      <w:r>
        <w:rPr>
          <w:rFonts w:asciiTheme="majorBidi" w:hAnsiTheme="majorBidi" w:cstheme="majorBidi" w:hint="cs"/>
          <w:sz w:val="20"/>
          <w:szCs w:val="20"/>
          <w:rtl/>
        </w:rPr>
        <w:t>.</w:t>
      </w:r>
    </w:p>
  </w:footnote>
  <w:footnote w:id="11">
    <w:p w14:paraId="0AC17EC3" w14:textId="77777777" w:rsidR="005D4F37" w:rsidRPr="001758E2" w:rsidRDefault="005D4F37" w:rsidP="005D4F37">
      <w:pPr>
        <w:spacing w:after="0" w:line="360" w:lineRule="auto"/>
        <w:rPr>
          <w:rFonts w:asciiTheme="majorBidi" w:hAnsiTheme="majorBidi" w:cstheme="majorBidi"/>
          <w:sz w:val="20"/>
          <w:szCs w:val="20"/>
        </w:rPr>
      </w:pPr>
      <w:r>
        <w:rPr>
          <w:rStyle w:val="a5"/>
        </w:rPr>
        <w:footnoteRef/>
      </w:r>
      <w:r>
        <w:rPr>
          <w:rtl/>
        </w:rPr>
        <w:t xml:space="preserve"> </w:t>
      </w:r>
      <w:r>
        <w:rPr>
          <w:rFonts w:asciiTheme="majorBidi" w:hAnsiTheme="majorBidi" w:cstheme="majorBidi"/>
          <w:sz w:val="20"/>
          <w:szCs w:val="20"/>
          <w:rtl/>
        </w:rPr>
        <w:t>רמב"ם</w:t>
      </w:r>
      <w:r w:rsidRPr="001758E2">
        <w:rPr>
          <w:rFonts w:asciiTheme="majorBidi" w:hAnsiTheme="majorBidi" w:cstheme="majorBidi"/>
          <w:sz w:val="20"/>
          <w:szCs w:val="20"/>
          <w:rtl/>
        </w:rPr>
        <w:t xml:space="preserve"> שחיטה פרק </w:t>
      </w:r>
      <w:proofErr w:type="spellStart"/>
      <w:r w:rsidRPr="001758E2">
        <w:rPr>
          <w:rFonts w:asciiTheme="majorBidi" w:hAnsiTheme="majorBidi" w:cstheme="majorBidi"/>
          <w:sz w:val="20"/>
          <w:szCs w:val="20"/>
          <w:rtl/>
        </w:rPr>
        <w:t>יב</w:t>
      </w:r>
      <w:proofErr w:type="spellEnd"/>
      <w:r w:rsidRPr="001758E2">
        <w:rPr>
          <w:rFonts w:asciiTheme="majorBidi" w:hAnsiTheme="majorBidi" w:cstheme="majorBidi"/>
          <w:sz w:val="20"/>
          <w:szCs w:val="20"/>
          <w:rtl/>
        </w:rPr>
        <w:t xml:space="preserve"> הלכה א</w:t>
      </w:r>
      <w:r>
        <w:rPr>
          <w:rFonts w:asciiTheme="majorBidi" w:hAnsiTheme="majorBidi" w:cstheme="majorBidi" w:hint="cs"/>
          <w:sz w:val="20"/>
          <w:szCs w:val="20"/>
          <w:rtl/>
        </w:rPr>
        <w:t>.</w:t>
      </w:r>
    </w:p>
  </w:footnote>
  <w:footnote w:id="12">
    <w:p w14:paraId="3C28A5A7" w14:textId="77777777" w:rsidR="005D4F37" w:rsidRPr="006A6F20" w:rsidRDefault="005D4F37" w:rsidP="005D4F37">
      <w:pPr>
        <w:spacing w:after="0" w:line="360" w:lineRule="auto"/>
        <w:rPr>
          <w:rFonts w:asciiTheme="majorBidi" w:hAnsiTheme="majorBidi" w:cstheme="majorBidi"/>
          <w:sz w:val="20"/>
          <w:szCs w:val="20"/>
          <w:rtl/>
        </w:rPr>
      </w:pPr>
      <w:r>
        <w:rPr>
          <w:rStyle w:val="a5"/>
        </w:rPr>
        <w:footnoteRef/>
      </w:r>
      <w:r>
        <w:rPr>
          <w:rtl/>
        </w:rPr>
        <w:t xml:space="preserve"> </w:t>
      </w:r>
      <w:r w:rsidRPr="006A6F20">
        <w:rPr>
          <w:rFonts w:asciiTheme="majorBidi" w:hAnsiTheme="majorBidi" w:cs="Times New Roman"/>
          <w:sz w:val="20"/>
          <w:szCs w:val="20"/>
          <w:rtl/>
        </w:rPr>
        <w:t xml:space="preserve">ספר הלכות גדולות </w:t>
      </w:r>
      <w:proofErr w:type="spellStart"/>
      <w:r w:rsidRPr="006A6F20">
        <w:rPr>
          <w:rFonts w:asciiTheme="majorBidi" w:hAnsiTheme="majorBidi" w:cs="Times New Roman"/>
          <w:sz w:val="20"/>
          <w:szCs w:val="20"/>
          <w:rtl/>
        </w:rPr>
        <w:t>סו</w:t>
      </w:r>
      <w:proofErr w:type="spellEnd"/>
      <w:r w:rsidRPr="006A6F20">
        <w:rPr>
          <w:rFonts w:asciiTheme="majorBidi" w:hAnsiTheme="majorBidi" w:cs="Times New Roman"/>
          <w:sz w:val="20"/>
          <w:szCs w:val="20"/>
          <w:rtl/>
        </w:rPr>
        <w:t xml:space="preserve"> - הלכות אותו ואת בנו</w:t>
      </w:r>
      <w:r>
        <w:rPr>
          <w:rFonts w:asciiTheme="majorBidi" w:hAnsiTheme="majorBidi" w:cstheme="majorBidi" w:hint="cs"/>
          <w:sz w:val="20"/>
          <w:szCs w:val="20"/>
          <w:rtl/>
        </w:rPr>
        <w:t>.</w:t>
      </w:r>
    </w:p>
  </w:footnote>
  <w:footnote w:id="13">
    <w:p w14:paraId="7E67D4F3" w14:textId="77777777" w:rsidR="005D4F37" w:rsidRPr="005F3D56" w:rsidRDefault="005D4F37" w:rsidP="005D4F37">
      <w:pPr>
        <w:spacing w:after="0" w:line="360" w:lineRule="auto"/>
        <w:rPr>
          <w:rFonts w:asciiTheme="majorBidi" w:hAnsiTheme="majorBidi" w:cstheme="majorBidi"/>
          <w:sz w:val="20"/>
          <w:szCs w:val="20"/>
        </w:rPr>
      </w:pPr>
      <w:r w:rsidRPr="001758E2">
        <w:rPr>
          <w:rStyle w:val="a5"/>
          <w:rFonts w:asciiTheme="majorBidi" w:hAnsiTheme="majorBidi" w:cstheme="majorBidi"/>
          <w:sz w:val="20"/>
          <w:szCs w:val="20"/>
        </w:rPr>
        <w:footnoteRef/>
      </w:r>
      <w:r w:rsidRPr="001758E2">
        <w:rPr>
          <w:rFonts w:asciiTheme="majorBidi" w:hAnsiTheme="majorBidi" w:cstheme="majorBidi"/>
          <w:sz w:val="20"/>
          <w:szCs w:val="20"/>
          <w:rtl/>
        </w:rPr>
        <w:t xml:space="preserve"> </w:t>
      </w:r>
      <w:r w:rsidRPr="001758E2">
        <w:rPr>
          <w:rFonts w:asciiTheme="majorBidi" w:hAnsiTheme="majorBidi" w:cstheme="majorBidi"/>
          <w:sz w:val="20"/>
          <w:szCs w:val="20"/>
          <w:rtl/>
        </w:rPr>
        <w:t xml:space="preserve">חידושי הרמב"ן </w:t>
      </w:r>
      <w:proofErr w:type="spellStart"/>
      <w:r w:rsidRPr="001758E2">
        <w:rPr>
          <w:rFonts w:asciiTheme="majorBidi" w:hAnsiTheme="majorBidi" w:cstheme="majorBidi"/>
          <w:sz w:val="20"/>
          <w:szCs w:val="20"/>
          <w:rtl/>
        </w:rPr>
        <w:t>עח</w:t>
      </w:r>
      <w:proofErr w:type="spellEnd"/>
      <w:r>
        <w:rPr>
          <w:rFonts w:asciiTheme="majorBidi" w:hAnsiTheme="majorBidi" w:cstheme="majorBidi" w:hint="cs"/>
          <w:sz w:val="20"/>
          <w:szCs w:val="20"/>
          <w:rtl/>
        </w:rPr>
        <w:t xml:space="preserve">, </w:t>
      </w:r>
      <w:r w:rsidRPr="001758E2">
        <w:rPr>
          <w:rFonts w:asciiTheme="majorBidi" w:hAnsiTheme="majorBidi" w:cstheme="majorBidi"/>
          <w:sz w:val="20"/>
          <w:szCs w:val="20"/>
          <w:rtl/>
        </w:rPr>
        <w:t>א ד"ה אותו ואת בנו.</w:t>
      </w:r>
    </w:p>
  </w:footnote>
  <w:footnote w:id="14">
    <w:p w14:paraId="706173F2" w14:textId="77777777" w:rsidR="005D4F37" w:rsidRPr="005F3D56" w:rsidRDefault="005D4F37" w:rsidP="005D4F37">
      <w:pPr>
        <w:pStyle w:val="a3"/>
        <w:spacing w:line="360" w:lineRule="auto"/>
        <w:rPr>
          <w:rFonts w:asciiTheme="majorBidi" w:hAnsiTheme="majorBidi" w:cstheme="majorBidi"/>
        </w:rPr>
      </w:pPr>
      <w:r w:rsidRPr="005F3D56">
        <w:rPr>
          <w:rStyle w:val="a5"/>
          <w:rFonts w:asciiTheme="majorBidi" w:hAnsiTheme="majorBidi" w:cstheme="majorBidi"/>
        </w:rPr>
        <w:footnoteRef/>
      </w:r>
      <w:r w:rsidRPr="005F3D56">
        <w:rPr>
          <w:rFonts w:asciiTheme="majorBidi" w:hAnsiTheme="majorBidi" w:cstheme="majorBidi"/>
          <w:rtl/>
        </w:rPr>
        <w:t xml:space="preserve"> </w:t>
      </w:r>
      <w:r w:rsidRPr="005F3D56">
        <w:rPr>
          <w:rFonts w:asciiTheme="majorBidi" w:hAnsiTheme="majorBidi" w:cstheme="majorBidi"/>
          <w:rtl/>
        </w:rPr>
        <w:t>סימן ה' בפרקנו.</w:t>
      </w:r>
    </w:p>
  </w:footnote>
  <w:footnote w:id="15">
    <w:p w14:paraId="65AA0CEA" w14:textId="77777777" w:rsidR="005D4F37" w:rsidRPr="00975A52" w:rsidRDefault="005D4F37" w:rsidP="005D4F37">
      <w:pPr>
        <w:spacing w:after="0" w:line="360" w:lineRule="auto"/>
        <w:rPr>
          <w:rFonts w:asciiTheme="majorBidi" w:hAnsiTheme="majorBidi" w:cstheme="majorBidi"/>
          <w:sz w:val="20"/>
          <w:szCs w:val="20"/>
        </w:rPr>
      </w:pPr>
      <w:r w:rsidRPr="005F3D56">
        <w:rPr>
          <w:rStyle w:val="a5"/>
          <w:rFonts w:asciiTheme="majorBidi" w:hAnsiTheme="majorBidi" w:cstheme="majorBidi"/>
          <w:sz w:val="20"/>
          <w:szCs w:val="20"/>
        </w:rPr>
        <w:footnoteRef/>
      </w:r>
      <w:r>
        <w:rPr>
          <w:rFonts w:asciiTheme="majorBidi" w:hAnsiTheme="majorBidi" w:cstheme="majorBidi"/>
          <w:sz w:val="20"/>
          <w:szCs w:val="20"/>
          <w:rtl/>
        </w:rPr>
        <w:t xml:space="preserve"> </w:t>
      </w:r>
      <w:proofErr w:type="spellStart"/>
      <w:r w:rsidRPr="005F3D56">
        <w:rPr>
          <w:rFonts w:asciiTheme="majorBidi" w:hAnsiTheme="majorBidi" w:cstheme="majorBidi"/>
          <w:sz w:val="20"/>
          <w:szCs w:val="20"/>
          <w:rtl/>
        </w:rPr>
        <w:t>פב</w:t>
      </w:r>
      <w:proofErr w:type="spellEnd"/>
      <w:r>
        <w:rPr>
          <w:rFonts w:asciiTheme="majorBidi" w:hAnsiTheme="majorBidi" w:cstheme="majorBidi" w:hint="cs"/>
          <w:sz w:val="20"/>
          <w:szCs w:val="20"/>
          <w:rtl/>
        </w:rPr>
        <w:t xml:space="preserve">, </w:t>
      </w:r>
      <w:r w:rsidRPr="005F3D56">
        <w:rPr>
          <w:rFonts w:asciiTheme="majorBidi" w:hAnsiTheme="majorBidi" w:cstheme="majorBidi"/>
          <w:sz w:val="20"/>
          <w:szCs w:val="20"/>
          <w:rtl/>
        </w:rPr>
        <w:t>א.</w:t>
      </w:r>
    </w:p>
  </w:footnote>
  <w:footnote w:id="16">
    <w:p w14:paraId="47BE4C8B" w14:textId="77777777" w:rsidR="005D4F37" w:rsidRPr="00975A52" w:rsidRDefault="005D4F37" w:rsidP="005D4F37">
      <w:pPr>
        <w:pStyle w:val="a3"/>
        <w:spacing w:line="360" w:lineRule="auto"/>
        <w:rPr>
          <w:rFonts w:asciiTheme="majorBidi" w:hAnsiTheme="majorBidi" w:cstheme="majorBidi"/>
        </w:rPr>
      </w:pPr>
      <w:r w:rsidRPr="00975A52">
        <w:rPr>
          <w:rStyle w:val="a5"/>
          <w:rFonts w:asciiTheme="majorBidi" w:hAnsiTheme="majorBidi" w:cstheme="majorBidi"/>
        </w:rPr>
        <w:footnoteRef/>
      </w:r>
      <w:r w:rsidRPr="00975A52">
        <w:rPr>
          <w:rFonts w:asciiTheme="majorBidi" w:hAnsiTheme="majorBidi" w:cstheme="majorBidi"/>
          <w:rtl/>
        </w:rPr>
        <w:t xml:space="preserve"> </w:t>
      </w:r>
      <w:r w:rsidRPr="00975A52">
        <w:rPr>
          <w:rFonts w:asciiTheme="majorBidi" w:hAnsiTheme="majorBidi" w:cstheme="majorBidi"/>
          <w:rtl/>
        </w:rPr>
        <w:t xml:space="preserve">אמנם ניתן לומר שהכוונה </w:t>
      </w:r>
      <w:r>
        <w:rPr>
          <w:rFonts w:asciiTheme="majorBidi" w:hAnsiTheme="majorBidi" w:cstheme="majorBidi" w:hint="cs"/>
          <w:rtl/>
        </w:rPr>
        <w:t xml:space="preserve">היא </w:t>
      </w:r>
      <w:r w:rsidRPr="00975A52">
        <w:rPr>
          <w:rFonts w:asciiTheme="majorBidi" w:hAnsiTheme="majorBidi" w:cstheme="majorBidi"/>
          <w:rtl/>
        </w:rPr>
        <w:t>פשוט שהמקדים נשכר בשניים, והמאחר הפסיד רק את ההיתר, אולם הדיוק הוא מכך שבכלל ד</w:t>
      </w:r>
      <w:r>
        <w:rPr>
          <w:rFonts w:asciiTheme="majorBidi" w:hAnsiTheme="majorBidi" w:cstheme="majorBidi" w:hint="cs"/>
          <w:rtl/>
        </w:rPr>
        <w:t>י</w:t>
      </w:r>
      <w:r w:rsidRPr="00975A52">
        <w:rPr>
          <w:rFonts w:asciiTheme="majorBidi" w:hAnsiTheme="majorBidi" w:cstheme="majorBidi"/>
          <w:rtl/>
        </w:rPr>
        <w:t xml:space="preserve">ברו על הבשר (מעדני יום טוב על </w:t>
      </w:r>
      <w:proofErr w:type="spellStart"/>
      <w:r w:rsidRPr="00975A52">
        <w:rPr>
          <w:rFonts w:asciiTheme="majorBidi" w:hAnsiTheme="majorBidi" w:cstheme="majorBidi"/>
          <w:rtl/>
        </w:rPr>
        <w:t>הרא"ש</w:t>
      </w:r>
      <w:proofErr w:type="spellEnd"/>
      <w:r w:rsidRPr="00975A52">
        <w:rPr>
          <w:rFonts w:asciiTheme="majorBidi" w:hAnsiTheme="majorBidi" w:cstheme="majorBidi"/>
          <w:rtl/>
        </w:rPr>
        <w:t xml:space="preserve"> אות מ).</w:t>
      </w:r>
    </w:p>
  </w:footnote>
  <w:footnote w:id="17">
    <w:p w14:paraId="6A8B3AAC" w14:textId="77777777" w:rsidR="005D4F37" w:rsidRDefault="005D4F37" w:rsidP="005D4F37">
      <w:pPr>
        <w:pStyle w:val="a3"/>
        <w:spacing w:line="360" w:lineRule="auto"/>
      </w:pPr>
      <w:r>
        <w:rPr>
          <w:rStyle w:val="a5"/>
        </w:rPr>
        <w:footnoteRef/>
      </w:r>
      <w:r>
        <w:rPr>
          <w:rtl/>
        </w:rPr>
        <w:t xml:space="preserve"> </w:t>
      </w:r>
      <w:r w:rsidRPr="00A64729">
        <w:rPr>
          <w:rFonts w:asciiTheme="majorBidi" w:hAnsiTheme="majorBidi" w:cs="Times New Roman"/>
          <w:rtl/>
        </w:rPr>
        <w:t xml:space="preserve">ב"ח </w:t>
      </w:r>
      <w:r>
        <w:rPr>
          <w:rFonts w:asciiTheme="majorBidi" w:hAnsiTheme="majorBidi" w:cs="Times New Roman"/>
          <w:rtl/>
        </w:rPr>
        <w:t>יו"ד</w:t>
      </w:r>
      <w:r w:rsidRPr="00A64729">
        <w:rPr>
          <w:rFonts w:asciiTheme="majorBidi" w:hAnsiTheme="majorBidi" w:cs="Times New Roman"/>
          <w:rtl/>
        </w:rPr>
        <w:t xml:space="preserve">  </w:t>
      </w:r>
      <w:proofErr w:type="spellStart"/>
      <w:r w:rsidRPr="00A64729">
        <w:rPr>
          <w:rFonts w:asciiTheme="majorBidi" w:hAnsiTheme="majorBidi" w:cs="Times New Roman"/>
          <w:rtl/>
        </w:rPr>
        <w:t>טז</w:t>
      </w:r>
      <w:proofErr w:type="spellEnd"/>
      <w:r w:rsidRPr="00A64729">
        <w:rPr>
          <w:rFonts w:asciiTheme="majorBidi" w:hAnsiTheme="majorBidi" w:cstheme="majorBidi" w:hint="cs"/>
          <w:rtl/>
        </w:rPr>
        <w:t xml:space="preserve"> אות ב</w:t>
      </w:r>
      <w:r>
        <w:rPr>
          <w:rFonts w:asciiTheme="majorBidi" w:hAnsiTheme="majorBidi" w:cstheme="majorBidi" w:hint="cs"/>
          <w:rtl/>
        </w:rPr>
        <w:t>.</w:t>
      </w:r>
    </w:p>
  </w:footnote>
  <w:footnote w:id="18">
    <w:p w14:paraId="7A56D1F1" w14:textId="77777777" w:rsidR="005D4F37" w:rsidRPr="00571AA5" w:rsidRDefault="005D4F37" w:rsidP="005D4F37">
      <w:pPr>
        <w:pStyle w:val="a3"/>
        <w:spacing w:line="360" w:lineRule="auto"/>
        <w:rPr>
          <w:rFonts w:asciiTheme="majorBidi" w:hAnsiTheme="majorBidi" w:cstheme="majorBidi"/>
        </w:rPr>
      </w:pPr>
      <w:r w:rsidRPr="00571AA5">
        <w:rPr>
          <w:rStyle w:val="a5"/>
          <w:rFonts w:asciiTheme="majorBidi" w:hAnsiTheme="majorBidi" w:cstheme="majorBidi"/>
        </w:rPr>
        <w:footnoteRef/>
      </w:r>
      <w:r w:rsidRPr="00571AA5">
        <w:rPr>
          <w:rFonts w:asciiTheme="majorBidi" w:hAnsiTheme="majorBidi" w:cstheme="majorBidi"/>
          <w:rtl/>
        </w:rPr>
        <w:t xml:space="preserve"> </w:t>
      </w:r>
      <w:proofErr w:type="spellStart"/>
      <w:r w:rsidRPr="00571AA5">
        <w:rPr>
          <w:rFonts w:asciiTheme="majorBidi" w:hAnsiTheme="majorBidi" w:cstheme="majorBidi"/>
          <w:rtl/>
        </w:rPr>
        <w:t>רי"פ</w:t>
      </w:r>
      <w:proofErr w:type="spellEnd"/>
      <w:r w:rsidRPr="00571AA5">
        <w:rPr>
          <w:rFonts w:asciiTheme="majorBidi" w:hAnsiTheme="majorBidi" w:cstheme="majorBidi"/>
          <w:rtl/>
        </w:rPr>
        <w:t xml:space="preserve"> </w:t>
      </w:r>
      <w:proofErr w:type="spellStart"/>
      <w:r w:rsidRPr="00571AA5">
        <w:rPr>
          <w:rFonts w:asciiTheme="majorBidi" w:hAnsiTheme="majorBidi" w:cstheme="majorBidi"/>
          <w:rtl/>
        </w:rPr>
        <w:t>פערלא</w:t>
      </w:r>
      <w:proofErr w:type="spellEnd"/>
      <w:r w:rsidRPr="00571AA5">
        <w:rPr>
          <w:rFonts w:asciiTheme="majorBidi" w:hAnsiTheme="majorBidi" w:cstheme="majorBidi"/>
          <w:rtl/>
        </w:rPr>
        <w:t xml:space="preserve"> על ספר המצוות לרס"ג ל"ת סח-ע כרך ב דף סב (מובא בבירור הלכה תחילת דף </w:t>
      </w:r>
      <w:proofErr w:type="spellStart"/>
      <w:r w:rsidRPr="00571AA5">
        <w:rPr>
          <w:rFonts w:asciiTheme="majorBidi" w:hAnsiTheme="majorBidi" w:cstheme="majorBidi"/>
          <w:rtl/>
        </w:rPr>
        <w:t>עח</w:t>
      </w:r>
      <w:proofErr w:type="spellEnd"/>
      <w:r w:rsidRPr="00571AA5">
        <w:rPr>
          <w:rFonts w:asciiTheme="majorBidi" w:hAnsiTheme="majorBidi" w:cstheme="majorBidi"/>
          <w:rtl/>
        </w:rPr>
        <w:t xml:space="preserve"> עמוד א).</w:t>
      </w:r>
    </w:p>
  </w:footnote>
  <w:footnote w:id="19">
    <w:p w14:paraId="6FC0F53F" w14:textId="77777777" w:rsidR="005D4F37" w:rsidRPr="006A6F20" w:rsidRDefault="005D4F37" w:rsidP="005D4F37">
      <w:pPr>
        <w:pStyle w:val="a3"/>
        <w:spacing w:line="360" w:lineRule="auto"/>
        <w:rPr>
          <w:rFonts w:asciiTheme="majorBidi" w:hAnsiTheme="majorBidi" w:cstheme="majorBidi"/>
        </w:rPr>
      </w:pPr>
      <w:r w:rsidRPr="006A6F20">
        <w:rPr>
          <w:rStyle w:val="a5"/>
          <w:rFonts w:asciiTheme="majorBidi" w:hAnsiTheme="majorBidi" w:cstheme="majorBidi"/>
        </w:rPr>
        <w:footnoteRef/>
      </w:r>
      <w:r w:rsidRPr="006A6F20">
        <w:rPr>
          <w:rFonts w:asciiTheme="majorBidi" w:hAnsiTheme="majorBidi" w:cstheme="majorBidi"/>
          <w:rtl/>
        </w:rPr>
        <w:t xml:space="preserve"> </w:t>
      </w:r>
      <w:r w:rsidRPr="006A6F20">
        <w:rPr>
          <w:rFonts w:asciiTheme="majorBidi" w:hAnsiTheme="majorBidi" w:cstheme="majorBidi"/>
          <w:rtl/>
        </w:rPr>
        <w:t xml:space="preserve">יו"ד </w:t>
      </w:r>
      <w:proofErr w:type="spellStart"/>
      <w:r w:rsidRPr="006A6F20">
        <w:rPr>
          <w:rFonts w:asciiTheme="majorBidi" w:hAnsiTheme="majorBidi" w:cstheme="majorBidi"/>
          <w:rtl/>
        </w:rPr>
        <w:t>טז</w:t>
      </w:r>
      <w:proofErr w:type="spellEnd"/>
      <w:r w:rsidRPr="006A6F20">
        <w:rPr>
          <w:rFonts w:asciiTheme="majorBidi" w:hAnsiTheme="majorBidi" w:cstheme="majorBidi"/>
          <w:rtl/>
        </w:rPr>
        <w:t xml:space="preserve">, </w:t>
      </w:r>
      <w:proofErr w:type="spellStart"/>
      <w:r w:rsidRPr="006A6F20">
        <w:rPr>
          <w:rFonts w:asciiTheme="majorBidi" w:hAnsiTheme="majorBidi" w:cstheme="majorBidi"/>
          <w:rtl/>
        </w:rPr>
        <w:t>ס"ק</w:t>
      </w:r>
      <w:proofErr w:type="spellEnd"/>
      <w:r w:rsidRPr="006A6F20">
        <w:rPr>
          <w:rFonts w:asciiTheme="majorBidi" w:hAnsiTheme="majorBidi" w:cstheme="majorBidi"/>
          <w:rtl/>
        </w:rPr>
        <w:t xml:space="preserve"> ז.</w:t>
      </w:r>
    </w:p>
  </w:footnote>
  <w:footnote w:id="20">
    <w:p w14:paraId="588D64E7" w14:textId="77777777" w:rsidR="005D4F37" w:rsidRDefault="005D4F37" w:rsidP="005D4F37">
      <w:pPr>
        <w:pStyle w:val="a3"/>
        <w:spacing w:line="360" w:lineRule="auto"/>
        <w:rPr>
          <w:rtl/>
        </w:rPr>
      </w:pPr>
      <w:r>
        <w:rPr>
          <w:rStyle w:val="a5"/>
        </w:rPr>
        <w:footnoteRef/>
      </w:r>
      <w:r>
        <w:rPr>
          <w:rtl/>
        </w:rPr>
        <w:t xml:space="preserve"> </w:t>
      </w:r>
      <w:r w:rsidRPr="006A6F20">
        <w:rPr>
          <w:rFonts w:asciiTheme="majorBidi" w:hAnsiTheme="majorBidi" w:cstheme="majorBidi"/>
          <w:rtl/>
        </w:rPr>
        <w:t xml:space="preserve">יו"ד </w:t>
      </w:r>
      <w:proofErr w:type="spellStart"/>
      <w:r w:rsidRPr="006A6F20">
        <w:rPr>
          <w:rFonts w:asciiTheme="majorBidi" w:hAnsiTheme="majorBidi" w:cstheme="majorBidi"/>
          <w:rtl/>
        </w:rPr>
        <w:t>טז</w:t>
      </w:r>
      <w:proofErr w:type="spellEnd"/>
      <w:r w:rsidRPr="006A6F20">
        <w:rPr>
          <w:rFonts w:asciiTheme="majorBidi" w:hAnsiTheme="majorBidi" w:cstheme="majorBidi"/>
          <w:rtl/>
        </w:rPr>
        <w:t xml:space="preserve">, </w:t>
      </w:r>
      <w:r>
        <w:rPr>
          <w:rFonts w:asciiTheme="majorBidi" w:hAnsiTheme="majorBidi" w:cstheme="majorBidi" w:hint="cs"/>
          <w:rtl/>
        </w:rPr>
        <w:t>אות ד.</w:t>
      </w:r>
    </w:p>
  </w:footnote>
  <w:footnote w:id="21">
    <w:p w14:paraId="4364C4DD" w14:textId="77777777" w:rsidR="005D4F37" w:rsidRDefault="005D4F37" w:rsidP="005D4F37">
      <w:pPr>
        <w:pStyle w:val="a3"/>
        <w:spacing w:line="360" w:lineRule="auto"/>
      </w:pPr>
      <w:r>
        <w:rPr>
          <w:rStyle w:val="a5"/>
        </w:rPr>
        <w:footnoteRef/>
      </w:r>
      <w:r>
        <w:rPr>
          <w:rtl/>
        </w:rPr>
        <w:t xml:space="preserve"> </w:t>
      </w:r>
      <w:r w:rsidRPr="006A6F20">
        <w:rPr>
          <w:rFonts w:asciiTheme="majorBidi" w:hAnsiTheme="majorBidi" w:cstheme="majorBidi"/>
          <w:rtl/>
        </w:rPr>
        <w:t xml:space="preserve">יו"ד </w:t>
      </w:r>
      <w:proofErr w:type="spellStart"/>
      <w:r w:rsidRPr="006A6F20">
        <w:rPr>
          <w:rFonts w:asciiTheme="majorBidi" w:hAnsiTheme="majorBidi" w:cstheme="majorBidi"/>
          <w:rtl/>
        </w:rPr>
        <w:t>טז</w:t>
      </w:r>
      <w:proofErr w:type="spellEnd"/>
      <w:r w:rsidRPr="006A6F20">
        <w:rPr>
          <w:rFonts w:asciiTheme="majorBidi" w:hAnsiTheme="majorBidi" w:cstheme="majorBidi"/>
          <w:rtl/>
        </w:rPr>
        <w:t xml:space="preserve">, </w:t>
      </w:r>
      <w:proofErr w:type="spellStart"/>
      <w:r>
        <w:rPr>
          <w:rFonts w:asciiTheme="majorBidi" w:hAnsiTheme="majorBidi" w:cstheme="majorBidi" w:hint="cs"/>
          <w:rtl/>
        </w:rPr>
        <w:t>ס"ק</w:t>
      </w:r>
      <w:proofErr w:type="spellEnd"/>
      <w:r>
        <w:rPr>
          <w:rFonts w:asciiTheme="majorBidi" w:hAnsiTheme="majorBidi" w:cstheme="majorBidi" w:hint="cs"/>
          <w:rtl/>
        </w:rPr>
        <w:t xml:space="preserve"> ג</w:t>
      </w:r>
      <w:r w:rsidRPr="006A6F20">
        <w:rPr>
          <w:rFonts w:asciiTheme="majorBidi" w:hAnsiTheme="majorBidi" w:cstheme="majorBidi"/>
          <w:rtl/>
        </w:rPr>
        <w:t>.</w:t>
      </w:r>
    </w:p>
  </w:footnote>
  <w:footnote w:id="22">
    <w:p w14:paraId="0BE12F0D" w14:textId="77777777" w:rsidR="005D4F37" w:rsidRPr="00F45D65" w:rsidRDefault="005D4F37" w:rsidP="005D4F37">
      <w:pPr>
        <w:pStyle w:val="a3"/>
        <w:spacing w:line="360" w:lineRule="auto"/>
        <w:rPr>
          <w:rFonts w:asciiTheme="majorBidi" w:hAnsiTheme="majorBidi" w:cstheme="majorBidi"/>
        </w:rPr>
      </w:pPr>
      <w:r w:rsidRPr="00F45D65">
        <w:rPr>
          <w:rStyle w:val="a5"/>
          <w:rFonts w:asciiTheme="majorBidi" w:hAnsiTheme="majorBidi" w:cstheme="majorBidi"/>
        </w:rPr>
        <w:footnoteRef/>
      </w:r>
      <w:r w:rsidRPr="00F45D65">
        <w:rPr>
          <w:rFonts w:asciiTheme="majorBidi" w:hAnsiTheme="majorBidi" w:cstheme="majorBidi"/>
          <w:rtl/>
        </w:rPr>
        <w:t xml:space="preserve"> </w:t>
      </w:r>
      <w:r w:rsidRPr="00F45D65">
        <w:rPr>
          <w:rFonts w:asciiTheme="majorBidi" w:hAnsiTheme="majorBidi" w:cstheme="majorBidi"/>
          <w:rtl/>
        </w:rPr>
        <w:t>כך פוסקים הלבוש ואחרונים רבים: פר"ח, כרתי</w:t>
      </w:r>
      <w:r>
        <w:rPr>
          <w:rFonts w:asciiTheme="majorBidi" w:hAnsiTheme="majorBidi" w:cstheme="majorBidi" w:hint="cs"/>
          <w:rtl/>
        </w:rPr>
        <w:t>,</w:t>
      </w:r>
      <w:r w:rsidRPr="00F45D65">
        <w:rPr>
          <w:rFonts w:asciiTheme="majorBidi" w:hAnsiTheme="majorBidi" w:cstheme="majorBidi"/>
          <w:rtl/>
        </w:rPr>
        <w:t xml:space="preserve"> </w:t>
      </w:r>
      <w:proofErr w:type="spellStart"/>
      <w:r w:rsidRPr="00F45D65">
        <w:rPr>
          <w:rFonts w:asciiTheme="majorBidi" w:hAnsiTheme="majorBidi" w:cstheme="majorBidi"/>
          <w:rtl/>
        </w:rPr>
        <w:t>ופמ"ג</w:t>
      </w:r>
      <w:proofErr w:type="spellEnd"/>
      <w:r w:rsidRPr="00F45D65">
        <w:rPr>
          <w:rFonts w:asciiTheme="majorBidi" w:hAnsiTheme="majorBidi" w:cstheme="majorBidi"/>
          <w:rtl/>
        </w:rPr>
        <w:t xml:space="preserve"> בשפתי דעת (כולם </w:t>
      </w:r>
      <w:proofErr w:type="spellStart"/>
      <w:r w:rsidRPr="00F45D65">
        <w:rPr>
          <w:rFonts w:asciiTheme="majorBidi" w:hAnsiTheme="majorBidi" w:cstheme="majorBidi"/>
          <w:rtl/>
        </w:rPr>
        <w:t>בס</w:t>
      </w:r>
      <w:r>
        <w:rPr>
          <w:rFonts w:asciiTheme="majorBidi" w:hAnsiTheme="majorBidi" w:cstheme="majorBidi" w:hint="cs"/>
          <w:rtl/>
        </w:rPr>
        <w:t>"ק</w:t>
      </w:r>
      <w:proofErr w:type="spellEnd"/>
      <w:r w:rsidRPr="00F45D65">
        <w:rPr>
          <w:rFonts w:asciiTheme="majorBidi" w:hAnsiTheme="majorBidi" w:cstheme="majorBidi"/>
          <w:rtl/>
        </w:rPr>
        <w:t xml:space="preserve"> ג).</w:t>
      </w:r>
    </w:p>
  </w:footnote>
  <w:footnote w:id="23">
    <w:p w14:paraId="58D6B440" w14:textId="77777777" w:rsidR="005D4F37" w:rsidRPr="00C55D67" w:rsidRDefault="005D4F37" w:rsidP="005D4F37">
      <w:pPr>
        <w:spacing w:after="0" w:line="360" w:lineRule="auto"/>
        <w:rPr>
          <w:rFonts w:asciiTheme="majorBidi" w:hAnsiTheme="majorBidi" w:cstheme="majorBidi"/>
          <w:sz w:val="20"/>
          <w:szCs w:val="20"/>
          <w:rtl/>
        </w:rPr>
      </w:pPr>
      <w:r>
        <w:rPr>
          <w:rStyle w:val="a5"/>
        </w:rPr>
        <w:footnoteRef/>
      </w:r>
      <w:r>
        <w:rPr>
          <w:rtl/>
        </w:rPr>
        <w:t xml:space="preserve"> </w:t>
      </w:r>
      <w:r w:rsidRPr="00C55D67">
        <w:rPr>
          <w:rFonts w:asciiTheme="majorBidi" w:hAnsiTheme="majorBidi" w:cs="Times New Roman"/>
          <w:sz w:val="20"/>
          <w:szCs w:val="20"/>
          <w:rtl/>
        </w:rPr>
        <w:t>ערוך השולחן יו</w:t>
      </w:r>
      <w:r>
        <w:rPr>
          <w:rFonts w:asciiTheme="majorBidi" w:hAnsiTheme="majorBidi" w:cs="Times New Roman" w:hint="cs"/>
          <w:sz w:val="20"/>
          <w:szCs w:val="20"/>
          <w:rtl/>
        </w:rPr>
        <w:t>"ד</w:t>
      </w:r>
      <w:r w:rsidRPr="00C55D67">
        <w:rPr>
          <w:rFonts w:asciiTheme="majorBidi" w:hAnsiTheme="majorBidi" w:cs="Times New Roman"/>
          <w:sz w:val="20"/>
          <w:szCs w:val="20"/>
          <w:rtl/>
        </w:rPr>
        <w:t xml:space="preserve"> טז</w:t>
      </w:r>
      <w:r w:rsidRPr="00C55D67">
        <w:rPr>
          <w:rFonts w:asciiTheme="majorBidi" w:hAnsiTheme="majorBidi" w:cstheme="majorBidi" w:hint="cs"/>
          <w:sz w:val="20"/>
          <w:szCs w:val="20"/>
          <w:rtl/>
        </w:rPr>
        <w:t xml:space="preserve"> סעיף יד</w:t>
      </w:r>
      <w:r>
        <w:rPr>
          <w:rFonts w:asciiTheme="majorBidi" w:hAnsiTheme="majorBidi" w:cstheme="majorBidi" w:hint="cs"/>
          <w:sz w:val="20"/>
          <w:szCs w:val="20"/>
          <w:rtl/>
        </w:rPr>
        <w:t>.</w:t>
      </w:r>
    </w:p>
  </w:footnote>
  <w:footnote w:id="24">
    <w:p w14:paraId="3FCDF3BC" w14:textId="77777777" w:rsidR="005D4F37" w:rsidRDefault="005D4F37" w:rsidP="005D4F37">
      <w:pPr>
        <w:pStyle w:val="a3"/>
        <w:spacing w:line="360" w:lineRule="auto"/>
      </w:pPr>
      <w:r>
        <w:rPr>
          <w:rStyle w:val="a5"/>
        </w:rPr>
        <w:footnoteRef/>
      </w:r>
      <w:r>
        <w:rPr>
          <w:rtl/>
        </w:rPr>
        <w:t xml:space="preserve"> </w:t>
      </w:r>
      <w:r w:rsidRPr="006A6F20">
        <w:rPr>
          <w:rFonts w:asciiTheme="majorBidi" w:hAnsiTheme="majorBidi" w:cstheme="majorBidi"/>
          <w:rtl/>
        </w:rPr>
        <w:t xml:space="preserve">יו"ד טז, ס"ק </w:t>
      </w:r>
      <w:r>
        <w:rPr>
          <w:rFonts w:asciiTheme="majorBidi" w:hAnsiTheme="majorBidi" w:cstheme="majorBidi" w:hint="cs"/>
          <w:rtl/>
        </w:rPr>
        <w:t>ו</w:t>
      </w:r>
      <w:r w:rsidRPr="006A6F20">
        <w:rPr>
          <w:rFonts w:asciiTheme="majorBidi" w:hAnsiTheme="majorBidi" w:cstheme="majorBidi"/>
          <w:rtl/>
        </w:rPr>
        <w:t>.</w:t>
      </w:r>
    </w:p>
  </w:footnote>
  <w:footnote w:id="25">
    <w:p w14:paraId="5B0C5022" w14:textId="77777777" w:rsidR="005D4F37" w:rsidRPr="00432601" w:rsidRDefault="005D4F37" w:rsidP="005D4F37">
      <w:pPr>
        <w:pStyle w:val="a3"/>
        <w:spacing w:line="360" w:lineRule="auto"/>
        <w:rPr>
          <w:rFonts w:asciiTheme="majorBidi" w:hAnsiTheme="majorBidi" w:cstheme="majorBidi"/>
          <w:rtl/>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וזו סיבה נוספת לאסור גם לאחרים (יד יהודה, מובא בבירור הלכה).</w:t>
      </w:r>
    </w:p>
  </w:footnote>
  <w:footnote w:id="26">
    <w:p w14:paraId="026B0438" w14:textId="77777777" w:rsidR="005D4F37" w:rsidRPr="00432601" w:rsidRDefault="005D4F37" w:rsidP="005D4F37">
      <w:pPr>
        <w:pStyle w:val="a3"/>
        <w:spacing w:line="360" w:lineRule="auto"/>
        <w:rPr>
          <w:rFonts w:asciiTheme="majorBidi" w:hAnsiTheme="majorBidi" w:cstheme="majorBidi"/>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פרי חדש.</w:t>
      </w:r>
    </w:p>
  </w:footnote>
  <w:footnote w:id="27">
    <w:p w14:paraId="5E8D7FFB" w14:textId="77777777" w:rsidR="005D4F37" w:rsidRPr="00432601" w:rsidRDefault="005D4F37" w:rsidP="005D4F37">
      <w:pPr>
        <w:pStyle w:val="a3"/>
        <w:spacing w:line="360" w:lineRule="auto"/>
        <w:rPr>
          <w:rFonts w:asciiTheme="majorBidi" w:hAnsiTheme="majorBidi" w:cstheme="majorBidi"/>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'דעת תורה' ס"ק ד.</w:t>
      </w:r>
    </w:p>
  </w:footnote>
  <w:footnote w:id="28">
    <w:p w14:paraId="75739D65" w14:textId="77777777" w:rsidR="005D4F37" w:rsidRPr="00432601" w:rsidRDefault="005D4F37" w:rsidP="005D4F37">
      <w:pPr>
        <w:pStyle w:val="a3"/>
        <w:spacing w:line="360" w:lineRule="auto"/>
        <w:rPr>
          <w:rFonts w:asciiTheme="majorBidi" w:hAnsiTheme="majorBidi" w:cstheme="majorBidi"/>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דרכי תשובה ס"ק ח.</w:t>
      </w:r>
    </w:p>
  </w:footnote>
  <w:footnote w:id="29">
    <w:p w14:paraId="6F6A1B08" w14:textId="77777777" w:rsidR="005D4F37" w:rsidRPr="001A34CD" w:rsidRDefault="005D4F37" w:rsidP="005D4F37">
      <w:pPr>
        <w:pStyle w:val="a3"/>
        <w:rPr>
          <w:rFonts w:asciiTheme="majorBidi" w:hAnsiTheme="majorBidi" w:cstheme="majorBidi"/>
          <w:rtl/>
        </w:rPr>
      </w:pPr>
      <w:r w:rsidRPr="001A34CD">
        <w:rPr>
          <w:rStyle w:val="a5"/>
          <w:rFonts w:asciiTheme="majorBidi" w:hAnsiTheme="majorBidi" w:cstheme="majorBidi"/>
        </w:rPr>
        <w:footnoteRef/>
      </w:r>
      <w:r w:rsidRPr="001A34CD">
        <w:rPr>
          <w:rFonts w:asciiTheme="majorBidi" w:hAnsiTheme="majorBidi" w:cstheme="majorBidi"/>
          <w:rtl/>
        </w:rPr>
        <w:t xml:space="preserve"> </w:t>
      </w:r>
      <w:r>
        <w:rPr>
          <w:rFonts w:asciiTheme="majorBidi" w:hAnsiTheme="majorBidi" w:cstheme="majorBidi"/>
          <w:rtl/>
        </w:rPr>
        <w:t>רמב"ם</w:t>
      </w:r>
      <w:r w:rsidRPr="001A34CD">
        <w:rPr>
          <w:rFonts w:asciiTheme="majorBidi" w:hAnsiTheme="majorBidi" w:cstheme="majorBidi"/>
          <w:rtl/>
        </w:rPr>
        <w:t xml:space="preserve"> שחיטה פרק יב הלכה א</w:t>
      </w:r>
      <w:r>
        <w:rPr>
          <w:rFonts w:asciiTheme="majorBidi" w:hAnsiTheme="majorBidi" w:cstheme="majorBidi" w:hint="cs"/>
          <w:rtl/>
        </w:rPr>
        <w:t>.</w:t>
      </w:r>
    </w:p>
  </w:footnote>
  <w:footnote w:id="30">
    <w:p w14:paraId="549BFF1C" w14:textId="77777777" w:rsidR="005D4F37" w:rsidRPr="00432601" w:rsidRDefault="005D4F37" w:rsidP="005D4F37">
      <w:pPr>
        <w:spacing w:after="0" w:line="360" w:lineRule="auto"/>
        <w:rPr>
          <w:rFonts w:asciiTheme="majorBidi" w:hAnsiTheme="majorBidi" w:cstheme="majorBidi"/>
          <w:sz w:val="20"/>
          <w:szCs w:val="20"/>
        </w:rPr>
      </w:pPr>
      <w:r w:rsidRPr="00432601">
        <w:rPr>
          <w:rStyle w:val="a5"/>
          <w:sz w:val="20"/>
          <w:szCs w:val="20"/>
        </w:rPr>
        <w:footnoteRef/>
      </w:r>
      <w:r w:rsidRPr="00432601">
        <w:rPr>
          <w:sz w:val="20"/>
          <w:szCs w:val="20"/>
          <w:rtl/>
        </w:rPr>
        <w:t xml:space="preserve"> </w:t>
      </w:r>
      <w:r w:rsidRPr="00432601">
        <w:rPr>
          <w:rFonts w:asciiTheme="majorBidi" w:hAnsiTheme="majorBidi" w:cs="Times New Roman"/>
          <w:sz w:val="20"/>
          <w:szCs w:val="20"/>
          <w:rtl/>
        </w:rPr>
        <w:t>שו</w:t>
      </w:r>
      <w:r>
        <w:rPr>
          <w:rFonts w:asciiTheme="majorBidi" w:hAnsiTheme="majorBidi" w:cs="Times New Roman" w:hint="cs"/>
          <w:sz w:val="20"/>
          <w:szCs w:val="20"/>
          <w:rtl/>
        </w:rPr>
        <w:t>"ע</w:t>
      </w:r>
      <w:r w:rsidRPr="00432601">
        <w:rPr>
          <w:rFonts w:asciiTheme="majorBidi" w:hAnsiTheme="majorBidi" w:cs="Times New Roman"/>
          <w:sz w:val="20"/>
          <w:szCs w:val="20"/>
          <w:rtl/>
        </w:rPr>
        <w:t xml:space="preserve"> </w:t>
      </w:r>
      <w:r w:rsidRPr="00432601">
        <w:rPr>
          <w:rFonts w:asciiTheme="majorBidi" w:hAnsiTheme="majorBidi" w:cs="Times New Roman" w:hint="cs"/>
          <w:sz w:val="20"/>
          <w:szCs w:val="20"/>
          <w:rtl/>
        </w:rPr>
        <w:t xml:space="preserve">ורמ"א </w:t>
      </w:r>
      <w:r>
        <w:rPr>
          <w:rFonts w:asciiTheme="majorBidi" w:hAnsiTheme="majorBidi" w:cs="Times New Roman" w:hint="cs"/>
          <w:sz w:val="20"/>
          <w:szCs w:val="20"/>
          <w:rtl/>
        </w:rPr>
        <w:t>יו"ד</w:t>
      </w:r>
      <w:r w:rsidRPr="00432601">
        <w:rPr>
          <w:rFonts w:asciiTheme="majorBidi" w:hAnsiTheme="majorBidi" w:cs="Times New Roman"/>
          <w:sz w:val="20"/>
          <w:szCs w:val="20"/>
          <w:rtl/>
        </w:rPr>
        <w:t xml:space="preserve">  טז</w:t>
      </w:r>
      <w:r w:rsidRPr="00432601">
        <w:rPr>
          <w:rFonts w:asciiTheme="majorBidi" w:hAnsiTheme="majorBidi" w:cstheme="majorBidi" w:hint="cs"/>
          <w:sz w:val="20"/>
          <w:szCs w:val="20"/>
          <w:rtl/>
        </w:rPr>
        <w:t xml:space="preserve"> סעיף ג</w:t>
      </w:r>
      <w:r>
        <w:rPr>
          <w:rFonts w:asciiTheme="majorBidi" w:hAnsiTheme="majorBidi" w:cstheme="majorBidi" w:hint="cs"/>
          <w:sz w:val="20"/>
          <w:szCs w:val="20"/>
          <w:rtl/>
        </w:rPr>
        <w:t>.</w:t>
      </w:r>
    </w:p>
  </w:footnote>
  <w:footnote w:id="31">
    <w:p w14:paraId="7F96C317" w14:textId="77777777" w:rsidR="005D4F37" w:rsidRPr="00432601" w:rsidRDefault="005D4F37" w:rsidP="005D4F37">
      <w:pPr>
        <w:pStyle w:val="a3"/>
        <w:spacing w:line="360" w:lineRule="auto"/>
        <w:rPr>
          <w:rFonts w:asciiTheme="majorBidi" w:hAnsiTheme="majorBidi" w:cstheme="majorBidi"/>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כנסת הגדולה.</w:t>
      </w:r>
    </w:p>
  </w:footnote>
  <w:footnote w:id="32">
    <w:p w14:paraId="55C7351A" w14:textId="77777777" w:rsidR="005D4F37" w:rsidRPr="00432601" w:rsidRDefault="005D4F37" w:rsidP="005D4F37">
      <w:pPr>
        <w:pStyle w:val="a3"/>
        <w:spacing w:line="360" w:lineRule="auto"/>
        <w:rPr>
          <w:rFonts w:asciiTheme="majorBidi" w:hAnsiTheme="majorBidi" w:cstheme="majorBidi"/>
          <w:rtl/>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חיד"א.</w:t>
      </w:r>
    </w:p>
  </w:footnote>
  <w:footnote w:id="33">
    <w:p w14:paraId="564D0813" w14:textId="77777777" w:rsidR="005D4F37" w:rsidRPr="00432601" w:rsidRDefault="005D4F37" w:rsidP="005D4F37">
      <w:pPr>
        <w:pStyle w:val="a3"/>
        <w:spacing w:line="360" w:lineRule="auto"/>
        <w:rPr>
          <w:rFonts w:asciiTheme="majorBidi" w:hAnsiTheme="majorBidi" w:cstheme="majorBidi"/>
        </w:rPr>
      </w:pPr>
      <w:r w:rsidRPr="00432601">
        <w:rPr>
          <w:rStyle w:val="a5"/>
          <w:rFonts w:asciiTheme="majorBidi" w:hAnsiTheme="majorBidi" w:cstheme="majorBidi"/>
        </w:rPr>
        <w:footnoteRef/>
      </w:r>
      <w:r w:rsidRPr="00432601">
        <w:rPr>
          <w:rFonts w:asciiTheme="majorBidi" w:hAnsiTheme="majorBidi" w:cstheme="majorBidi"/>
          <w:rtl/>
        </w:rPr>
        <w:t xml:space="preserve"> </w:t>
      </w:r>
      <w:r w:rsidRPr="00432601">
        <w:rPr>
          <w:rFonts w:asciiTheme="majorBidi" w:hAnsiTheme="majorBidi" w:cstheme="majorBidi"/>
          <w:rtl/>
        </w:rPr>
        <w:t>בירור הלכה</w:t>
      </w:r>
      <w:r>
        <w:rPr>
          <w:rFonts w:asciiTheme="majorBidi" w:hAnsiTheme="majorBidi" w:cstheme="majorBidi"/>
          <w:rtl/>
        </w:rPr>
        <w:t xml:space="preserve"> </w:t>
      </w:r>
      <w:r w:rsidRPr="00432601">
        <w:rPr>
          <w:rFonts w:asciiTheme="majorBidi" w:hAnsiTheme="majorBidi" w:cstheme="majorBidi"/>
          <w:rtl/>
        </w:rPr>
        <w:t>עח</w:t>
      </w:r>
      <w:r>
        <w:rPr>
          <w:rFonts w:asciiTheme="majorBidi" w:hAnsiTheme="majorBidi" w:cstheme="majorBidi" w:hint="cs"/>
          <w:rtl/>
        </w:rPr>
        <w:t xml:space="preserve">, </w:t>
      </w:r>
      <w:r w:rsidRPr="00432601">
        <w:rPr>
          <w:rFonts w:asciiTheme="majorBidi" w:hAnsiTheme="majorBidi" w:cstheme="majorBidi"/>
          <w:rtl/>
        </w:rPr>
        <w:t>א</w:t>
      </w:r>
      <w:r>
        <w:rPr>
          <w:rFonts w:asciiTheme="majorBidi" w:hAnsiTheme="majorBidi" w:cstheme="majorBidi" w:hint="cs"/>
          <w:rtl/>
        </w:rPr>
        <w:t xml:space="preserve">. </w:t>
      </w:r>
      <w:r w:rsidRPr="00432601">
        <w:rPr>
          <w:rFonts w:asciiTheme="majorBidi" w:hAnsiTheme="majorBidi" w:cstheme="majorBidi"/>
          <w:rtl/>
        </w:rPr>
        <w:t>כמעט כל דבר</w:t>
      </w:r>
      <w:r>
        <w:rPr>
          <w:rFonts w:asciiTheme="majorBidi" w:hAnsiTheme="majorBidi" w:cstheme="majorBidi" w:hint="cs"/>
          <w:rtl/>
        </w:rPr>
        <w:t>י</w:t>
      </w:r>
      <w:r w:rsidRPr="00432601">
        <w:rPr>
          <w:rFonts w:asciiTheme="majorBidi" w:hAnsiTheme="majorBidi" w:cstheme="majorBidi"/>
          <w:rtl/>
        </w:rPr>
        <w:t>נו בסעיף זה לקוח</w:t>
      </w:r>
      <w:r>
        <w:rPr>
          <w:rFonts w:asciiTheme="majorBidi" w:hAnsiTheme="majorBidi" w:cstheme="majorBidi" w:hint="cs"/>
          <w:rtl/>
        </w:rPr>
        <w:t>ים</w:t>
      </w:r>
      <w:r w:rsidRPr="00432601">
        <w:rPr>
          <w:rFonts w:asciiTheme="majorBidi" w:hAnsiTheme="majorBidi" w:cstheme="majorBidi"/>
          <w:rtl/>
        </w:rPr>
        <w:t xml:space="preserve"> משם.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1DD2"/>
    <w:multiLevelType w:val="hybridMultilevel"/>
    <w:tmpl w:val="ADDA33E0"/>
    <w:lvl w:ilvl="0" w:tplc="14287F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37"/>
    <w:rsid w:val="002A32D5"/>
    <w:rsid w:val="005A4DA5"/>
    <w:rsid w:val="005D4F37"/>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3B5"/>
  <w15:chartTrackingRefBased/>
  <w15:docId w15:val="{69D72A63-119F-4410-8FF0-DACF1A0A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F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D4F37"/>
    <w:pPr>
      <w:spacing w:after="0" w:line="240" w:lineRule="auto"/>
    </w:pPr>
    <w:rPr>
      <w:sz w:val="20"/>
      <w:szCs w:val="20"/>
    </w:rPr>
  </w:style>
  <w:style w:type="character" w:customStyle="1" w:styleId="a4">
    <w:name w:val="טקסט הערת שוליים תו"/>
    <w:basedOn w:val="a0"/>
    <w:link w:val="a3"/>
    <w:uiPriority w:val="99"/>
    <w:rsid w:val="005D4F37"/>
    <w:rPr>
      <w:sz w:val="20"/>
      <w:szCs w:val="20"/>
    </w:rPr>
  </w:style>
  <w:style w:type="character" w:styleId="a5">
    <w:name w:val="footnote reference"/>
    <w:basedOn w:val="a0"/>
    <w:uiPriority w:val="99"/>
    <w:semiHidden/>
    <w:unhideWhenUsed/>
    <w:rsid w:val="005D4F37"/>
    <w:rPr>
      <w:vertAlign w:val="superscript"/>
    </w:rPr>
  </w:style>
  <w:style w:type="paragraph" w:styleId="a6">
    <w:name w:val="List Paragraph"/>
    <w:basedOn w:val="a"/>
    <w:uiPriority w:val="34"/>
    <w:qFormat/>
    <w:rsid w:val="005D4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3778</Characters>
  <Application>Microsoft Office Word</Application>
  <DocSecurity>0</DocSecurity>
  <Lines>31</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2026-03-16T12:11:00Z</dcterms:created>
  <dcterms:modified xsi:type="dcterms:W3CDTF">2026-03-16T12:11:00Z</dcterms:modified>
</cp:coreProperties>
</file>