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0C8" w:rsidRPr="00EC33C6" w:rsidRDefault="00B45A22" w:rsidP="00EC33C6">
      <w:pPr>
        <w:rPr>
          <w:b/>
          <w:bCs/>
          <w:rtl/>
        </w:rPr>
      </w:pPr>
      <w:r w:rsidRPr="001250C8">
        <w:rPr>
          <w:rFonts w:hint="cs"/>
          <w:rtl/>
        </w:rPr>
        <w:t>בס"ד</w:t>
      </w:r>
      <w:r w:rsidR="007411E9">
        <w:rPr>
          <w:rFonts w:hint="cs"/>
          <w:rtl/>
        </w:rPr>
        <w:t xml:space="preserve">, </w:t>
      </w:r>
      <w:r w:rsidR="00EC33C6">
        <w:rPr>
          <w:rFonts w:hint="cs"/>
          <w:rtl/>
        </w:rPr>
        <w:t xml:space="preserve">מוצאי שבת קודש נצבים-וילך תשפ"ו; </w:t>
      </w:r>
      <w:r w:rsidR="00EC33C6">
        <w:rPr>
          <w:rFonts w:hint="cs"/>
          <w:b/>
          <w:bCs/>
          <w:rtl/>
        </w:rPr>
        <w:t xml:space="preserve">במוצאי מנוחה </w:t>
      </w:r>
      <w:proofErr w:type="spellStart"/>
      <w:r w:rsidR="00EC33C6">
        <w:rPr>
          <w:rFonts w:hint="cs"/>
          <w:b/>
          <w:bCs/>
          <w:rtl/>
        </w:rPr>
        <w:t>קדמנוך</w:t>
      </w:r>
      <w:proofErr w:type="spellEnd"/>
      <w:r w:rsidR="00EC33C6">
        <w:rPr>
          <w:rFonts w:hint="cs"/>
          <w:b/>
          <w:bCs/>
          <w:rtl/>
        </w:rPr>
        <w:t xml:space="preserve"> תחילה</w:t>
      </w:r>
    </w:p>
    <w:p w:rsidR="000E48F1" w:rsidRDefault="000E48F1" w:rsidP="00F2404F">
      <w:pPr>
        <w:pStyle w:val="a3"/>
        <w:rPr>
          <w:sz w:val="20"/>
          <w:szCs w:val="24"/>
          <w:u w:val="none"/>
          <w:rtl/>
        </w:rPr>
      </w:pPr>
    </w:p>
    <w:p w:rsidR="00C87C13" w:rsidRPr="00C87C13" w:rsidRDefault="00C87C13" w:rsidP="00F2404F">
      <w:pPr>
        <w:pStyle w:val="a3"/>
        <w:rPr>
          <w:sz w:val="20"/>
          <w:szCs w:val="24"/>
          <w:u w:val="none"/>
          <w:rtl/>
        </w:rPr>
      </w:pPr>
      <w:r w:rsidRPr="00C87C13">
        <w:rPr>
          <w:rFonts w:hint="cs"/>
          <w:sz w:val="20"/>
          <w:szCs w:val="24"/>
          <w:u w:val="none"/>
          <w:rtl/>
        </w:rPr>
        <w:t xml:space="preserve">סיום פרק "העור והרוטב", וסוגיות טומאת </w:t>
      </w:r>
      <w:proofErr w:type="spellStart"/>
      <w:r w:rsidRPr="00C87C13">
        <w:rPr>
          <w:rFonts w:hint="cs"/>
          <w:sz w:val="20"/>
          <w:szCs w:val="24"/>
          <w:u w:val="none"/>
          <w:rtl/>
        </w:rPr>
        <w:t>אוכלין</w:t>
      </w:r>
      <w:proofErr w:type="spellEnd"/>
    </w:p>
    <w:p w:rsidR="007411E9" w:rsidRDefault="000E48F1" w:rsidP="00F2404F">
      <w:pPr>
        <w:pStyle w:val="a3"/>
        <w:rPr>
          <w:rtl/>
        </w:rPr>
      </w:pPr>
      <w:r>
        <w:rPr>
          <w:rFonts w:hint="cs"/>
          <w:rtl/>
        </w:rPr>
        <w:t>טומאה וטהרה: איסור, מצוה וקדושה</w:t>
      </w:r>
    </w:p>
    <w:p w:rsidR="00F2404F" w:rsidRPr="000E48F1" w:rsidRDefault="00F2404F" w:rsidP="00F73C37">
      <w:pPr>
        <w:pStyle w:val="a8"/>
        <w:numPr>
          <w:ilvl w:val="0"/>
          <w:numId w:val="1"/>
        </w:numPr>
        <w:ind w:left="360"/>
        <w:rPr>
          <w:sz w:val="24"/>
          <w:rtl/>
        </w:rPr>
      </w:pPr>
      <w:r w:rsidRPr="000E48F1">
        <w:rPr>
          <w:rFonts w:hint="cs"/>
          <w:b/>
          <w:bCs/>
          <w:sz w:val="24"/>
          <w:rtl/>
        </w:rPr>
        <w:t>שלהי הקדמת הרמב"ם לפירוש מסכת כלים:</w:t>
      </w:r>
      <w:r w:rsidRPr="000E48F1">
        <w:rPr>
          <w:rFonts w:hint="cs"/>
          <w:sz w:val="24"/>
          <w:rtl/>
        </w:rPr>
        <w:t xml:space="preserve"> "</w:t>
      </w:r>
      <w:r w:rsidRPr="000E48F1">
        <w:rPr>
          <w:sz w:val="24"/>
          <w:rtl/>
        </w:rPr>
        <w:t xml:space="preserve">הנה נתבאר לך שהדבר עצמו קשה ואפילו בזמנים הקדומים, והתבונן באמרם עתידה תורה שתשתכח מישראל על שכחת דיני הטומאה והטהרה. וכן כאשר </w:t>
      </w:r>
      <w:proofErr w:type="spellStart"/>
      <w:r w:rsidRPr="000E48F1">
        <w:rPr>
          <w:sz w:val="24"/>
          <w:rtl/>
        </w:rPr>
        <w:t>צוה</w:t>
      </w:r>
      <w:proofErr w:type="spellEnd"/>
      <w:r w:rsidRPr="000E48F1">
        <w:rPr>
          <w:sz w:val="24"/>
          <w:rtl/>
        </w:rPr>
        <w:t xml:space="preserve"> ה' יתעלה את הנביא לשאול על כך אמר לו שאל נא את </w:t>
      </w:r>
      <w:proofErr w:type="spellStart"/>
      <w:r w:rsidRPr="000E48F1">
        <w:rPr>
          <w:sz w:val="24"/>
          <w:rtl/>
        </w:rPr>
        <w:t>הכהנים</w:t>
      </w:r>
      <w:proofErr w:type="spellEnd"/>
      <w:r w:rsidRPr="000E48F1">
        <w:rPr>
          <w:sz w:val="24"/>
          <w:rtl/>
        </w:rPr>
        <w:t xml:space="preserve"> תורה, הרי תורה בסתם הוא הדיון בטומאה וטהרה וידיעת משפטיהן. וכך אמרו עוד בטומאות ובטהרות הן </w:t>
      </w:r>
      <w:proofErr w:type="spellStart"/>
      <w:r w:rsidRPr="000E48F1">
        <w:rPr>
          <w:sz w:val="24"/>
          <w:rtl/>
        </w:rPr>
        <w:t>הן</w:t>
      </w:r>
      <w:proofErr w:type="spellEnd"/>
      <w:r w:rsidRPr="000E48F1">
        <w:rPr>
          <w:sz w:val="24"/>
          <w:rtl/>
        </w:rPr>
        <w:t xml:space="preserve"> גופי תורה, ומדוע לא? והן הסולם לרוח הקדש כמו שאמרו טהרה מביאה לידי קדושה </w:t>
      </w:r>
      <w:proofErr w:type="spellStart"/>
      <w:r w:rsidRPr="000E48F1">
        <w:rPr>
          <w:sz w:val="24"/>
          <w:rtl/>
        </w:rPr>
        <w:t>וכו</w:t>
      </w:r>
      <w:proofErr w:type="spellEnd"/>
      <w:r w:rsidRPr="000E48F1">
        <w:rPr>
          <w:sz w:val="24"/>
          <w:rtl/>
        </w:rPr>
        <w:t xml:space="preserve">'. והבאתי לך כל הדברים הללו כדי שלא יעלה על דעתך שהדבור </w:t>
      </w:r>
      <w:proofErr w:type="spellStart"/>
      <w:r w:rsidRPr="000E48F1">
        <w:rPr>
          <w:sz w:val="24"/>
          <w:rtl/>
        </w:rPr>
        <w:t>בענינים</w:t>
      </w:r>
      <w:proofErr w:type="spellEnd"/>
      <w:r w:rsidRPr="000E48F1">
        <w:rPr>
          <w:sz w:val="24"/>
          <w:rtl/>
        </w:rPr>
        <w:t xml:space="preserve"> אלה כמו הדבור בסוכה או לולב או בשבועת </w:t>
      </w:r>
      <w:proofErr w:type="spellStart"/>
      <w:r w:rsidRPr="000E48F1">
        <w:rPr>
          <w:sz w:val="24"/>
          <w:rtl/>
        </w:rPr>
        <w:t>השומרין</w:t>
      </w:r>
      <w:proofErr w:type="spellEnd"/>
      <w:r w:rsidRPr="000E48F1">
        <w:rPr>
          <w:sz w:val="24"/>
          <w:rtl/>
        </w:rPr>
        <w:t xml:space="preserve"> ושבועת </w:t>
      </w:r>
      <w:proofErr w:type="spellStart"/>
      <w:r w:rsidRPr="000E48F1">
        <w:rPr>
          <w:sz w:val="24"/>
          <w:rtl/>
        </w:rPr>
        <w:t>הדיינין</w:t>
      </w:r>
      <w:proofErr w:type="spellEnd"/>
      <w:r w:rsidRPr="000E48F1">
        <w:rPr>
          <w:sz w:val="24"/>
          <w:rtl/>
        </w:rPr>
        <w:t xml:space="preserve"> ותביט עליו בעיון ראשון ותדמה שכבר השגת משהו, וגם שלא יהא קל בעיניך מה שתשיג מן </w:t>
      </w:r>
      <w:proofErr w:type="spellStart"/>
      <w:r w:rsidRPr="000E48F1">
        <w:rPr>
          <w:sz w:val="24"/>
          <w:rtl/>
        </w:rPr>
        <w:t>התועליות</w:t>
      </w:r>
      <w:proofErr w:type="spellEnd"/>
      <w:r w:rsidRPr="000E48F1">
        <w:rPr>
          <w:sz w:val="24"/>
          <w:rtl/>
        </w:rPr>
        <w:t xml:space="preserve"> כאשר תשיגם</w:t>
      </w:r>
      <w:r w:rsidRPr="000E48F1">
        <w:rPr>
          <w:rFonts w:hint="cs"/>
          <w:sz w:val="24"/>
          <w:rtl/>
        </w:rPr>
        <w:t>".</w:t>
      </w:r>
    </w:p>
    <w:p w:rsidR="00F2404F" w:rsidRPr="000E48F1" w:rsidRDefault="00F2404F" w:rsidP="00F73C37">
      <w:pPr>
        <w:rPr>
          <w:sz w:val="24"/>
          <w:rtl/>
        </w:rPr>
      </w:pPr>
    </w:p>
    <w:p w:rsidR="00C44B40" w:rsidRPr="000E48F1" w:rsidRDefault="000E48F1" w:rsidP="000E48F1">
      <w:pPr>
        <w:rPr>
          <w:b/>
          <w:bCs/>
          <w:sz w:val="24"/>
          <w:u w:val="single"/>
          <w:rtl/>
        </w:rPr>
      </w:pPr>
      <w:r>
        <w:rPr>
          <w:rFonts w:hint="cs"/>
          <w:b/>
          <w:bCs/>
          <w:sz w:val="24"/>
          <w:u w:val="single"/>
          <w:rtl/>
        </w:rPr>
        <w:t>א</w:t>
      </w:r>
      <w:r w:rsidR="00C44B40" w:rsidRPr="000E48F1">
        <w:rPr>
          <w:rFonts w:hint="cs"/>
          <w:b/>
          <w:bCs/>
          <w:sz w:val="24"/>
          <w:u w:val="single"/>
          <w:rtl/>
        </w:rPr>
        <w:t xml:space="preserve">. </w:t>
      </w:r>
      <w:r w:rsidR="00EC33C6" w:rsidRPr="000E48F1">
        <w:rPr>
          <w:rFonts w:hint="cs"/>
          <w:b/>
          <w:bCs/>
          <w:sz w:val="24"/>
          <w:u w:val="single"/>
          <w:rtl/>
        </w:rPr>
        <w:t>האם יש איסור להיטמא?</w:t>
      </w:r>
    </w:p>
    <w:p w:rsidR="007411E9" w:rsidRPr="000E48F1" w:rsidRDefault="007411E9" w:rsidP="00F73C37">
      <w:pPr>
        <w:pStyle w:val="a8"/>
        <w:numPr>
          <w:ilvl w:val="0"/>
          <w:numId w:val="1"/>
        </w:numPr>
        <w:ind w:left="360"/>
        <w:rPr>
          <w:sz w:val="24"/>
          <w:rtl/>
        </w:rPr>
      </w:pPr>
      <w:r w:rsidRPr="000E48F1">
        <w:rPr>
          <w:b/>
          <w:bCs/>
          <w:sz w:val="24"/>
          <w:rtl/>
        </w:rPr>
        <w:t>ויקרא י</w:t>
      </w:r>
      <w:r w:rsidRPr="000E48F1">
        <w:rPr>
          <w:rFonts w:hint="cs"/>
          <w:b/>
          <w:bCs/>
          <w:sz w:val="24"/>
          <w:rtl/>
        </w:rPr>
        <w:t>"</w:t>
      </w:r>
      <w:r w:rsidRPr="000E48F1">
        <w:rPr>
          <w:b/>
          <w:bCs/>
          <w:sz w:val="24"/>
          <w:rtl/>
        </w:rPr>
        <w:t>א</w:t>
      </w:r>
      <w:r w:rsidRPr="000E48F1">
        <w:rPr>
          <w:rFonts w:hint="cs"/>
          <w:b/>
          <w:bCs/>
          <w:sz w:val="24"/>
          <w:rtl/>
        </w:rPr>
        <w:t xml:space="preserve"> ח':</w:t>
      </w:r>
      <w:r w:rsidRPr="000E48F1">
        <w:rPr>
          <w:rFonts w:hint="cs"/>
          <w:sz w:val="24"/>
          <w:rtl/>
        </w:rPr>
        <w:t xml:space="preserve"> "</w:t>
      </w:r>
      <w:r w:rsidRPr="000E48F1">
        <w:rPr>
          <w:sz w:val="24"/>
          <w:rtl/>
        </w:rPr>
        <w:t xml:space="preserve">מִבְּשָׂרָם לֹא תֹאכֵלוּ </w:t>
      </w:r>
      <w:proofErr w:type="spellStart"/>
      <w:r w:rsidRPr="000E48F1">
        <w:rPr>
          <w:b/>
          <w:bCs/>
          <w:sz w:val="24"/>
          <w:rtl/>
        </w:rPr>
        <w:t>וּבְנִבְלָתָם</w:t>
      </w:r>
      <w:proofErr w:type="spellEnd"/>
      <w:r w:rsidRPr="000E48F1">
        <w:rPr>
          <w:b/>
          <w:bCs/>
          <w:sz w:val="24"/>
          <w:rtl/>
        </w:rPr>
        <w:t xml:space="preserve"> לֹא תִגָּעוּ</w:t>
      </w:r>
      <w:r w:rsidRPr="000E48F1">
        <w:rPr>
          <w:sz w:val="24"/>
          <w:rtl/>
        </w:rPr>
        <w:t xml:space="preserve"> טְמֵאִים הֵם לָכֶם</w:t>
      </w:r>
      <w:r w:rsidRPr="000E48F1">
        <w:rPr>
          <w:rFonts w:hint="cs"/>
          <w:sz w:val="24"/>
          <w:rtl/>
        </w:rPr>
        <w:t>".</w:t>
      </w:r>
    </w:p>
    <w:p w:rsidR="00FE4362" w:rsidRPr="000E48F1" w:rsidRDefault="00FE4362" w:rsidP="00F73C37">
      <w:pPr>
        <w:pStyle w:val="a8"/>
        <w:numPr>
          <w:ilvl w:val="0"/>
          <w:numId w:val="1"/>
        </w:numPr>
        <w:ind w:left="360"/>
        <w:rPr>
          <w:sz w:val="24"/>
          <w:rtl/>
        </w:rPr>
      </w:pPr>
      <w:r w:rsidRPr="000E48F1">
        <w:rPr>
          <w:rFonts w:hint="cs"/>
          <w:b/>
          <w:bCs/>
          <w:sz w:val="24"/>
          <w:rtl/>
        </w:rPr>
        <w:t xml:space="preserve">פירוש רבינו </w:t>
      </w:r>
      <w:r w:rsidRPr="000E48F1">
        <w:rPr>
          <w:b/>
          <w:bCs/>
          <w:sz w:val="24"/>
          <w:rtl/>
        </w:rPr>
        <w:t xml:space="preserve">חיים פלטיאל </w:t>
      </w:r>
      <w:r w:rsidRPr="000E48F1">
        <w:rPr>
          <w:rFonts w:hint="cs"/>
          <w:b/>
          <w:bCs/>
          <w:sz w:val="24"/>
          <w:rtl/>
        </w:rPr>
        <w:t xml:space="preserve">מבעלי התוספות, שם: </w:t>
      </w:r>
      <w:r w:rsidRPr="000E48F1">
        <w:rPr>
          <w:rFonts w:hint="cs"/>
          <w:sz w:val="24"/>
          <w:rtl/>
        </w:rPr>
        <w:t>"</w:t>
      </w:r>
      <w:proofErr w:type="spellStart"/>
      <w:r w:rsidRPr="000E48F1">
        <w:rPr>
          <w:sz w:val="24"/>
          <w:rtl/>
        </w:rPr>
        <w:t>ובנבלתם</w:t>
      </w:r>
      <w:proofErr w:type="spellEnd"/>
      <w:r w:rsidRPr="000E48F1">
        <w:rPr>
          <w:sz w:val="24"/>
          <w:rtl/>
        </w:rPr>
        <w:t xml:space="preserve"> לא תגעו. </w:t>
      </w:r>
      <w:proofErr w:type="spellStart"/>
      <w:r w:rsidRPr="000E48F1">
        <w:rPr>
          <w:sz w:val="24"/>
          <w:rtl/>
        </w:rPr>
        <w:t>תימא</w:t>
      </w:r>
      <w:proofErr w:type="spellEnd"/>
      <w:r w:rsidRPr="000E48F1">
        <w:rPr>
          <w:sz w:val="24"/>
          <w:rtl/>
        </w:rPr>
        <w:t xml:space="preserve"> אם הזהיר על הנגיעה למה הוצרך להזהיר על האכילה </w:t>
      </w:r>
      <w:proofErr w:type="spellStart"/>
      <w:r w:rsidRPr="000E48F1">
        <w:rPr>
          <w:sz w:val="24"/>
          <w:rtl/>
        </w:rPr>
        <w:t>דכיון</w:t>
      </w:r>
      <w:proofErr w:type="spellEnd"/>
      <w:r w:rsidRPr="000E48F1">
        <w:rPr>
          <w:sz w:val="24"/>
          <w:rtl/>
        </w:rPr>
        <w:t xml:space="preserve"> דלא יגע היאך יאכל, ועוד </w:t>
      </w:r>
      <w:proofErr w:type="spellStart"/>
      <w:r w:rsidRPr="000E48F1">
        <w:rPr>
          <w:sz w:val="24"/>
          <w:rtl/>
        </w:rPr>
        <w:t>דכתיב</w:t>
      </w:r>
      <w:proofErr w:type="spellEnd"/>
      <w:r w:rsidRPr="000E48F1">
        <w:rPr>
          <w:sz w:val="24"/>
          <w:rtl/>
        </w:rPr>
        <w:t xml:space="preserve"> לגר אשר בשעריך </w:t>
      </w:r>
      <w:proofErr w:type="spellStart"/>
      <w:r w:rsidRPr="000E48F1">
        <w:rPr>
          <w:sz w:val="24"/>
          <w:rtl/>
        </w:rPr>
        <w:t>תתננה</w:t>
      </w:r>
      <w:proofErr w:type="spellEnd"/>
      <w:r w:rsidRPr="000E48F1">
        <w:rPr>
          <w:sz w:val="24"/>
          <w:rtl/>
        </w:rPr>
        <w:t xml:space="preserve"> ואכלה, ונתינה משמע מיד ליד א"כ היאך הזהיר על הנגיעה. וי"ל </w:t>
      </w:r>
      <w:proofErr w:type="spellStart"/>
      <w:r w:rsidRPr="000E48F1">
        <w:rPr>
          <w:sz w:val="24"/>
          <w:rtl/>
        </w:rPr>
        <w:t>דקאמר</w:t>
      </w:r>
      <w:proofErr w:type="spellEnd"/>
      <w:r w:rsidRPr="000E48F1">
        <w:rPr>
          <w:sz w:val="24"/>
          <w:rtl/>
        </w:rPr>
        <w:t xml:space="preserve"> ליה </w:t>
      </w:r>
      <w:proofErr w:type="spellStart"/>
      <w:r w:rsidRPr="000E48F1">
        <w:rPr>
          <w:sz w:val="24"/>
          <w:rtl/>
        </w:rPr>
        <w:t>עיצה</w:t>
      </w:r>
      <w:proofErr w:type="spellEnd"/>
      <w:r w:rsidRPr="000E48F1">
        <w:rPr>
          <w:sz w:val="24"/>
          <w:rtl/>
        </w:rPr>
        <w:t xml:space="preserve"> טובה </w:t>
      </w:r>
      <w:r w:rsidRPr="000E48F1">
        <w:rPr>
          <w:sz w:val="24"/>
          <w:u w:val="single"/>
          <w:rtl/>
        </w:rPr>
        <w:t>שלא יגע כדי שלא יבא לידי אכילה</w:t>
      </w:r>
      <w:r w:rsidRPr="000E48F1">
        <w:rPr>
          <w:sz w:val="24"/>
          <w:rtl/>
        </w:rPr>
        <w:t xml:space="preserve">, סחור סחור </w:t>
      </w:r>
      <w:proofErr w:type="spellStart"/>
      <w:r w:rsidRPr="000E48F1">
        <w:rPr>
          <w:sz w:val="24"/>
          <w:rtl/>
        </w:rPr>
        <w:t>לכרמא</w:t>
      </w:r>
      <w:proofErr w:type="spellEnd"/>
      <w:r w:rsidRPr="000E48F1">
        <w:rPr>
          <w:sz w:val="24"/>
          <w:rtl/>
        </w:rPr>
        <w:t xml:space="preserve"> לא תקרב</w:t>
      </w:r>
      <w:r w:rsidRPr="000E48F1">
        <w:rPr>
          <w:rFonts w:hint="cs"/>
          <w:sz w:val="24"/>
          <w:rtl/>
        </w:rPr>
        <w:t>"</w:t>
      </w:r>
      <w:r w:rsidRPr="000E48F1">
        <w:rPr>
          <w:sz w:val="24"/>
          <w:rtl/>
        </w:rPr>
        <w:t>.</w:t>
      </w:r>
    </w:p>
    <w:p w:rsidR="007411E9" w:rsidRPr="000E48F1" w:rsidRDefault="007411E9" w:rsidP="00F73C37">
      <w:pPr>
        <w:pStyle w:val="a8"/>
        <w:numPr>
          <w:ilvl w:val="0"/>
          <w:numId w:val="1"/>
        </w:numPr>
        <w:ind w:left="360"/>
        <w:rPr>
          <w:sz w:val="24"/>
          <w:rtl/>
        </w:rPr>
      </w:pPr>
      <w:r w:rsidRPr="000E48F1">
        <w:rPr>
          <w:b/>
          <w:bCs/>
          <w:sz w:val="24"/>
          <w:rtl/>
        </w:rPr>
        <w:t>רש"י</w:t>
      </w:r>
      <w:r w:rsidRPr="000E48F1">
        <w:rPr>
          <w:rFonts w:hint="cs"/>
          <w:b/>
          <w:bCs/>
          <w:sz w:val="24"/>
          <w:rtl/>
        </w:rPr>
        <w:t xml:space="preserve"> שם (וכעין זה </w:t>
      </w:r>
      <w:proofErr w:type="spellStart"/>
      <w:r w:rsidRPr="000E48F1">
        <w:rPr>
          <w:rFonts w:hint="cs"/>
          <w:b/>
          <w:bCs/>
          <w:sz w:val="24"/>
          <w:rtl/>
        </w:rPr>
        <w:t>ברשב"ם</w:t>
      </w:r>
      <w:proofErr w:type="spellEnd"/>
      <w:r w:rsidRPr="000E48F1">
        <w:rPr>
          <w:rFonts w:hint="cs"/>
          <w:b/>
          <w:bCs/>
          <w:sz w:val="24"/>
          <w:rtl/>
        </w:rPr>
        <w:t>):</w:t>
      </w:r>
      <w:r w:rsidRPr="000E48F1">
        <w:rPr>
          <w:rFonts w:hint="cs"/>
          <w:sz w:val="24"/>
          <w:rtl/>
        </w:rPr>
        <w:t xml:space="preserve"> "</w:t>
      </w:r>
      <w:proofErr w:type="spellStart"/>
      <w:r w:rsidRPr="000E48F1">
        <w:rPr>
          <w:sz w:val="24"/>
          <w:rtl/>
        </w:rPr>
        <w:t>ובנבלתם</w:t>
      </w:r>
      <w:proofErr w:type="spellEnd"/>
      <w:r w:rsidRPr="000E48F1">
        <w:rPr>
          <w:sz w:val="24"/>
          <w:rtl/>
        </w:rPr>
        <w:t xml:space="preserve"> לא תגעו - יכול </w:t>
      </w:r>
      <w:proofErr w:type="spellStart"/>
      <w:r w:rsidRPr="000E48F1">
        <w:rPr>
          <w:sz w:val="24"/>
          <w:rtl/>
        </w:rPr>
        <w:t>יהו</w:t>
      </w:r>
      <w:proofErr w:type="spellEnd"/>
      <w:r w:rsidRPr="000E48F1">
        <w:rPr>
          <w:sz w:val="24"/>
          <w:rtl/>
        </w:rPr>
        <w:t xml:space="preserve"> ישראל מוזהרים על מגע נבלה, תלמוד לומר אמור אל </w:t>
      </w:r>
      <w:proofErr w:type="spellStart"/>
      <w:r w:rsidRPr="000E48F1">
        <w:rPr>
          <w:sz w:val="24"/>
          <w:rtl/>
        </w:rPr>
        <w:t>הכהנים</w:t>
      </w:r>
      <w:proofErr w:type="spellEnd"/>
      <w:r w:rsidRPr="000E48F1">
        <w:rPr>
          <w:sz w:val="24"/>
          <w:rtl/>
        </w:rPr>
        <w:t xml:space="preserve"> וגו' (ויקרא </w:t>
      </w:r>
      <w:proofErr w:type="spellStart"/>
      <w:r w:rsidRPr="000E48F1">
        <w:rPr>
          <w:sz w:val="24"/>
          <w:rtl/>
        </w:rPr>
        <w:t>כא</w:t>
      </w:r>
      <w:proofErr w:type="spellEnd"/>
      <w:r w:rsidRPr="000E48F1">
        <w:rPr>
          <w:sz w:val="24"/>
          <w:rtl/>
        </w:rPr>
        <w:t xml:space="preserve"> א), </w:t>
      </w:r>
      <w:proofErr w:type="spellStart"/>
      <w:r w:rsidRPr="000E48F1">
        <w:rPr>
          <w:sz w:val="24"/>
          <w:rtl/>
        </w:rPr>
        <w:t>כהנים</w:t>
      </w:r>
      <w:proofErr w:type="spellEnd"/>
      <w:r w:rsidRPr="000E48F1">
        <w:rPr>
          <w:sz w:val="24"/>
          <w:rtl/>
        </w:rPr>
        <w:t xml:space="preserve"> </w:t>
      </w:r>
      <w:proofErr w:type="spellStart"/>
      <w:r w:rsidRPr="000E48F1">
        <w:rPr>
          <w:sz w:val="24"/>
          <w:rtl/>
        </w:rPr>
        <w:t>מוזהרין</w:t>
      </w:r>
      <w:proofErr w:type="spellEnd"/>
      <w:r w:rsidRPr="000E48F1">
        <w:rPr>
          <w:sz w:val="24"/>
          <w:rtl/>
        </w:rPr>
        <w:t xml:space="preserve"> ואין ישראל </w:t>
      </w:r>
      <w:proofErr w:type="spellStart"/>
      <w:r w:rsidRPr="000E48F1">
        <w:rPr>
          <w:sz w:val="24"/>
          <w:rtl/>
        </w:rPr>
        <w:t>מוזהרין</w:t>
      </w:r>
      <w:proofErr w:type="spellEnd"/>
      <w:r w:rsidRPr="000E48F1">
        <w:rPr>
          <w:sz w:val="24"/>
          <w:rtl/>
        </w:rPr>
        <w:t xml:space="preserve">. קל וחומר מעתה ומה טומאת מת חמורה, לא הזהיר בה אלא </w:t>
      </w:r>
      <w:proofErr w:type="spellStart"/>
      <w:r w:rsidRPr="000E48F1">
        <w:rPr>
          <w:sz w:val="24"/>
          <w:rtl/>
        </w:rPr>
        <w:t>כהנים</w:t>
      </w:r>
      <w:proofErr w:type="spellEnd"/>
      <w:r w:rsidRPr="000E48F1">
        <w:rPr>
          <w:sz w:val="24"/>
          <w:rtl/>
        </w:rPr>
        <w:t xml:space="preserve">, טומאת נבלה קלה לא כל שכן. </w:t>
      </w:r>
      <w:r w:rsidRPr="000E48F1">
        <w:rPr>
          <w:sz w:val="24"/>
          <w:u w:val="single"/>
          <w:rtl/>
        </w:rPr>
        <w:t>ומה תלמוד לומר לא תגעו, ברגל. זהו שאמרו חייב אדם לטהר עצמו ברגל</w:t>
      </w:r>
      <w:r w:rsidRPr="000E48F1">
        <w:rPr>
          <w:rFonts w:hint="cs"/>
          <w:sz w:val="24"/>
          <w:rtl/>
        </w:rPr>
        <w:t>".</w:t>
      </w:r>
    </w:p>
    <w:p w:rsidR="00FE4362" w:rsidRPr="000E48F1" w:rsidRDefault="00FE4362" w:rsidP="00F73C37">
      <w:pPr>
        <w:pStyle w:val="a8"/>
        <w:numPr>
          <w:ilvl w:val="0"/>
          <w:numId w:val="1"/>
        </w:numPr>
        <w:ind w:left="360"/>
        <w:rPr>
          <w:sz w:val="24"/>
          <w:rtl/>
        </w:rPr>
      </w:pPr>
      <w:r w:rsidRPr="000E48F1">
        <w:rPr>
          <w:b/>
          <w:bCs/>
          <w:sz w:val="24"/>
          <w:rtl/>
        </w:rPr>
        <w:t>רמב"ן</w:t>
      </w:r>
      <w:r w:rsidRPr="000E48F1">
        <w:rPr>
          <w:rFonts w:hint="cs"/>
          <w:b/>
          <w:bCs/>
          <w:sz w:val="24"/>
          <w:rtl/>
        </w:rPr>
        <w:t xml:space="preserve"> שם:</w:t>
      </w:r>
      <w:r w:rsidRPr="000E48F1">
        <w:rPr>
          <w:rFonts w:hint="cs"/>
          <w:sz w:val="24"/>
          <w:rtl/>
        </w:rPr>
        <w:t xml:space="preserve"> </w:t>
      </w:r>
      <w:proofErr w:type="spellStart"/>
      <w:r w:rsidRPr="000E48F1">
        <w:rPr>
          <w:sz w:val="24"/>
          <w:rtl/>
        </w:rPr>
        <w:t>ובנבלתם</w:t>
      </w:r>
      <w:proofErr w:type="spellEnd"/>
      <w:r w:rsidRPr="000E48F1">
        <w:rPr>
          <w:sz w:val="24"/>
          <w:rtl/>
        </w:rPr>
        <w:t xml:space="preserve"> לא תגעו - </w:t>
      </w:r>
      <w:r w:rsidRPr="000E48F1">
        <w:rPr>
          <w:sz w:val="24"/>
          <w:u w:val="single"/>
          <w:rtl/>
        </w:rPr>
        <w:t>אינה אזהרה</w:t>
      </w:r>
      <w:r w:rsidRPr="000E48F1">
        <w:rPr>
          <w:sz w:val="24"/>
          <w:rtl/>
        </w:rPr>
        <w:t xml:space="preserve"> לאסור לנו הנגיעה, אבל יאמר </w:t>
      </w:r>
      <w:proofErr w:type="spellStart"/>
      <w:r w:rsidRPr="000E48F1">
        <w:rPr>
          <w:sz w:val="24"/>
          <w:rtl/>
        </w:rPr>
        <w:t>ובנבלתם</w:t>
      </w:r>
      <w:proofErr w:type="spellEnd"/>
      <w:r w:rsidRPr="000E48F1">
        <w:rPr>
          <w:sz w:val="24"/>
          <w:rtl/>
        </w:rPr>
        <w:t xml:space="preserve"> לא תגעו כי טמאים הם לכם, כלומר לא תגעו בהם בלתי אם תטמאו. </w:t>
      </w:r>
      <w:proofErr w:type="spellStart"/>
      <w:r w:rsidRPr="000E48F1">
        <w:rPr>
          <w:sz w:val="24"/>
          <w:u w:val="single"/>
          <w:rtl/>
        </w:rPr>
        <w:t>והענין</w:t>
      </w:r>
      <w:proofErr w:type="spellEnd"/>
      <w:r w:rsidRPr="000E48F1">
        <w:rPr>
          <w:sz w:val="24"/>
          <w:u w:val="single"/>
          <w:rtl/>
        </w:rPr>
        <w:t>, לומר שיחשוב כל נוגע בהם שהוא טמא, ויזהר מן המקדש ומן הקדשים</w:t>
      </w:r>
      <w:r w:rsidRPr="000E48F1">
        <w:rPr>
          <w:rFonts w:hint="cs"/>
          <w:sz w:val="24"/>
          <w:rtl/>
        </w:rPr>
        <w:t xml:space="preserve">. </w:t>
      </w:r>
      <w:r w:rsidRPr="000E48F1">
        <w:rPr>
          <w:sz w:val="24"/>
          <w:rtl/>
        </w:rPr>
        <w:t xml:space="preserve">ושמא המדרש שאמרו רבותינו (תורת </w:t>
      </w:r>
      <w:proofErr w:type="spellStart"/>
      <w:r w:rsidRPr="000E48F1">
        <w:rPr>
          <w:sz w:val="24"/>
          <w:rtl/>
        </w:rPr>
        <w:t>כהנים</w:t>
      </w:r>
      <w:proofErr w:type="spellEnd"/>
      <w:r w:rsidRPr="000E48F1">
        <w:rPr>
          <w:sz w:val="24"/>
          <w:rtl/>
        </w:rPr>
        <w:t xml:space="preserve"> פרק ד ט) </w:t>
      </w:r>
      <w:proofErr w:type="spellStart"/>
      <w:r w:rsidRPr="000E48F1">
        <w:rPr>
          <w:sz w:val="24"/>
          <w:rtl/>
        </w:rPr>
        <w:t>ובנבלתם</w:t>
      </w:r>
      <w:proofErr w:type="spellEnd"/>
      <w:r w:rsidRPr="000E48F1">
        <w:rPr>
          <w:sz w:val="24"/>
          <w:rtl/>
        </w:rPr>
        <w:t xml:space="preserve"> לא תגעו, ברגל, כלומר שלא תגעו בו בשעה שאתם חפצים להיות טהורים, כי טמאים הם ולא תעלו בהם לרגל, אבל אין הנגיעה נמנעת בלאו, שאין הנוגע בנבלה ברגל מן </w:t>
      </w:r>
      <w:proofErr w:type="spellStart"/>
      <w:r w:rsidRPr="000E48F1">
        <w:rPr>
          <w:sz w:val="24"/>
          <w:rtl/>
        </w:rPr>
        <w:t>הלוקין</w:t>
      </w:r>
      <w:proofErr w:type="spellEnd"/>
      <w:r w:rsidRPr="000E48F1">
        <w:rPr>
          <w:sz w:val="24"/>
          <w:rtl/>
        </w:rPr>
        <w:t xml:space="preserve"> את הארבעים. ומה שאמרו (ר"ה </w:t>
      </w:r>
      <w:proofErr w:type="spellStart"/>
      <w:r w:rsidRPr="000E48F1">
        <w:rPr>
          <w:sz w:val="24"/>
          <w:rtl/>
        </w:rPr>
        <w:t>טז</w:t>
      </w:r>
      <w:proofErr w:type="spellEnd"/>
      <w:r w:rsidRPr="000E48F1">
        <w:rPr>
          <w:sz w:val="24"/>
          <w:rtl/>
        </w:rPr>
        <w:t xml:space="preserve"> ב) חייב אדם לטהר עצמו ברגל, מצוה מדברי סופרים, ואין בזה מן התורה עשה או לא תעשה, זולתי מצות העלייה. או שיהא </w:t>
      </w:r>
      <w:proofErr w:type="spellStart"/>
      <w:r w:rsidRPr="000E48F1">
        <w:rPr>
          <w:sz w:val="24"/>
          <w:rtl/>
        </w:rPr>
        <w:t>ובנבלתם</w:t>
      </w:r>
      <w:proofErr w:type="spellEnd"/>
      <w:r w:rsidRPr="000E48F1">
        <w:rPr>
          <w:sz w:val="24"/>
          <w:rtl/>
        </w:rPr>
        <w:t xml:space="preserve"> לא תגעו ברגל אסמכתא, כשאר </w:t>
      </w:r>
      <w:proofErr w:type="spellStart"/>
      <w:r w:rsidRPr="000E48F1">
        <w:rPr>
          <w:sz w:val="24"/>
          <w:rtl/>
        </w:rPr>
        <w:t>אסמכתות</w:t>
      </w:r>
      <w:proofErr w:type="spellEnd"/>
      <w:r w:rsidRPr="000E48F1">
        <w:rPr>
          <w:sz w:val="24"/>
          <w:rtl/>
        </w:rPr>
        <w:t xml:space="preserve"> הרבה ששנויות שם </w:t>
      </w:r>
      <w:proofErr w:type="spellStart"/>
      <w:r w:rsidRPr="000E48F1">
        <w:rPr>
          <w:sz w:val="24"/>
          <w:rtl/>
        </w:rPr>
        <w:t>בת"כ</w:t>
      </w:r>
      <w:proofErr w:type="spellEnd"/>
      <w:r w:rsidR="00C44B40" w:rsidRPr="000E48F1">
        <w:rPr>
          <w:rFonts w:hint="cs"/>
          <w:sz w:val="24"/>
          <w:rtl/>
        </w:rPr>
        <w:t>".</w:t>
      </w:r>
      <w:r w:rsidRPr="000E48F1">
        <w:rPr>
          <w:rFonts w:hint="cs"/>
          <w:sz w:val="24"/>
          <w:rtl/>
        </w:rPr>
        <w:t xml:space="preserve"> </w:t>
      </w:r>
    </w:p>
    <w:p w:rsidR="00C44B40" w:rsidRPr="000E48F1" w:rsidRDefault="00C44B40" w:rsidP="00F73C37">
      <w:pPr>
        <w:pStyle w:val="a8"/>
        <w:numPr>
          <w:ilvl w:val="0"/>
          <w:numId w:val="1"/>
        </w:numPr>
        <w:ind w:left="360"/>
        <w:rPr>
          <w:sz w:val="24"/>
          <w:rtl/>
        </w:rPr>
      </w:pPr>
      <w:r w:rsidRPr="000E48F1">
        <w:rPr>
          <w:b/>
          <w:bCs/>
          <w:sz w:val="24"/>
          <w:rtl/>
        </w:rPr>
        <w:t xml:space="preserve">רמב"ם טומאת </w:t>
      </w:r>
      <w:proofErr w:type="spellStart"/>
      <w:r w:rsidRPr="000E48F1">
        <w:rPr>
          <w:b/>
          <w:bCs/>
          <w:sz w:val="24"/>
          <w:rtl/>
        </w:rPr>
        <w:t>אוכלין</w:t>
      </w:r>
      <w:proofErr w:type="spellEnd"/>
      <w:r w:rsidRPr="000E48F1">
        <w:rPr>
          <w:rFonts w:hint="cs"/>
          <w:b/>
          <w:bCs/>
          <w:sz w:val="24"/>
          <w:rtl/>
        </w:rPr>
        <w:t>, ט"ז ח'-י':</w:t>
      </w:r>
      <w:r w:rsidRPr="000E48F1">
        <w:rPr>
          <w:rFonts w:hint="cs"/>
          <w:sz w:val="24"/>
          <w:rtl/>
        </w:rPr>
        <w:t xml:space="preserve"> "</w:t>
      </w:r>
      <w:r w:rsidRPr="000E48F1">
        <w:rPr>
          <w:sz w:val="24"/>
          <w:rtl/>
        </w:rPr>
        <w:t xml:space="preserve">כל הכתוב בתורה ובדברי קבלה מהלכות הטומאות והטהרות אינו אלא </w:t>
      </w:r>
      <w:proofErr w:type="spellStart"/>
      <w:r w:rsidRPr="000E48F1">
        <w:rPr>
          <w:sz w:val="24"/>
          <w:rtl/>
        </w:rPr>
        <w:t>לענין</w:t>
      </w:r>
      <w:proofErr w:type="spellEnd"/>
      <w:r w:rsidRPr="000E48F1">
        <w:rPr>
          <w:sz w:val="24"/>
          <w:rtl/>
        </w:rPr>
        <w:t xml:space="preserve"> מקדש וקדשיו ותרומות ומעשר שני בלבד, שהרי הזהיר את </w:t>
      </w:r>
      <w:proofErr w:type="spellStart"/>
      <w:r w:rsidRPr="000E48F1">
        <w:rPr>
          <w:sz w:val="24"/>
          <w:rtl/>
        </w:rPr>
        <w:t>הטמאין</w:t>
      </w:r>
      <w:proofErr w:type="spellEnd"/>
      <w:r w:rsidRPr="000E48F1">
        <w:rPr>
          <w:sz w:val="24"/>
          <w:rtl/>
        </w:rPr>
        <w:t xml:space="preserve"> </w:t>
      </w:r>
      <w:proofErr w:type="spellStart"/>
      <w:r w:rsidRPr="000E48F1">
        <w:rPr>
          <w:sz w:val="24"/>
          <w:rtl/>
        </w:rPr>
        <w:t>מליכנס</w:t>
      </w:r>
      <w:proofErr w:type="spellEnd"/>
      <w:r w:rsidRPr="000E48F1">
        <w:rPr>
          <w:sz w:val="24"/>
          <w:rtl/>
        </w:rPr>
        <w:t xml:space="preserve"> למקדש או לאכול קודש או תרומה ומעשר בטומאה</w:t>
      </w:r>
      <w:r w:rsidR="00477307" w:rsidRPr="000E48F1">
        <w:rPr>
          <w:rFonts w:hint="cs"/>
          <w:sz w:val="24"/>
          <w:rtl/>
        </w:rPr>
        <w:t>;</w:t>
      </w:r>
      <w:r w:rsidRPr="000E48F1">
        <w:rPr>
          <w:sz w:val="24"/>
          <w:rtl/>
        </w:rPr>
        <w:t xml:space="preserve"> </w:t>
      </w:r>
      <w:r w:rsidRPr="000E48F1">
        <w:rPr>
          <w:sz w:val="24"/>
          <w:u w:val="single"/>
          <w:rtl/>
        </w:rPr>
        <w:t>אבל החולין אין בהן איסור כלל</w:t>
      </w:r>
      <w:r w:rsidRPr="000E48F1">
        <w:rPr>
          <w:sz w:val="24"/>
          <w:rtl/>
        </w:rPr>
        <w:t xml:space="preserve">, אלא מותר לאכול חולין טמאין ולשתות משקין טמאים, הרי נאמר בתורה והבשר אשר יגע בכל טמא לא יאכל, מכלל שהחולין </w:t>
      </w:r>
      <w:proofErr w:type="spellStart"/>
      <w:r w:rsidRPr="000E48F1">
        <w:rPr>
          <w:sz w:val="24"/>
          <w:rtl/>
        </w:rPr>
        <w:t>מותרין</w:t>
      </w:r>
      <w:proofErr w:type="spellEnd"/>
      <w:r w:rsidRPr="000E48F1">
        <w:rPr>
          <w:sz w:val="24"/>
          <w:rtl/>
        </w:rPr>
        <w:t xml:space="preserve"> שאינו מדבר אלא בבשר קדשים, א"כ מפני מה נאמר הראשון שבחולין טמא והשני פסול לא שיהיה אסור באכילה אלא למנות ממנו לתרומה ולקדש שאם נגע שני של חולין בתרומה פסלה </w:t>
      </w:r>
      <w:proofErr w:type="spellStart"/>
      <w:r w:rsidRPr="000E48F1">
        <w:rPr>
          <w:sz w:val="24"/>
          <w:rtl/>
        </w:rPr>
        <w:t>ועשאה</w:t>
      </w:r>
      <w:proofErr w:type="spellEnd"/>
      <w:r w:rsidRPr="000E48F1">
        <w:rPr>
          <w:sz w:val="24"/>
          <w:rtl/>
        </w:rPr>
        <w:t xml:space="preserve"> שלישי, וכן אם נגע </w:t>
      </w:r>
      <w:proofErr w:type="spellStart"/>
      <w:r w:rsidRPr="000E48F1">
        <w:rPr>
          <w:sz w:val="24"/>
          <w:rtl/>
        </w:rPr>
        <w:t>באוכלין</w:t>
      </w:r>
      <w:proofErr w:type="spellEnd"/>
      <w:r w:rsidRPr="000E48F1">
        <w:rPr>
          <w:sz w:val="24"/>
          <w:rtl/>
        </w:rPr>
        <w:t xml:space="preserve"> של קדש טימאן </w:t>
      </w:r>
      <w:proofErr w:type="spellStart"/>
      <w:r w:rsidRPr="000E48F1">
        <w:rPr>
          <w:sz w:val="24"/>
          <w:rtl/>
        </w:rPr>
        <w:t>ועשאן</w:t>
      </w:r>
      <w:proofErr w:type="spellEnd"/>
      <w:r w:rsidRPr="000E48F1">
        <w:rPr>
          <w:sz w:val="24"/>
          <w:rtl/>
        </w:rPr>
        <w:t xml:space="preserve"> שלישי כמו שביארנו, וכן האוכל אוכל שני של חולין אם נגע בתרומה פסלה. </w:t>
      </w:r>
    </w:p>
    <w:p w:rsidR="00C44B40" w:rsidRPr="000E48F1" w:rsidRDefault="00C44B40" w:rsidP="008267D4">
      <w:pPr>
        <w:pStyle w:val="a8"/>
        <w:ind w:left="360"/>
        <w:rPr>
          <w:sz w:val="24"/>
          <w:rtl/>
        </w:rPr>
      </w:pPr>
      <w:r w:rsidRPr="000E48F1">
        <w:rPr>
          <w:sz w:val="24"/>
          <w:rtl/>
        </w:rPr>
        <w:t xml:space="preserve">כשם שמותר לאכול חולין טמאים ולשתותן כך מותר לגרום טומאה לחולין שבא"י, ויש לו לטמא את החולין </w:t>
      </w:r>
      <w:proofErr w:type="spellStart"/>
      <w:r w:rsidRPr="000E48F1">
        <w:rPr>
          <w:sz w:val="24"/>
          <w:rtl/>
        </w:rPr>
        <w:t>המתוקנין</w:t>
      </w:r>
      <w:proofErr w:type="spellEnd"/>
      <w:r w:rsidRPr="000E48F1">
        <w:rPr>
          <w:sz w:val="24"/>
          <w:rtl/>
        </w:rPr>
        <w:t xml:space="preserve"> </w:t>
      </w:r>
      <w:proofErr w:type="spellStart"/>
      <w:r w:rsidRPr="000E48F1">
        <w:rPr>
          <w:sz w:val="24"/>
          <w:rtl/>
        </w:rPr>
        <w:t>לכתחלה</w:t>
      </w:r>
      <w:proofErr w:type="spellEnd"/>
      <w:r w:rsidRPr="000E48F1">
        <w:rPr>
          <w:sz w:val="24"/>
          <w:rtl/>
        </w:rPr>
        <w:t xml:space="preserve">, וכן מותר לאדם ליגע בכל הטומאות </w:t>
      </w:r>
      <w:proofErr w:type="spellStart"/>
      <w:r w:rsidRPr="000E48F1">
        <w:rPr>
          <w:sz w:val="24"/>
          <w:rtl/>
        </w:rPr>
        <w:t>ולהתטמא</w:t>
      </w:r>
      <w:proofErr w:type="spellEnd"/>
      <w:r w:rsidRPr="000E48F1">
        <w:rPr>
          <w:sz w:val="24"/>
          <w:rtl/>
        </w:rPr>
        <w:t xml:space="preserve"> בהן, שהרי הזהיר הכתוב את בני אהרן ואת הנזיר </w:t>
      </w:r>
      <w:proofErr w:type="spellStart"/>
      <w:r w:rsidRPr="000E48F1">
        <w:rPr>
          <w:sz w:val="24"/>
          <w:rtl/>
        </w:rPr>
        <w:t>מהתטמא</w:t>
      </w:r>
      <w:proofErr w:type="spellEnd"/>
      <w:r w:rsidRPr="000E48F1">
        <w:rPr>
          <w:sz w:val="24"/>
          <w:rtl/>
        </w:rPr>
        <w:t xml:space="preserve"> במת מכלל שכל העם </w:t>
      </w:r>
      <w:proofErr w:type="spellStart"/>
      <w:r w:rsidRPr="000E48F1">
        <w:rPr>
          <w:sz w:val="24"/>
          <w:rtl/>
        </w:rPr>
        <w:t>מותרין</w:t>
      </w:r>
      <w:proofErr w:type="spellEnd"/>
      <w:r w:rsidRPr="000E48F1">
        <w:rPr>
          <w:sz w:val="24"/>
          <w:rtl/>
        </w:rPr>
        <w:t xml:space="preserve">, ושאף </w:t>
      </w:r>
      <w:proofErr w:type="spellStart"/>
      <w:r w:rsidRPr="000E48F1">
        <w:rPr>
          <w:sz w:val="24"/>
          <w:rtl/>
        </w:rPr>
        <w:t>כהנים</w:t>
      </w:r>
      <w:proofErr w:type="spellEnd"/>
      <w:r w:rsidRPr="000E48F1">
        <w:rPr>
          <w:sz w:val="24"/>
          <w:rtl/>
        </w:rPr>
        <w:t xml:space="preserve"> ונזירים </w:t>
      </w:r>
      <w:proofErr w:type="spellStart"/>
      <w:r w:rsidRPr="000E48F1">
        <w:rPr>
          <w:sz w:val="24"/>
          <w:rtl/>
        </w:rPr>
        <w:t>מותרין</w:t>
      </w:r>
      <w:proofErr w:type="spellEnd"/>
      <w:r w:rsidRPr="000E48F1">
        <w:rPr>
          <w:sz w:val="24"/>
          <w:rtl/>
        </w:rPr>
        <w:t xml:space="preserve"> </w:t>
      </w:r>
      <w:proofErr w:type="spellStart"/>
      <w:r w:rsidRPr="000E48F1">
        <w:rPr>
          <w:sz w:val="24"/>
          <w:rtl/>
        </w:rPr>
        <w:t>להתטמא</w:t>
      </w:r>
      <w:proofErr w:type="spellEnd"/>
      <w:r w:rsidRPr="000E48F1">
        <w:rPr>
          <w:sz w:val="24"/>
          <w:rtl/>
        </w:rPr>
        <w:t xml:space="preserve"> בשאר טומאות חוץ מטמא מת. </w:t>
      </w:r>
    </w:p>
    <w:p w:rsidR="00C44B40" w:rsidRPr="000E48F1" w:rsidRDefault="00C44B40" w:rsidP="008267D4">
      <w:pPr>
        <w:pStyle w:val="a8"/>
        <w:ind w:left="360"/>
        <w:rPr>
          <w:sz w:val="24"/>
          <w:rtl/>
        </w:rPr>
      </w:pPr>
      <w:r w:rsidRPr="000E48F1">
        <w:rPr>
          <w:sz w:val="24"/>
          <w:u w:val="single"/>
          <w:rtl/>
        </w:rPr>
        <w:t xml:space="preserve">כל ישראל </w:t>
      </w:r>
      <w:proofErr w:type="spellStart"/>
      <w:r w:rsidRPr="000E48F1">
        <w:rPr>
          <w:sz w:val="24"/>
          <w:u w:val="single"/>
          <w:rtl/>
        </w:rPr>
        <w:t>מוזהרין</w:t>
      </w:r>
      <w:proofErr w:type="spellEnd"/>
      <w:r w:rsidRPr="000E48F1">
        <w:rPr>
          <w:sz w:val="24"/>
          <w:u w:val="single"/>
          <w:rtl/>
        </w:rPr>
        <w:t xml:space="preserve"> להיות טהורים בכל רגל מפני שהם נכונים </w:t>
      </w:r>
      <w:proofErr w:type="spellStart"/>
      <w:r w:rsidRPr="000E48F1">
        <w:rPr>
          <w:sz w:val="24"/>
          <w:u w:val="single"/>
          <w:rtl/>
        </w:rPr>
        <w:t>ליכנס</w:t>
      </w:r>
      <w:proofErr w:type="spellEnd"/>
      <w:r w:rsidRPr="000E48F1">
        <w:rPr>
          <w:sz w:val="24"/>
          <w:u w:val="single"/>
          <w:rtl/>
        </w:rPr>
        <w:t xml:space="preserve"> במקדש ולאכול קדשים</w:t>
      </w:r>
      <w:r w:rsidRPr="000E48F1">
        <w:rPr>
          <w:sz w:val="24"/>
          <w:rtl/>
        </w:rPr>
        <w:t xml:space="preserve">, וזה שנאמר בתורה </w:t>
      </w:r>
      <w:proofErr w:type="spellStart"/>
      <w:r w:rsidRPr="000E48F1">
        <w:rPr>
          <w:sz w:val="24"/>
          <w:rtl/>
        </w:rPr>
        <w:t>ובנבלתם</w:t>
      </w:r>
      <w:proofErr w:type="spellEnd"/>
      <w:r w:rsidRPr="000E48F1">
        <w:rPr>
          <w:sz w:val="24"/>
          <w:rtl/>
        </w:rPr>
        <w:t xml:space="preserve"> לא תגעו ברגל בלבד ואם נטמא אינו לוקה אבל בשאר ימות השנה אינו מוזהר</w:t>
      </w:r>
      <w:r w:rsidRPr="000E48F1">
        <w:rPr>
          <w:rFonts w:hint="cs"/>
          <w:sz w:val="24"/>
          <w:rtl/>
        </w:rPr>
        <w:t>"</w:t>
      </w:r>
      <w:r w:rsidRPr="000E48F1">
        <w:rPr>
          <w:sz w:val="24"/>
          <w:rtl/>
        </w:rPr>
        <w:t>.</w:t>
      </w:r>
    </w:p>
    <w:p w:rsidR="00C44B40" w:rsidRPr="000E48F1" w:rsidRDefault="00C44B40" w:rsidP="00F73C37">
      <w:pPr>
        <w:rPr>
          <w:b/>
          <w:bCs/>
          <w:sz w:val="24"/>
          <w:u w:val="single"/>
          <w:rtl/>
        </w:rPr>
      </w:pPr>
    </w:p>
    <w:p w:rsidR="000E48F1" w:rsidRDefault="000E48F1">
      <w:pPr>
        <w:bidi w:val="0"/>
        <w:spacing w:after="160" w:line="259" w:lineRule="auto"/>
        <w:jc w:val="left"/>
        <w:rPr>
          <w:b/>
          <w:bCs/>
          <w:sz w:val="24"/>
          <w:u w:val="single"/>
          <w:rtl/>
        </w:rPr>
      </w:pPr>
      <w:r>
        <w:rPr>
          <w:b/>
          <w:bCs/>
          <w:sz w:val="24"/>
          <w:u w:val="single"/>
          <w:rtl/>
        </w:rPr>
        <w:br w:type="page"/>
      </w:r>
    </w:p>
    <w:p w:rsidR="00C44B40" w:rsidRPr="000E48F1" w:rsidRDefault="000E48F1" w:rsidP="000E48F1">
      <w:pPr>
        <w:rPr>
          <w:b/>
          <w:bCs/>
          <w:sz w:val="24"/>
          <w:u w:val="single"/>
          <w:rtl/>
        </w:rPr>
      </w:pPr>
      <w:r>
        <w:rPr>
          <w:rFonts w:hint="cs"/>
          <w:b/>
          <w:bCs/>
          <w:sz w:val="24"/>
          <w:u w:val="single"/>
          <w:rtl/>
        </w:rPr>
        <w:lastRenderedPageBreak/>
        <w:t>ב</w:t>
      </w:r>
      <w:r w:rsidR="00C44B40" w:rsidRPr="000E48F1">
        <w:rPr>
          <w:rFonts w:hint="cs"/>
          <w:b/>
          <w:bCs/>
          <w:sz w:val="24"/>
          <w:u w:val="single"/>
          <w:rtl/>
        </w:rPr>
        <w:t>. הפולמוס עם הקראים</w:t>
      </w:r>
    </w:p>
    <w:p w:rsidR="007411E9" w:rsidRPr="000E48F1" w:rsidRDefault="007411E9" w:rsidP="00F73C37">
      <w:pPr>
        <w:pStyle w:val="a8"/>
        <w:numPr>
          <w:ilvl w:val="0"/>
          <w:numId w:val="1"/>
        </w:numPr>
        <w:ind w:left="360"/>
        <w:rPr>
          <w:sz w:val="24"/>
          <w:rtl/>
        </w:rPr>
      </w:pPr>
      <w:r w:rsidRPr="000E48F1">
        <w:rPr>
          <w:b/>
          <w:bCs/>
          <w:sz w:val="24"/>
          <w:rtl/>
        </w:rPr>
        <w:t xml:space="preserve">אבן עזרא </w:t>
      </w:r>
      <w:r w:rsidRPr="000E48F1">
        <w:rPr>
          <w:rFonts w:hint="cs"/>
          <w:b/>
          <w:bCs/>
          <w:sz w:val="24"/>
          <w:rtl/>
        </w:rPr>
        <w:t>שם:</w:t>
      </w:r>
      <w:r w:rsidRPr="000E48F1">
        <w:rPr>
          <w:rFonts w:hint="cs"/>
          <w:sz w:val="24"/>
          <w:rtl/>
        </w:rPr>
        <w:t xml:space="preserve"> "</w:t>
      </w:r>
      <w:proofErr w:type="spellStart"/>
      <w:r w:rsidRPr="000E48F1">
        <w:rPr>
          <w:sz w:val="24"/>
          <w:rtl/>
        </w:rPr>
        <w:t>ובנבלתם</w:t>
      </w:r>
      <w:proofErr w:type="spellEnd"/>
      <w:r w:rsidRPr="000E48F1">
        <w:rPr>
          <w:sz w:val="24"/>
          <w:rtl/>
        </w:rPr>
        <w:t xml:space="preserve"> לא תגעו והכתוב לא הזכיר הנוגע שיטמא עד הערב, רק מדברי קבלה ידענו זה. </w:t>
      </w:r>
      <w:r w:rsidRPr="000E48F1">
        <w:rPr>
          <w:sz w:val="24"/>
          <w:u w:val="single"/>
          <w:rtl/>
        </w:rPr>
        <w:t>והנה הנוגע בזדון יש עליו מלקות, כי הוא עבר על ל</w:t>
      </w:r>
      <w:r w:rsidRPr="000E48F1">
        <w:rPr>
          <w:rFonts w:hint="cs"/>
          <w:sz w:val="24"/>
          <w:u w:val="single"/>
          <w:rtl/>
        </w:rPr>
        <w:t>א תעשה</w:t>
      </w:r>
      <w:r w:rsidRPr="000E48F1">
        <w:rPr>
          <w:rFonts w:hint="cs"/>
          <w:sz w:val="24"/>
          <w:rtl/>
        </w:rPr>
        <w:t xml:space="preserve">". </w:t>
      </w:r>
    </w:p>
    <w:p w:rsidR="00FE4362" w:rsidRPr="000E48F1" w:rsidRDefault="00FE4362" w:rsidP="00477307">
      <w:pPr>
        <w:pStyle w:val="a8"/>
        <w:numPr>
          <w:ilvl w:val="0"/>
          <w:numId w:val="1"/>
        </w:numPr>
        <w:ind w:left="360"/>
        <w:rPr>
          <w:sz w:val="24"/>
          <w:rtl/>
        </w:rPr>
      </w:pPr>
      <w:r w:rsidRPr="000E48F1">
        <w:rPr>
          <w:rFonts w:hint="cs"/>
          <w:b/>
          <w:bCs/>
          <w:sz w:val="24"/>
          <w:rtl/>
        </w:rPr>
        <w:t>מהדיר תורת חיים, שם:</w:t>
      </w:r>
      <w:r w:rsidRPr="000E48F1">
        <w:rPr>
          <w:rFonts w:hint="cs"/>
          <w:sz w:val="24"/>
          <w:rtl/>
        </w:rPr>
        <w:t xml:space="preserve"> "צריך עיון, </w:t>
      </w:r>
      <w:proofErr w:type="spellStart"/>
      <w:r w:rsidRPr="000E48F1">
        <w:rPr>
          <w:rFonts w:hint="cs"/>
          <w:sz w:val="24"/>
          <w:rtl/>
        </w:rPr>
        <w:t>דהא</w:t>
      </w:r>
      <w:proofErr w:type="spellEnd"/>
      <w:r w:rsidRPr="000E48F1">
        <w:rPr>
          <w:rFonts w:hint="cs"/>
          <w:sz w:val="24"/>
          <w:rtl/>
        </w:rPr>
        <w:t xml:space="preserve"> מפורש שאין ישראל מוזהרים על מגע נבלה. וגם </w:t>
      </w:r>
      <w:proofErr w:type="spellStart"/>
      <w:r w:rsidRPr="000E48F1">
        <w:rPr>
          <w:rFonts w:hint="cs"/>
          <w:sz w:val="24"/>
          <w:rtl/>
        </w:rPr>
        <w:t>ראב"ע</w:t>
      </w:r>
      <w:proofErr w:type="spellEnd"/>
      <w:r w:rsidRPr="000E48F1">
        <w:rPr>
          <w:rFonts w:hint="cs"/>
          <w:sz w:val="24"/>
          <w:rtl/>
        </w:rPr>
        <w:t xml:space="preserve"> בעצמו בספר יסוד מורא כתב ואין על הנוגע כרת או מלקות. וראה בספר תורה שלמה, שכתב </w:t>
      </w:r>
      <w:r w:rsidRPr="000E48F1">
        <w:rPr>
          <w:rFonts w:hint="cs"/>
          <w:sz w:val="24"/>
          <w:u w:val="single"/>
          <w:rtl/>
        </w:rPr>
        <w:t xml:space="preserve">שחסר כאן בדברי </w:t>
      </w:r>
      <w:proofErr w:type="spellStart"/>
      <w:r w:rsidR="00477307" w:rsidRPr="000E48F1">
        <w:rPr>
          <w:rFonts w:hint="cs"/>
          <w:sz w:val="24"/>
          <w:u w:val="single"/>
          <w:rtl/>
        </w:rPr>
        <w:t>הראב"ע</w:t>
      </w:r>
      <w:proofErr w:type="spellEnd"/>
      <w:r w:rsidR="00477307" w:rsidRPr="000E48F1">
        <w:rPr>
          <w:rFonts w:hint="cs"/>
          <w:sz w:val="24"/>
          <w:u w:val="single"/>
          <w:rtl/>
        </w:rPr>
        <w:t xml:space="preserve"> </w:t>
      </w:r>
      <w:r w:rsidRPr="000E48F1">
        <w:rPr>
          <w:rFonts w:hint="cs"/>
          <w:sz w:val="24"/>
          <w:u w:val="single"/>
          <w:rtl/>
        </w:rPr>
        <w:t>שזהו פירוש הקראים, וכוונתו לדחותו</w:t>
      </w:r>
      <w:r w:rsidRPr="000E48F1">
        <w:rPr>
          <w:rFonts w:hint="cs"/>
          <w:sz w:val="24"/>
          <w:rtl/>
        </w:rPr>
        <w:t xml:space="preserve">". </w:t>
      </w:r>
    </w:p>
    <w:p w:rsidR="00C44B40" w:rsidRPr="000E48F1" w:rsidRDefault="00C44B40" w:rsidP="00F73C37">
      <w:pPr>
        <w:pStyle w:val="a8"/>
        <w:numPr>
          <w:ilvl w:val="0"/>
          <w:numId w:val="1"/>
        </w:numPr>
        <w:ind w:left="360"/>
        <w:rPr>
          <w:sz w:val="24"/>
          <w:rtl/>
        </w:rPr>
      </w:pPr>
      <w:r w:rsidRPr="000E48F1">
        <w:rPr>
          <w:b/>
          <w:bCs/>
          <w:sz w:val="24"/>
          <w:rtl/>
        </w:rPr>
        <w:t>ספר הכוזרי</w:t>
      </w:r>
      <w:r w:rsidRPr="000E48F1">
        <w:rPr>
          <w:rFonts w:hint="cs"/>
          <w:b/>
          <w:bCs/>
          <w:sz w:val="24"/>
          <w:rtl/>
        </w:rPr>
        <w:t>, מאמר ג' מ"ח-מ"ט:</w:t>
      </w:r>
      <w:r w:rsidRPr="000E48F1">
        <w:rPr>
          <w:rFonts w:hint="cs"/>
          <w:sz w:val="24"/>
          <w:rtl/>
        </w:rPr>
        <w:t xml:space="preserve"> "</w:t>
      </w:r>
      <w:r w:rsidRPr="000E48F1">
        <w:rPr>
          <w:sz w:val="24"/>
          <w:rtl/>
        </w:rPr>
        <w:t xml:space="preserve">אמר הכוזרי: עם כל זה טוב הוא בעיני לדעת למה </w:t>
      </w:r>
      <w:proofErr w:type="spellStart"/>
      <w:r w:rsidRPr="000E48F1">
        <w:rPr>
          <w:sz w:val="24"/>
          <w:rtl/>
        </w:rPr>
        <w:t>צוה</w:t>
      </w:r>
      <w:proofErr w:type="spellEnd"/>
      <w:r w:rsidRPr="000E48F1">
        <w:rPr>
          <w:sz w:val="24"/>
          <w:rtl/>
        </w:rPr>
        <w:t xml:space="preserve"> השם השמירה מן הטומאות.</w:t>
      </w:r>
    </w:p>
    <w:p w:rsidR="00C44B40" w:rsidRPr="000E48F1" w:rsidRDefault="00C44B40" w:rsidP="008267D4">
      <w:pPr>
        <w:pStyle w:val="a8"/>
        <w:ind w:left="360"/>
        <w:rPr>
          <w:sz w:val="24"/>
          <w:rtl/>
        </w:rPr>
      </w:pPr>
      <w:r w:rsidRPr="000E48F1">
        <w:rPr>
          <w:sz w:val="24"/>
          <w:u w:val="single"/>
          <w:rtl/>
        </w:rPr>
        <w:t xml:space="preserve">אמר החבר: הטומאה והקדושה שני </w:t>
      </w:r>
      <w:proofErr w:type="spellStart"/>
      <w:r w:rsidRPr="000E48F1">
        <w:rPr>
          <w:sz w:val="24"/>
          <w:u w:val="single"/>
          <w:rtl/>
        </w:rPr>
        <w:t>ענינים</w:t>
      </w:r>
      <w:proofErr w:type="spellEnd"/>
      <w:r w:rsidRPr="000E48F1">
        <w:rPr>
          <w:sz w:val="24"/>
          <w:u w:val="single"/>
          <w:rtl/>
        </w:rPr>
        <w:t xml:space="preserve"> זה כנגד זה, לא ימצא האחד אלא </w:t>
      </w:r>
      <w:proofErr w:type="spellStart"/>
      <w:r w:rsidRPr="000E48F1">
        <w:rPr>
          <w:sz w:val="24"/>
          <w:u w:val="single"/>
          <w:rtl/>
        </w:rPr>
        <w:t>בהמצא</w:t>
      </w:r>
      <w:proofErr w:type="spellEnd"/>
      <w:r w:rsidRPr="000E48F1">
        <w:rPr>
          <w:sz w:val="24"/>
          <w:u w:val="single"/>
          <w:rtl/>
        </w:rPr>
        <w:t xml:space="preserve"> השני</w:t>
      </w:r>
      <w:r w:rsidRPr="000E48F1">
        <w:rPr>
          <w:sz w:val="24"/>
          <w:rtl/>
        </w:rPr>
        <w:t xml:space="preserve">, ומקום שאין קדושה אין טומאה, כי ענין הטומאה איננו כי אם דבר שאסר על בעליו לנגוע בדבר מדברי הקדושה ממה שהוא מקודש </w:t>
      </w:r>
      <w:proofErr w:type="spellStart"/>
      <w:r w:rsidRPr="000E48F1">
        <w:rPr>
          <w:sz w:val="24"/>
          <w:rtl/>
        </w:rPr>
        <w:t>לאלהים</w:t>
      </w:r>
      <w:proofErr w:type="spellEnd"/>
      <w:r w:rsidRPr="000E48F1">
        <w:rPr>
          <w:sz w:val="24"/>
          <w:rtl/>
        </w:rPr>
        <w:t xml:space="preserve">, כמו </w:t>
      </w:r>
      <w:proofErr w:type="spellStart"/>
      <w:r w:rsidRPr="000E48F1">
        <w:rPr>
          <w:sz w:val="24"/>
          <w:rtl/>
        </w:rPr>
        <w:t>הכהנים</w:t>
      </w:r>
      <w:proofErr w:type="spellEnd"/>
      <w:r w:rsidRPr="000E48F1">
        <w:rPr>
          <w:sz w:val="24"/>
          <w:rtl/>
        </w:rPr>
        <w:t xml:space="preserve"> ומאכלם ומלבושם והתרומות והקרבנות ובית המקדש וזולת זה הרבה. וכן ענין הקדושה דבר שאסר על בעליו לנגוע בדברים רבים ידועים ומפורסמים, ור</w:t>
      </w:r>
      <w:r w:rsidRPr="000E48F1">
        <w:rPr>
          <w:rFonts w:hint="cs"/>
          <w:sz w:val="24"/>
          <w:rtl/>
        </w:rPr>
        <w:t>ו</w:t>
      </w:r>
      <w:r w:rsidRPr="000E48F1">
        <w:rPr>
          <w:sz w:val="24"/>
          <w:rtl/>
        </w:rPr>
        <w:t>ב מהם תלויים במעמד השכינה, וכבר חסרנו אותה, ומה שאצלנו היום מאיסור שכיבת הנדה והיולדת, אינו מפני הטומאה אבל היא מצוה גרידה מאת הבורא</w:t>
      </w:r>
      <w:r w:rsidRPr="000E48F1">
        <w:rPr>
          <w:rFonts w:hint="cs"/>
          <w:sz w:val="24"/>
          <w:rtl/>
        </w:rPr>
        <w:t xml:space="preserve"> ...</w:t>
      </w:r>
      <w:r w:rsidRPr="000E48F1">
        <w:rPr>
          <w:sz w:val="24"/>
          <w:rtl/>
        </w:rPr>
        <w:t xml:space="preserve"> וכן אסורה עלינו הנבלה ולא מפני טומאתה אבל מצוה גרידא באיסור הנבלה, ותנאי הטומאה תוספת, ולולא שאמרו: עזרא תקן טבילה לבעלי קריין, לא היינו חייבין בה חובת התורה אך חיוב טהרה ונקיות</w:t>
      </w:r>
      <w:r w:rsidRPr="000E48F1">
        <w:rPr>
          <w:rFonts w:hint="cs"/>
          <w:sz w:val="24"/>
          <w:rtl/>
        </w:rPr>
        <w:t xml:space="preserve"> ... </w:t>
      </w:r>
      <w:r w:rsidRPr="000E48F1">
        <w:rPr>
          <w:sz w:val="24"/>
          <w:rtl/>
        </w:rPr>
        <w:t xml:space="preserve">ואם לא היו המצות אצלנו קשורות </w:t>
      </w:r>
      <w:proofErr w:type="spellStart"/>
      <w:r w:rsidRPr="000E48F1">
        <w:rPr>
          <w:sz w:val="24"/>
          <w:rtl/>
        </w:rPr>
        <w:t>בגבולים</w:t>
      </w:r>
      <w:proofErr w:type="spellEnd"/>
      <w:r w:rsidRPr="000E48F1">
        <w:rPr>
          <w:sz w:val="24"/>
          <w:rtl/>
        </w:rPr>
        <w:t xml:space="preserve"> שלא יעברום, לא היה מובטח מהכנס בה מה שאין ממנה</w:t>
      </w:r>
      <w:r w:rsidRPr="000E48F1">
        <w:rPr>
          <w:sz w:val="24"/>
          <w:u w:val="single"/>
          <w:rtl/>
        </w:rPr>
        <w:t>, ויוצא ממנה קצת מה שיש בה</w:t>
      </w:r>
      <w:r w:rsidRPr="000E48F1">
        <w:rPr>
          <w:rFonts w:hint="cs"/>
          <w:sz w:val="24"/>
          <w:u w:val="single"/>
          <w:rtl/>
        </w:rPr>
        <w:t xml:space="preserve"> ... בעיני הקראים ... </w:t>
      </w:r>
      <w:r w:rsidRPr="000E48F1">
        <w:rPr>
          <w:sz w:val="24"/>
          <w:u w:val="single"/>
          <w:rtl/>
        </w:rPr>
        <w:t xml:space="preserve">על כן לא תהלך אחר סברתך והקשתך בתולדות המצות, פן </w:t>
      </w:r>
      <w:proofErr w:type="spellStart"/>
      <w:r w:rsidRPr="000E48F1">
        <w:rPr>
          <w:sz w:val="24"/>
          <w:u w:val="single"/>
          <w:rtl/>
        </w:rPr>
        <w:t>תפול</w:t>
      </w:r>
      <w:proofErr w:type="spellEnd"/>
      <w:r w:rsidRPr="000E48F1">
        <w:rPr>
          <w:sz w:val="24"/>
          <w:u w:val="single"/>
          <w:rtl/>
        </w:rPr>
        <w:t xml:space="preserve"> בספקות יביאוך למינות, ולא תסכים דעתך עם חבריך בדבר מהם, כי לכל אחד מבני אדם </w:t>
      </w:r>
      <w:proofErr w:type="spellStart"/>
      <w:r w:rsidRPr="000E48F1">
        <w:rPr>
          <w:sz w:val="24"/>
          <w:u w:val="single"/>
          <w:rtl/>
        </w:rPr>
        <w:t>סברא</w:t>
      </w:r>
      <w:proofErr w:type="spellEnd"/>
      <w:r w:rsidRPr="000E48F1">
        <w:rPr>
          <w:sz w:val="24"/>
          <w:u w:val="single"/>
          <w:rtl/>
        </w:rPr>
        <w:t xml:space="preserve"> והקשה</w:t>
      </w:r>
      <w:r w:rsidRPr="000E48F1">
        <w:rPr>
          <w:rFonts w:hint="cs"/>
          <w:sz w:val="24"/>
          <w:rtl/>
        </w:rPr>
        <w:t>"</w:t>
      </w:r>
      <w:r w:rsidRPr="000E48F1">
        <w:rPr>
          <w:sz w:val="24"/>
          <w:rtl/>
        </w:rPr>
        <w:t>.</w:t>
      </w:r>
    </w:p>
    <w:p w:rsidR="00C44B40" w:rsidRPr="000E48F1" w:rsidRDefault="00C44B40" w:rsidP="00F73C37">
      <w:pPr>
        <w:rPr>
          <w:sz w:val="24"/>
          <w:rtl/>
        </w:rPr>
      </w:pPr>
    </w:p>
    <w:p w:rsidR="007411E9" w:rsidRPr="000E48F1" w:rsidRDefault="000E48F1" w:rsidP="000E48F1">
      <w:pPr>
        <w:rPr>
          <w:b/>
          <w:bCs/>
          <w:sz w:val="24"/>
          <w:u w:val="single"/>
          <w:rtl/>
        </w:rPr>
      </w:pPr>
      <w:r>
        <w:rPr>
          <w:rFonts w:hint="cs"/>
          <w:b/>
          <w:bCs/>
          <w:sz w:val="24"/>
          <w:u w:val="single"/>
          <w:rtl/>
        </w:rPr>
        <w:t>ג</w:t>
      </w:r>
      <w:r w:rsidR="00C44B40" w:rsidRPr="000E48F1">
        <w:rPr>
          <w:rFonts w:hint="cs"/>
          <w:b/>
          <w:bCs/>
          <w:sz w:val="24"/>
          <w:u w:val="single"/>
          <w:rtl/>
        </w:rPr>
        <w:t xml:space="preserve">. טהרה, קדושה </w:t>
      </w:r>
      <w:r w:rsidR="001C1F0F" w:rsidRPr="000E48F1">
        <w:rPr>
          <w:rFonts w:hint="cs"/>
          <w:b/>
          <w:bCs/>
          <w:sz w:val="24"/>
          <w:u w:val="single"/>
          <w:rtl/>
        </w:rPr>
        <w:t>וחסידות</w:t>
      </w:r>
    </w:p>
    <w:p w:rsidR="00C44B40" w:rsidRPr="000E48F1" w:rsidRDefault="00C44B40" w:rsidP="00F73C37">
      <w:pPr>
        <w:pStyle w:val="a8"/>
        <w:numPr>
          <w:ilvl w:val="0"/>
          <w:numId w:val="1"/>
        </w:numPr>
        <w:ind w:left="360"/>
        <w:rPr>
          <w:sz w:val="24"/>
          <w:rtl/>
        </w:rPr>
      </w:pPr>
      <w:r w:rsidRPr="000E48F1">
        <w:rPr>
          <w:rFonts w:hint="cs"/>
          <w:b/>
          <w:bCs/>
          <w:sz w:val="24"/>
          <w:rtl/>
        </w:rPr>
        <w:t xml:space="preserve">רמב"ן ויקרא, שם: </w:t>
      </w:r>
      <w:r w:rsidR="000A3091" w:rsidRPr="000E48F1">
        <w:rPr>
          <w:rFonts w:hint="cs"/>
          <w:b/>
          <w:bCs/>
          <w:sz w:val="24"/>
          <w:rtl/>
        </w:rPr>
        <w:t>"</w:t>
      </w:r>
      <w:r w:rsidRPr="000E48F1">
        <w:rPr>
          <w:sz w:val="24"/>
          <w:rtl/>
        </w:rPr>
        <w:t xml:space="preserve">ועוד שנוי שם (פרק ד י) אחרים אומרים יכול אם נגע אדם בנבלה ילקה ארבעים, תלמוד לומר ולאלה תטמאו (פסוק כד), יכול אם ראה אדם את הנבלה ילך ויטמא, תלמוד לומר </w:t>
      </w:r>
      <w:proofErr w:type="spellStart"/>
      <w:r w:rsidRPr="000E48F1">
        <w:rPr>
          <w:sz w:val="24"/>
          <w:rtl/>
        </w:rPr>
        <w:t>ובנבלתם</w:t>
      </w:r>
      <w:proofErr w:type="spellEnd"/>
      <w:r w:rsidRPr="000E48F1">
        <w:rPr>
          <w:sz w:val="24"/>
          <w:rtl/>
        </w:rPr>
        <w:t xml:space="preserve"> לא תגעו, הא כיצד, </w:t>
      </w:r>
      <w:r w:rsidRPr="000E48F1">
        <w:rPr>
          <w:sz w:val="24"/>
          <w:u w:val="single"/>
          <w:rtl/>
        </w:rPr>
        <w:t>הוי אומר רשות. וזה עיקר הדין מן התורה</w:t>
      </w:r>
      <w:r w:rsidRPr="000E48F1">
        <w:rPr>
          <w:rFonts w:hint="cs"/>
          <w:sz w:val="24"/>
          <w:rtl/>
        </w:rPr>
        <w:t>".</w:t>
      </w:r>
    </w:p>
    <w:p w:rsidR="007411E9" w:rsidRPr="000E48F1" w:rsidRDefault="00C44B40" w:rsidP="00F73C37">
      <w:pPr>
        <w:pStyle w:val="a8"/>
        <w:numPr>
          <w:ilvl w:val="0"/>
          <w:numId w:val="1"/>
        </w:numPr>
        <w:ind w:left="360"/>
        <w:rPr>
          <w:sz w:val="24"/>
          <w:rtl/>
        </w:rPr>
      </w:pPr>
      <w:r w:rsidRPr="000E48F1">
        <w:rPr>
          <w:rFonts w:hint="cs"/>
          <w:b/>
          <w:bCs/>
          <w:sz w:val="24"/>
          <w:rtl/>
        </w:rPr>
        <w:t xml:space="preserve">שיעורי </w:t>
      </w:r>
      <w:proofErr w:type="spellStart"/>
      <w:r w:rsidRPr="000E48F1">
        <w:rPr>
          <w:rFonts w:hint="cs"/>
          <w:b/>
          <w:bCs/>
          <w:sz w:val="24"/>
          <w:rtl/>
        </w:rPr>
        <w:t>הרא"ל</w:t>
      </w:r>
      <w:proofErr w:type="spellEnd"/>
      <w:r w:rsidRPr="000E48F1">
        <w:rPr>
          <w:rFonts w:hint="cs"/>
          <w:b/>
          <w:bCs/>
          <w:sz w:val="24"/>
          <w:rtl/>
        </w:rPr>
        <w:t xml:space="preserve"> טהרות, מושגי יסוד א': </w:t>
      </w:r>
      <w:r w:rsidRPr="000E48F1">
        <w:rPr>
          <w:rFonts w:hint="cs"/>
          <w:sz w:val="24"/>
          <w:rtl/>
        </w:rPr>
        <w:t>"</w:t>
      </w:r>
      <w:r w:rsidRPr="000E48F1">
        <w:rPr>
          <w:sz w:val="24"/>
          <w:rtl/>
        </w:rPr>
        <w:t xml:space="preserve">את המשמעות הזו של המונח רשות, ניתן </w:t>
      </w:r>
      <w:proofErr w:type="spellStart"/>
      <w:r w:rsidRPr="000E48F1">
        <w:rPr>
          <w:sz w:val="24"/>
          <w:rtl/>
        </w:rPr>
        <w:t>לישם</w:t>
      </w:r>
      <w:proofErr w:type="spellEnd"/>
      <w:r w:rsidRPr="000E48F1">
        <w:rPr>
          <w:sz w:val="24"/>
          <w:rtl/>
        </w:rPr>
        <w:t xml:space="preserve"> גם במסקנת </w:t>
      </w:r>
      <w:proofErr w:type="spellStart"/>
      <w:r w:rsidRPr="000E48F1">
        <w:rPr>
          <w:sz w:val="24"/>
          <w:rtl/>
        </w:rPr>
        <w:t>התורת</w:t>
      </w:r>
      <w:proofErr w:type="spellEnd"/>
      <w:r w:rsidRPr="000E48F1">
        <w:rPr>
          <w:sz w:val="24"/>
          <w:rtl/>
        </w:rPr>
        <w:t xml:space="preserve"> </w:t>
      </w:r>
      <w:proofErr w:type="spellStart"/>
      <w:r w:rsidRPr="000E48F1">
        <w:rPr>
          <w:sz w:val="24"/>
          <w:rtl/>
        </w:rPr>
        <w:t>כהנים</w:t>
      </w:r>
      <w:proofErr w:type="spellEnd"/>
      <w:r w:rsidRPr="000E48F1">
        <w:rPr>
          <w:sz w:val="24"/>
          <w:rtl/>
        </w:rPr>
        <w:t xml:space="preserve"> על פי ההבנה </w:t>
      </w:r>
      <w:proofErr w:type="spellStart"/>
      <w:r w:rsidRPr="000E48F1">
        <w:rPr>
          <w:sz w:val="24"/>
          <w:rtl/>
        </w:rPr>
        <w:t>השניה</w:t>
      </w:r>
      <w:proofErr w:type="spellEnd"/>
      <w:r w:rsidRPr="000E48F1">
        <w:rPr>
          <w:rFonts w:hint="cs"/>
          <w:sz w:val="24"/>
          <w:rtl/>
        </w:rPr>
        <w:t xml:space="preserve">: </w:t>
      </w:r>
      <w:proofErr w:type="spellStart"/>
      <w:r w:rsidRPr="000E48F1">
        <w:rPr>
          <w:sz w:val="24"/>
          <w:rtl/>
        </w:rPr>
        <w:t>ההו"א</w:t>
      </w:r>
      <w:proofErr w:type="spellEnd"/>
      <w:r w:rsidRPr="000E48F1">
        <w:rPr>
          <w:sz w:val="24"/>
          <w:rtl/>
        </w:rPr>
        <w:t xml:space="preserve"> </w:t>
      </w:r>
      <w:proofErr w:type="spellStart"/>
      <w:r w:rsidRPr="000E48F1">
        <w:rPr>
          <w:sz w:val="24"/>
          <w:rtl/>
        </w:rPr>
        <w:t>היתה</w:t>
      </w:r>
      <w:proofErr w:type="spellEnd"/>
      <w:r w:rsidRPr="000E48F1">
        <w:rPr>
          <w:sz w:val="24"/>
          <w:rtl/>
        </w:rPr>
        <w:t xml:space="preserve"> שטומאת נבלה זה נושא </w:t>
      </w:r>
      <w:proofErr w:type="spellStart"/>
      <w:r w:rsidRPr="000E48F1">
        <w:rPr>
          <w:sz w:val="24"/>
          <w:rtl/>
        </w:rPr>
        <w:t>נייטרלי</w:t>
      </w:r>
      <w:proofErr w:type="spellEnd"/>
      <w:r w:rsidRPr="000E48F1">
        <w:rPr>
          <w:sz w:val="24"/>
          <w:rtl/>
        </w:rPr>
        <w:t>, והמסקנה היא שזו רשות, דהיינו איסור של לאו פורמלי אין פה - אתה רשאי להיטמא לנבלה</w:t>
      </w:r>
      <w:r w:rsidRPr="000E48F1">
        <w:rPr>
          <w:rFonts w:hint="cs"/>
          <w:sz w:val="24"/>
          <w:rtl/>
        </w:rPr>
        <w:t>,</w:t>
      </w:r>
      <w:r w:rsidRPr="000E48F1">
        <w:rPr>
          <w:sz w:val="24"/>
          <w:rtl/>
        </w:rPr>
        <w:t xml:space="preserve"> אבל הרשות הזו מעוגנת באופן ברור בנימה ערכית של שאיפה להתרחק מטומאת נבלה</w:t>
      </w:r>
      <w:r w:rsidRPr="000E48F1">
        <w:rPr>
          <w:rFonts w:hint="cs"/>
          <w:sz w:val="24"/>
          <w:rtl/>
        </w:rPr>
        <w:t>".</w:t>
      </w:r>
      <w:r w:rsidR="007411E9" w:rsidRPr="000E48F1">
        <w:rPr>
          <w:sz w:val="24"/>
          <w:rtl/>
        </w:rPr>
        <w:t xml:space="preserve"> </w:t>
      </w:r>
    </w:p>
    <w:p w:rsidR="00C44B40" w:rsidRDefault="00C44B40" w:rsidP="001C03B0">
      <w:pPr>
        <w:pStyle w:val="a8"/>
        <w:numPr>
          <w:ilvl w:val="0"/>
          <w:numId w:val="1"/>
        </w:numPr>
        <w:ind w:left="360"/>
        <w:rPr>
          <w:sz w:val="24"/>
        </w:rPr>
      </w:pPr>
      <w:r w:rsidRPr="000E48F1">
        <w:rPr>
          <w:b/>
          <w:bCs/>
          <w:sz w:val="24"/>
          <w:rtl/>
        </w:rPr>
        <w:t xml:space="preserve">רמב"ם טומאת </w:t>
      </w:r>
      <w:proofErr w:type="spellStart"/>
      <w:r w:rsidRPr="000E48F1">
        <w:rPr>
          <w:b/>
          <w:bCs/>
          <w:sz w:val="24"/>
          <w:rtl/>
        </w:rPr>
        <w:t>אוכלין</w:t>
      </w:r>
      <w:proofErr w:type="spellEnd"/>
      <w:r w:rsidRPr="000E48F1">
        <w:rPr>
          <w:rFonts w:hint="cs"/>
          <w:b/>
          <w:bCs/>
          <w:sz w:val="24"/>
          <w:rtl/>
        </w:rPr>
        <w:t>, ט"ז י"ב (ההלכה האחרונה בספר טהרה):</w:t>
      </w:r>
      <w:r w:rsidRPr="000E48F1">
        <w:rPr>
          <w:rFonts w:hint="cs"/>
          <w:sz w:val="24"/>
          <w:rtl/>
        </w:rPr>
        <w:t xml:space="preserve"> </w:t>
      </w:r>
      <w:r w:rsidR="001C03B0" w:rsidRPr="000E48F1">
        <w:rPr>
          <w:rFonts w:hint="cs"/>
          <w:sz w:val="24"/>
          <w:rtl/>
        </w:rPr>
        <w:t>"</w:t>
      </w:r>
      <w:r w:rsidRPr="000E48F1">
        <w:rPr>
          <w:sz w:val="24"/>
          <w:rtl/>
        </w:rPr>
        <w:t xml:space="preserve">אף על פי שמותר לאכול </w:t>
      </w:r>
      <w:proofErr w:type="spellStart"/>
      <w:r w:rsidRPr="000E48F1">
        <w:rPr>
          <w:sz w:val="24"/>
          <w:rtl/>
        </w:rPr>
        <w:t>אוכלין</w:t>
      </w:r>
      <w:proofErr w:type="spellEnd"/>
      <w:r w:rsidRPr="000E48F1">
        <w:rPr>
          <w:sz w:val="24"/>
          <w:rtl/>
        </w:rPr>
        <w:t xml:space="preserve"> טמאין ולשתות משקין טמאים</w:t>
      </w:r>
      <w:r w:rsidR="001C03B0" w:rsidRPr="000E48F1">
        <w:rPr>
          <w:rFonts w:hint="cs"/>
          <w:sz w:val="24"/>
          <w:rtl/>
        </w:rPr>
        <w:t>,</w:t>
      </w:r>
      <w:r w:rsidRPr="000E48F1">
        <w:rPr>
          <w:sz w:val="24"/>
          <w:rtl/>
        </w:rPr>
        <w:t xml:space="preserve"> </w:t>
      </w:r>
      <w:r w:rsidRPr="000E48F1">
        <w:rPr>
          <w:sz w:val="24"/>
          <w:u w:val="single"/>
          <w:rtl/>
        </w:rPr>
        <w:t xml:space="preserve">חסידים הראשונים היו </w:t>
      </w:r>
      <w:proofErr w:type="spellStart"/>
      <w:r w:rsidRPr="000E48F1">
        <w:rPr>
          <w:sz w:val="24"/>
          <w:u w:val="single"/>
          <w:rtl/>
        </w:rPr>
        <w:t>אוכלין</w:t>
      </w:r>
      <w:proofErr w:type="spellEnd"/>
      <w:r w:rsidRPr="000E48F1">
        <w:rPr>
          <w:sz w:val="24"/>
          <w:u w:val="single"/>
          <w:rtl/>
        </w:rPr>
        <w:t xml:space="preserve"> חולין בטהרה </w:t>
      </w:r>
      <w:proofErr w:type="spellStart"/>
      <w:r w:rsidRPr="000E48F1">
        <w:rPr>
          <w:sz w:val="24"/>
          <w:u w:val="single"/>
          <w:rtl/>
        </w:rPr>
        <w:t>ונזהרין</w:t>
      </w:r>
      <w:proofErr w:type="spellEnd"/>
      <w:r w:rsidRPr="000E48F1">
        <w:rPr>
          <w:sz w:val="24"/>
          <w:u w:val="single"/>
          <w:rtl/>
        </w:rPr>
        <w:t xml:space="preserve"> מן הטומאות כולן כל ימיהם והן הנקראים פרושים ודבר זה קדושה יתירה היא ודרך חסידות שיהיה נבדל אדם ופורש משאר העם</w:t>
      </w:r>
      <w:r w:rsidR="001C03B0" w:rsidRPr="000E48F1">
        <w:rPr>
          <w:rStyle w:val="a7"/>
          <w:sz w:val="24"/>
          <w:rtl/>
        </w:rPr>
        <w:footnoteReference w:id="1"/>
      </w:r>
      <w:r w:rsidRPr="000E48F1">
        <w:rPr>
          <w:sz w:val="24"/>
          <w:rtl/>
        </w:rPr>
        <w:t xml:space="preserve"> ולא יגע בהם ולא יאכל וישתה עמהם, </w:t>
      </w:r>
      <w:r w:rsidRPr="000E48F1">
        <w:rPr>
          <w:sz w:val="24"/>
          <w:u w:val="single"/>
          <w:rtl/>
        </w:rPr>
        <w:t>שהפרישות מביאה לידי טהרת הגוף</w:t>
      </w:r>
      <w:r w:rsidRPr="000E48F1">
        <w:rPr>
          <w:sz w:val="24"/>
          <w:rtl/>
        </w:rPr>
        <w:t xml:space="preserve"> ממעשים הרעים, </w:t>
      </w:r>
      <w:r w:rsidRPr="000E48F1">
        <w:rPr>
          <w:sz w:val="24"/>
          <w:u w:val="single"/>
          <w:rtl/>
        </w:rPr>
        <w:t>וטהרת הגוף מביאה לידי קדושת הנפש מן הדעות הרעות</w:t>
      </w:r>
      <w:r w:rsidRPr="000E48F1">
        <w:rPr>
          <w:sz w:val="24"/>
          <w:rtl/>
        </w:rPr>
        <w:t xml:space="preserve">, וקדושת הנפש גורמת להדמות בשכינה, שנאמר והתקדשתם והייתם קדושים כי קדוש אני </w:t>
      </w:r>
      <w:r w:rsidRPr="000E48F1">
        <w:rPr>
          <w:rFonts w:hint="cs"/>
          <w:sz w:val="24"/>
          <w:rtl/>
        </w:rPr>
        <w:t xml:space="preserve">ה' </w:t>
      </w:r>
      <w:r w:rsidRPr="000E48F1">
        <w:rPr>
          <w:sz w:val="24"/>
          <w:rtl/>
        </w:rPr>
        <w:t>מקדשכם</w:t>
      </w:r>
      <w:r w:rsidRPr="000E48F1">
        <w:rPr>
          <w:rFonts w:hint="cs"/>
          <w:sz w:val="24"/>
          <w:rtl/>
        </w:rPr>
        <w:t>"</w:t>
      </w:r>
      <w:r w:rsidRPr="000E48F1">
        <w:rPr>
          <w:sz w:val="24"/>
          <w:rtl/>
        </w:rPr>
        <w:t>.</w:t>
      </w:r>
    </w:p>
    <w:p w:rsidR="00F2404F" w:rsidRPr="000E48F1" w:rsidRDefault="00F2404F" w:rsidP="00F73C37">
      <w:pPr>
        <w:pStyle w:val="a8"/>
        <w:numPr>
          <w:ilvl w:val="0"/>
          <w:numId w:val="1"/>
        </w:numPr>
        <w:ind w:left="360"/>
        <w:rPr>
          <w:sz w:val="24"/>
          <w:rtl/>
        </w:rPr>
      </w:pPr>
      <w:r w:rsidRPr="000E48F1">
        <w:rPr>
          <w:rFonts w:hint="cs"/>
          <w:b/>
          <w:bCs/>
          <w:sz w:val="24"/>
          <w:rtl/>
        </w:rPr>
        <w:t xml:space="preserve">ספר בעלי הנפש </w:t>
      </w:r>
      <w:proofErr w:type="spellStart"/>
      <w:r w:rsidRPr="000E48F1">
        <w:rPr>
          <w:rFonts w:hint="cs"/>
          <w:b/>
          <w:bCs/>
          <w:sz w:val="24"/>
          <w:rtl/>
        </w:rPr>
        <w:t>לראב"ד</w:t>
      </w:r>
      <w:proofErr w:type="spellEnd"/>
      <w:r w:rsidRPr="000E48F1">
        <w:rPr>
          <w:rFonts w:hint="cs"/>
          <w:b/>
          <w:bCs/>
          <w:sz w:val="24"/>
          <w:rtl/>
        </w:rPr>
        <w:t>, פתיחה לשער הקדושה:</w:t>
      </w:r>
      <w:r w:rsidRPr="000E48F1">
        <w:rPr>
          <w:rFonts w:hint="cs"/>
          <w:sz w:val="24"/>
          <w:rtl/>
        </w:rPr>
        <w:t xml:space="preserve"> "</w:t>
      </w:r>
      <w:r w:rsidRPr="000E48F1">
        <w:rPr>
          <w:sz w:val="24"/>
          <w:rtl/>
        </w:rPr>
        <w:t xml:space="preserve">ואומר תחלה כי הטומאות הם שני פנים. גם הטהרות שני פנים. הטומאות הנמצאות במשוש ושלא במשוש. כגון מגע נבלות והיסטן ומגע שרצים ומשכבות ומושבות בזב וזבה ומצורע וראיית הקרי וטומאת המת. וכן העובר עברות כגון הבא על העריות והאוכל דברים האסורים, אלה הטומאות שהן במישוש, כי הבא על העריות והאוכל את הדברים </w:t>
      </w:r>
      <w:proofErr w:type="spellStart"/>
      <w:r w:rsidRPr="000E48F1">
        <w:rPr>
          <w:sz w:val="24"/>
          <w:rtl/>
        </w:rPr>
        <w:t>האסורין</w:t>
      </w:r>
      <w:proofErr w:type="spellEnd"/>
      <w:r w:rsidRPr="000E48F1">
        <w:rPr>
          <w:sz w:val="24"/>
          <w:rtl/>
        </w:rPr>
        <w:t xml:space="preserve"> נקרא טמא </w:t>
      </w:r>
      <w:proofErr w:type="spellStart"/>
      <w:r w:rsidRPr="000E48F1">
        <w:rPr>
          <w:sz w:val="24"/>
          <w:rtl/>
        </w:rPr>
        <w:t>כדכתיב</w:t>
      </w:r>
      <w:proofErr w:type="spellEnd"/>
      <w:r w:rsidRPr="000E48F1">
        <w:rPr>
          <w:sz w:val="24"/>
          <w:rtl/>
        </w:rPr>
        <w:t xml:space="preserve"> בפרשת עריות (ויקרא </w:t>
      </w:r>
      <w:proofErr w:type="spellStart"/>
      <w:r w:rsidRPr="000E48F1">
        <w:rPr>
          <w:sz w:val="24"/>
          <w:rtl/>
        </w:rPr>
        <w:t>יח</w:t>
      </w:r>
      <w:proofErr w:type="spellEnd"/>
      <w:r w:rsidRPr="000E48F1">
        <w:rPr>
          <w:sz w:val="24"/>
          <w:rtl/>
        </w:rPr>
        <w:t xml:space="preserve">, כד) אל תטמאו בכל אלה, ובפרשת שרצים (ויקרא יא, מג) כתיב ולא תטמאו בהם </w:t>
      </w:r>
      <w:proofErr w:type="spellStart"/>
      <w:r w:rsidRPr="000E48F1">
        <w:rPr>
          <w:sz w:val="24"/>
          <w:rtl/>
        </w:rPr>
        <w:t>ונטמתם</w:t>
      </w:r>
      <w:proofErr w:type="spellEnd"/>
      <w:r w:rsidRPr="000E48F1">
        <w:rPr>
          <w:sz w:val="24"/>
          <w:rtl/>
        </w:rPr>
        <w:t xml:space="preserve"> בה. והטומאה שהיא שלא במישוש כגון ראיית </w:t>
      </w:r>
      <w:proofErr w:type="spellStart"/>
      <w:r w:rsidRPr="000E48F1">
        <w:rPr>
          <w:sz w:val="24"/>
          <w:rtl/>
        </w:rPr>
        <w:t>העינים</w:t>
      </w:r>
      <w:proofErr w:type="spellEnd"/>
      <w:r w:rsidRPr="000E48F1">
        <w:rPr>
          <w:sz w:val="24"/>
          <w:rtl/>
        </w:rPr>
        <w:t xml:space="preserve"> ושמיעת האזנים ומבטא </w:t>
      </w:r>
      <w:proofErr w:type="spellStart"/>
      <w:r w:rsidRPr="000E48F1">
        <w:rPr>
          <w:sz w:val="24"/>
          <w:rtl/>
        </w:rPr>
        <w:t>השפתים</w:t>
      </w:r>
      <w:proofErr w:type="spellEnd"/>
      <w:r w:rsidRPr="000E48F1">
        <w:rPr>
          <w:sz w:val="24"/>
          <w:rtl/>
        </w:rPr>
        <w:t xml:space="preserve"> בדבר שאין ראוי לו לראות ולא לשמוע ולא לדבר בו, והרהור הלב בדברים שהם של איסור. </w:t>
      </w:r>
      <w:r w:rsidRPr="000E48F1">
        <w:rPr>
          <w:sz w:val="24"/>
          <w:u w:val="single"/>
          <w:rtl/>
        </w:rPr>
        <w:t xml:space="preserve">גם הטהרה נמצאת במשוש ושלא במשוש, כי טהרת </w:t>
      </w:r>
      <w:proofErr w:type="spellStart"/>
      <w:r w:rsidRPr="000E48F1">
        <w:rPr>
          <w:sz w:val="24"/>
          <w:u w:val="single"/>
          <w:rtl/>
        </w:rPr>
        <w:t>המגעות</w:t>
      </w:r>
      <w:proofErr w:type="spellEnd"/>
      <w:r w:rsidRPr="000E48F1">
        <w:rPr>
          <w:sz w:val="24"/>
          <w:u w:val="single"/>
          <w:rtl/>
        </w:rPr>
        <w:t xml:space="preserve"> </w:t>
      </w:r>
      <w:proofErr w:type="spellStart"/>
      <w:r w:rsidRPr="000E48F1">
        <w:rPr>
          <w:sz w:val="24"/>
          <w:u w:val="single"/>
          <w:rtl/>
        </w:rPr>
        <w:t>וההיסטות</w:t>
      </w:r>
      <w:proofErr w:type="spellEnd"/>
      <w:r w:rsidRPr="000E48F1">
        <w:rPr>
          <w:sz w:val="24"/>
          <w:u w:val="single"/>
          <w:rtl/>
        </w:rPr>
        <w:t xml:space="preserve"> והקרי והנגעים וטומאת המת היא על ידי טבילות והזאות ושאר </w:t>
      </w:r>
      <w:proofErr w:type="spellStart"/>
      <w:r w:rsidRPr="000E48F1">
        <w:rPr>
          <w:sz w:val="24"/>
          <w:u w:val="single"/>
          <w:rtl/>
        </w:rPr>
        <w:t>ענינים</w:t>
      </w:r>
      <w:proofErr w:type="spellEnd"/>
      <w:r w:rsidRPr="000E48F1">
        <w:rPr>
          <w:sz w:val="24"/>
          <w:u w:val="single"/>
          <w:rtl/>
        </w:rPr>
        <w:t xml:space="preserve"> המפורשים במצורע, וזו היא טהרת המישוש. והטהרה שהיא שלא במשוש היא פרישת העברות </w:t>
      </w:r>
      <w:proofErr w:type="spellStart"/>
      <w:r w:rsidRPr="000E48F1">
        <w:rPr>
          <w:sz w:val="24"/>
          <w:u w:val="single"/>
          <w:rtl/>
        </w:rPr>
        <w:t>והאיסורין</w:t>
      </w:r>
      <w:proofErr w:type="spellEnd"/>
      <w:r w:rsidRPr="000E48F1">
        <w:rPr>
          <w:sz w:val="24"/>
          <w:u w:val="single"/>
          <w:rtl/>
        </w:rPr>
        <w:t xml:space="preserve"> ונקיות הלב והמחשבה והלשון ועצימת </w:t>
      </w:r>
      <w:proofErr w:type="spellStart"/>
      <w:r w:rsidRPr="000E48F1">
        <w:rPr>
          <w:sz w:val="24"/>
          <w:u w:val="single"/>
          <w:rtl/>
        </w:rPr>
        <w:t>עינים</w:t>
      </w:r>
      <w:proofErr w:type="spellEnd"/>
      <w:r w:rsidRPr="000E48F1">
        <w:rPr>
          <w:sz w:val="24"/>
          <w:u w:val="single"/>
          <w:rtl/>
        </w:rPr>
        <w:t xml:space="preserve"> ואטימת האזנים מראות ברע ומשמוע. וכל אלו הם </w:t>
      </w:r>
      <w:r w:rsidRPr="000E48F1">
        <w:rPr>
          <w:sz w:val="24"/>
          <w:u w:val="single"/>
          <w:rtl/>
        </w:rPr>
        <w:lastRenderedPageBreak/>
        <w:t xml:space="preserve">נקראים טהורים </w:t>
      </w:r>
      <w:proofErr w:type="spellStart"/>
      <w:r w:rsidRPr="000E48F1">
        <w:rPr>
          <w:sz w:val="24"/>
          <w:u w:val="single"/>
          <w:rtl/>
        </w:rPr>
        <w:t>כדכתיב</w:t>
      </w:r>
      <w:proofErr w:type="spellEnd"/>
      <w:r w:rsidRPr="000E48F1">
        <w:rPr>
          <w:sz w:val="24"/>
          <w:u w:val="single"/>
          <w:rtl/>
        </w:rPr>
        <w:t xml:space="preserve"> (ויקרא </w:t>
      </w:r>
      <w:proofErr w:type="spellStart"/>
      <w:r w:rsidRPr="000E48F1">
        <w:rPr>
          <w:sz w:val="24"/>
          <w:u w:val="single"/>
          <w:rtl/>
        </w:rPr>
        <w:t>טז</w:t>
      </w:r>
      <w:proofErr w:type="spellEnd"/>
      <w:r w:rsidRPr="000E48F1">
        <w:rPr>
          <w:sz w:val="24"/>
          <w:u w:val="single"/>
          <w:rtl/>
        </w:rPr>
        <w:t>, ל) מכל חטאותיכם לפני ה' תטהרו</w:t>
      </w:r>
      <w:r w:rsidRPr="000E48F1">
        <w:rPr>
          <w:sz w:val="24"/>
          <w:rtl/>
        </w:rPr>
        <w:t xml:space="preserve">, וכתיב (עזרא לו, כה) מכל טומאותיכם ומכל </w:t>
      </w:r>
      <w:proofErr w:type="spellStart"/>
      <w:r w:rsidRPr="000E48F1">
        <w:rPr>
          <w:sz w:val="24"/>
          <w:rtl/>
        </w:rPr>
        <w:t>גלוליכם</w:t>
      </w:r>
      <w:proofErr w:type="spellEnd"/>
      <w:r w:rsidRPr="000E48F1">
        <w:rPr>
          <w:sz w:val="24"/>
          <w:rtl/>
        </w:rPr>
        <w:t xml:space="preserve"> אטהר אתכם, וכתיב (חבקוק א, </w:t>
      </w:r>
      <w:proofErr w:type="spellStart"/>
      <w:r w:rsidRPr="000E48F1">
        <w:rPr>
          <w:sz w:val="24"/>
          <w:rtl/>
        </w:rPr>
        <w:t>יג</w:t>
      </w:r>
      <w:proofErr w:type="spellEnd"/>
      <w:r w:rsidRPr="000E48F1">
        <w:rPr>
          <w:sz w:val="24"/>
          <w:rtl/>
        </w:rPr>
        <w:t xml:space="preserve">) טהור </w:t>
      </w:r>
      <w:proofErr w:type="spellStart"/>
      <w:r w:rsidRPr="000E48F1">
        <w:rPr>
          <w:sz w:val="24"/>
          <w:rtl/>
        </w:rPr>
        <w:t>עינים</w:t>
      </w:r>
      <w:proofErr w:type="spellEnd"/>
      <w:r w:rsidRPr="000E48F1">
        <w:rPr>
          <w:sz w:val="24"/>
          <w:rtl/>
        </w:rPr>
        <w:t xml:space="preserve"> מראות ברע, וכתיב (משלי </w:t>
      </w:r>
      <w:proofErr w:type="spellStart"/>
      <w:r w:rsidRPr="000E48F1">
        <w:rPr>
          <w:sz w:val="24"/>
          <w:rtl/>
        </w:rPr>
        <w:t>כב</w:t>
      </w:r>
      <w:proofErr w:type="spellEnd"/>
      <w:r w:rsidRPr="000E48F1">
        <w:rPr>
          <w:sz w:val="24"/>
          <w:rtl/>
        </w:rPr>
        <w:t xml:space="preserve">, יא) אוהב טהר לב, וכתיב (תהלים כד, ד) נקי כפים ובר לבב. ואם הוזהר האדם מהם נקרא טהור, ואת שאינו נזהר נקרא טמא. ומי שהוא מדבר דברים שאינם </w:t>
      </w:r>
      <w:proofErr w:type="spellStart"/>
      <w:r w:rsidRPr="000E48F1">
        <w:rPr>
          <w:sz w:val="24"/>
          <w:rtl/>
        </w:rPr>
        <w:t>ראוים</w:t>
      </w:r>
      <w:proofErr w:type="spellEnd"/>
      <w:r w:rsidRPr="000E48F1">
        <w:rPr>
          <w:sz w:val="24"/>
          <w:rtl/>
        </w:rPr>
        <w:t xml:space="preserve"> לו נקרא טמא שפתים, גם הנזהר מזה נקרא טהור שפתים. נמצאת הטומאה שני פנים והטהרה שני פנים. אלא שיש מעלה בין פרישת טומאת העברות </w:t>
      </w:r>
      <w:proofErr w:type="spellStart"/>
      <w:r w:rsidRPr="000E48F1">
        <w:rPr>
          <w:sz w:val="24"/>
          <w:rtl/>
        </w:rPr>
        <w:t>והאיסורין</w:t>
      </w:r>
      <w:proofErr w:type="spellEnd"/>
      <w:r w:rsidRPr="000E48F1">
        <w:rPr>
          <w:sz w:val="24"/>
          <w:rtl/>
        </w:rPr>
        <w:t xml:space="preserve"> לפרישת הטומאות האחרות, כי הפורש מן </w:t>
      </w:r>
      <w:proofErr w:type="spellStart"/>
      <w:r w:rsidRPr="000E48F1">
        <w:rPr>
          <w:sz w:val="24"/>
          <w:rtl/>
        </w:rPr>
        <w:t>המגעות</w:t>
      </w:r>
      <w:proofErr w:type="spellEnd"/>
      <w:r w:rsidRPr="000E48F1">
        <w:rPr>
          <w:sz w:val="24"/>
          <w:rtl/>
        </w:rPr>
        <w:t xml:space="preserve"> </w:t>
      </w:r>
      <w:proofErr w:type="spellStart"/>
      <w:r w:rsidRPr="000E48F1">
        <w:rPr>
          <w:sz w:val="24"/>
          <w:rtl/>
        </w:rPr>
        <w:t>וההסיטות</w:t>
      </w:r>
      <w:proofErr w:type="spellEnd"/>
      <w:r w:rsidRPr="000E48F1">
        <w:rPr>
          <w:sz w:val="24"/>
          <w:rtl/>
        </w:rPr>
        <w:t xml:space="preserve"> ושאר הטומאות הדומות להם נקרא טהור לבד </w:t>
      </w:r>
      <w:proofErr w:type="spellStart"/>
      <w:r w:rsidRPr="000E48F1">
        <w:rPr>
          <w:sz w:val="24"/>
          <w:rtl/>
        </w:rPr>
        <w:t>כדכתיב</w:t>
      </w:r>
      <w:proofErr w:type="spellEnd"/>
      <w:r w:rsidRPr="000E48F1">
        <w:rPr>
          <w:sz w:val="24"/>
          <w:rtl/>
        </w:rPr>
        <w:t xml:space="preserve"> (ויקרא יד, ח) ורחץ במים וטהר. אבל הפורש מן העברות </w:t>
      </w:r>
      <w:proofErr w:type="spellStart"/>
      <w:r w:rsidRPr="000E48F1">
        <w:rPr>
          <w:sz w:val="24"/>
          <w:rtl/>
        </w:rPr>
        <w:t>והאיסורין</w:t>
      </w:r>
      <w:proofErr w:type="spellEnd"/>
      <w:r w:rsidRPr="000E48F1">
        <w:rPr>
          <w:sz w:val="24"/>
          <w:rtl/>
        </w:rPr>
        <w:t xml:space="preserve"> נקרא טהור וקדוש. טהור, כאשר אמרנו. וקדוש, </w:t>
      </w:r>
      <w:proofErr w:type="spellStart"/>
      <w:r w:rsidRPr="000E48F1">
        <w:rPr>
          <w:sz w:val="24"/>
          <w:rtl/>
        </w:rPr>
        <w:t>דכתיב</w:t>
      </w:r>
      <w:proofErr w:type="spellEnd"/>
      <w:r w:rsidRPr="000E48F1">
        <w:rPr>
          <w:sz w:val="24"/>
          <w:rtl/>
        </w:rPr>
        <w:t xml:space="preserve"> בפרשת עריות (ויקרא כ, ז) והתקדשתם והייתם קדושים</w:t>
      </w:r>
      <w:r w:rsidRPr="000E48F1">
        <w:rPr>
          <w:rFonts w:hint="cs"/>
          <w:sz w:val="24"/>
          <w:rtl/>
        </w:rPr>
        <w:t>"</w:t>
      </w:r>
      <w:r w:rsidRPr="000E48F1">
        <w:rPr>
          <w:sz w:val="24"/>
          <w:rtl/>
        </w:rPr>
        <w:t>.</w:t>
      </w:r>
    </w:p>
    <w:p w:rsidR="000E48F1" w:rsidRPr="000E48F1" w:rsidRDefault="000E48F1" w:rsidP="000E48F1">
      <w:pPr>
        <w:pStyle w:val="a8"/>
        <w:numPr>
          <w:ilvl w:val="0"/>
          <w:numId w:val="1"/>
        </w:numPr>
        <w:ind w:left="360"/>
        <w:rPr>
          <w:sz w:val="24"/>
          <w:rtl/>
        </w:rPr>
      </w:pPr>
      <w:r w:rsidRPr="000E48F1">
        <w:rPr>
          <w:b/>
          <w:bCs/>
          <w:sz w:val="24"/>
          <w:rtl/>
        </w:rPr>
        <w:t>מסילת ישרים</w:t>
      </w:r>
      <w:r w:rsidRPr="000E48F1">
        <w:rPr>
          <w:rFonts w:hint="cs"/>
          <w:b/>
          <w:bCs/>
          <w:sz w:val="24"/>
          <w:rtl/>
        </w:rPr>
        <w:t>, פרק ט"ז</w:t>
      </w:r>
      <w:r w:rsidRPr="000E48F1">
        <w:rPr>
          <w:rStyle w:val="a7"/>
          <w:b/>
          <w:bCs/>
          <w:sz w:val="24"/>
          <w:rtl/>
        </w:rPr>
        <w:footnoteReference w:id="2"/>
      </w:r>
      <w:r w:rsidRPr="000E48F1">
        <w:rPr>
          <w:rFonts w:hint="cs"/>
          <w:b/>
          <w:bCs/>
          <w:sz w:val="24"/>
          <w:rtl/>
        </w:rPr>
        <w:t>:</w:t>
      </w:r>
      <w:r w:rsidRPr="000E48F1">
        <w:rPr>
          <w:rFonts w:hint="cs"/>
          <w:sz w:val="24"/>
          <w:rtl/>
        </w:rPr>
        <w:t xml:space="preserve"> "</w:t>
      </w:r>
      <w:r w:rsidRPr="000E48F1">
        <w:rPr>
          <w:sz w:val="24"/>
          <w:u w:val="single"/>
          <w:rtl/>
        </w:rPr>
        <w:t>הטהרה היא תיקון הלב והמחשבות</w:t>
      </w:r>
      <w:r w:rsidRPr="000E48F1">
        <w:rPr>
          <w:sz w:val="24"/>
          <w:rtl/>
        </w:rPr>
        <w:t xml:space="preserve">. וזה הלשון מצאנוהו אצל דוד שאמר (תהלים נא): לב טהור ברא - לי </w:t>
      </w:r>
      <w:proofErr w:type="spellStart"/>
      <w:r w:rsidRPr="000E48F1">
        <w:rPr>
          <w:sz w:val="24"/>
          <w:rtl/>
        </w:rPr>
        <w:t>אלקים</w:t>
      </w:r>
      <w:proofErr w:type="spellEnd"/>
      <w:r w:rsidRPr="000E48F1">
        <w:rPr>
          <w:sz w:val="24"/>
          <w:rtl/>
        </w:rPr>
        <w:t xml:space="preserve">. וענינה שלא יניח האדם מקום ליצר במעשיו, אלא יהיו כל מעשיו על צד החכמה והיראה ולא על צד החטא </w:t>
      </w:r>
      <w:proofErr w:type="spellStart"/>
      <w:r w:rsidRPr="000E48F1">
        <w:rPr>
          <w:sz w:val="24"/>
          <w:rtl/>
        </w:rPr>
        <w:t>והתאוה</w:t>
      </w:r>
      <w:proofErr w:type="spellEnd"/>
      <w:r w:rsidRPr="000E48F1">
        <w:rPr>
          <w:rFonts w:hint="cs"/>
          <w:sz w:val="24"/>
          <w:rtl/>
        </w:rPr>
        <w:t>"</w:t>
      </w:r>
      <w:r w:rsidRPr="000E48F1">
        <w:rPr>
          <w:sz w:val="24"/>
          <w:rtl/>
        </w:rPr>
        <w:t>.</w:t>
      </w:r>
    </w:p>
    <w:p w:rsidR="001C1F0F" w:rsidRPr="000E48F1" w:rsidRDefault="00F2404F" w:rsidP="001C03B0">
      <w:pPr>
        <w:pStyle w:val="a8"/>
        <w:numPr>
          <w:ilvl w:val="0"/>
          <w:numId w:val="1"/>
        </w:numPr>
        <w:ind w:left="360"/>
        <w:rPr>
          <w:sz w:val="24"/>
        </w:rPr>
      </w:pPr>
      <w:proofErr w:type="spellStart"/>
      <w:r w:rsidRPr="000E48F1">
        <w:rPr>
          <w:b/>
          <w:bCs/>
          <w:sz w:val="24"/>
          <w:rtl/>
        </w:rPr>
        <w:t>מהרש"א</w:t>
      </w:r>
      <w:proofErr w:type="spellEnd"/>
      <w:r w:rsidRPr="000E48F1">
        <w:rPr>
          <w:b/>
          <w:bCs/>
          <w:sz w:val="24"/>
          <w:rtl/>
        </w:rPr>
        <w:t xml:space="preserve"> </w:t>
      </w:r>
      <w:r w:rsidRPr="000E48F1">
        <w:rPr>
          <w:rFonts w:hint="cs"/>
          <w:b/>
          <w:bCs/>
          <w:sz w:val="24"/>
          <w:rtl/>
        </w:rPr>
        <w:t>עבודה זרה, דף כ':</w:t>
      </w:r>
      <w:r w:rsidRPr="000E48F1">
        <w:rPr>
          <w:rFonts w:hint="cs"/>
          <w:sz w:val="24"/>
          <w:rtl/>
        </w:rPr>
        <w:t xml:space="preserve"> "</w:t>
      </w:r>
      <w:r w:rsidRPr="000E48F1">
        <w:rPr>
          <w:sz w:val="24"/>
          <w:rtl/>
        </w:rPr>
        <w:t xml:space="preserve">ואמר טהרה מביאה לידי קדושה והיא הסעודה </w:t>
      </w:r>
      <w:r w:rsidRPr="000E48F1">
        <w:rPr>
          <w:sz w:val="24"/>
          <w:u w:val="single"/>
          <w:rtl/>
        </w:rPr>
        <w:t>שצריך האדם לקדש באכילתו</w:t>
      </w:r>
      <w:r w:rsidRPr="000E48F1">
        <w:rPr>
          <w:sz w:val="24"/>
          <w:rtl/>
        </w:rPr>
        <w:t xml:space="preserve"> וכן כתיב </w:t>
      </w:r>
      <w:proofErr w:type="spellStart"/>
      <w:r w:rsidRPr="000E48F1">
        <w:rPr>
          <w:sz w:val="24"/>
          <w:rtl/>
        </w:rPr>
        <w:t>באסורי</w:t>
      </w:r>
      <w:proofErr w:type="spellEnd"/>
      <w:r w:rsidRPr="000E48F1">
        <w:rPr>
          <w:sz w:val="24"/>
          <w:rtl/>
        </w:rPr>
        <w:t xml:space="preserve"> מאכלות והתקדשתם והייתם קדושים וגו' </w:t>
      </w:r>
      <w:proofErr w:type="spellStart"/>
      <w:r w:rsidRPr="000E48F1">
        <w:rPr>
          <w:sz w:val="24"/>
          <w:rtl/>
        </w:rPr>
        <w:t>וס"פ</w:t>
      </w:r>
      <w:proofErr w:type="spellEnd"/>
      <w:r w:rsidRPr="000E48F1">
        <w:rPr>
          <w:sz w:val="24"/>
          <w:rtl/>
        </w:rPr>
        <w:t xml:space="preserve"> אלו דברים </w:t>
      </w:r>
      <w:proofErr w:type="spellStart"/>
      <w:r w:rsidRPr="000E48F1">
        <w:rPr>
          <w:sz w:val="24"/>
          <w:rtl/>
        </w:rPr>
        <w:t>דרשינן</w:t>
      </w:r>
      <w:proofErr w:type="spellEnd"/>
      <w:r w:rsidRPr="000E48F1">
        <w:rPr>
          <w:sz w:val="24"/>
          <w:rtl/>
        </w:rPr>
        <w:t xml:space="preserve"> ליה בקדושת הסעודה והתקדשתם אלו מים הראשונים</w:t>
      </w:r>
      <w:r w:rsidR="001C03B0" w:rsidRPr="000E48F1">
        <w:rPr>
          <w:rFonts w:hint="cs"/>
          <w:sz w:val="24"/>
          <w:rtl/>
        </w:rPr>
        <w:t>,</w:t>
      </w:r>
      <w:r w:rsidRPr="000E48F1">
        <w:rPr>
          <w:sz w:val="24"/>
          <w:rtl/>
        </w:rPr>
        <w:t xml:space="preserve"> שצריך האדם לאכול חוליו בקדושה על טהרת תרומה</w:t>
      </w:r>
      <w:r w:rsidR="00005C2C" w:rsidRPr="000E48F1">
        <w:rPr>
          <w:rFonts w:hint="cs"/>
          <w:sz w:val="24"/>
          <w:rtl/>
        </w:rPr>
        <w:t>,</w:t>
      </w:r>
      <w:r w:rsidRPr="000E48F1">
        <w:rPr>
          <w:sz w:val="24"/>
          <w:rtl/>
        </w:rPr>
        <w:t xml:space="preserve"> ורמזו בזה קדש עצמך במותר לך</w:t>
      </w:r>
      <w:r w:rsidR="00005C2C" w:rsidRPr="000E48F1">
        <w:rPr>
          <w:rFonts w:hint="cs"/>
          <w:sz w:val="24"/>
          <w:rtl/>
        </w:rPr>
        <w:t>;</w:t>
      </w:r>
      <w:r w:rsidRPr="000E48F1">
        <w:rPr>
          <w:sz w:val="24"/>
          <w:rtl/>
        </w:rPr>
        <w:t xml:space="preserve"> ולא אמרו במותר סתם</w:t>
      </w:r>
      <w:r w:rsidR="00005C2C" w:rsidRPr="000E48F1">
        <w:rPr>
          <w:rFonts w:hint="cs"/>
          <w:sz w:val="24"/>
          <w:rtl/>
        </w:rPr>
        <w:t>,</w:t>
      </w:r>
      <w:r w:rsidRPr="000E48F1">
        <w:rPr>
          <w:sz w:val="24"/>
          <w:rtl/>
        </w:rPr>
        <w:t xml:space="preserve"> שכוונו בו קדש עצמך במותר לך ואסור לאחרים כגון </w:t>
      </w:r>
      <w:proofErr w:type="spellStart"/>
      <w:r w:rsidRPr="000E48F1">
        <w:rPr>
          <w:sz w:val="24"/>
          <w:rtl/>
        </w:rPr>
        <w:t>לכהנים</w:t>
      </w:r>
      <w:proofErr w:type="spellEnd"/>
      <w:r w:rsidR="001C03B0" w:rsidRPr="000E48F1">
        <w:rPr>
          <w:rFonts w:hint="cs"/>
          <w:sz w:val="24"/>
          <w:rtl/>
        </w:rPr>
        <w:t>,</w:t>
      </w:r>
      <w:r w:rsidRPr="000E48F1">
        <w:rPr>
          <w:sz w:val="24"/>
          <w:rtl/>
        </w:rPr>
        <w:t xml:space="preserve"> אבל המותר לכל אין לאדם לאסור על עצמו</w:t>
      </w:r>
      <w:r w:rsidR="00005C2C" w:rsidRPr="000E48F1">
        <w:rPr>
          <w:rFonts w:hint="cs"/>
          <w:sz w:val="24"/>
          <w:rtl/>
        </w:rPr>
        <w:t>;</w:t>
      </w:r>
      <w:r w:rsidRPr="000E48F1">
        <w:rPr>
          <w:sz w:val="24"/>
          <w:rtl/>
        </w:rPr>
        <w:t xml:space="preserve"> </w:t>
      </w:r>
      <w:proofErr w:type="spellStart"/>
      <w:r w:rsidRPr="000E48F1">
        <w:rPr>
          <w:sz w:val="24"/>
          <w:u w:val="single"/>
          <w:rtl/>
        </w:rPr>
        <w:t>וז"ש</w:t>
      </w:r>
      <w:proofErr w:type="spellEnd"/>
      <w:r w:rsidRPr="000E48F1">
        <w:rPr>
          <w:sz w:val="24"/>
          <w:u w:val="single"/>
          <w:rtl/>
        </w:rPr>
        <w:t xml:space="preserve"> טהרה</w:t>
      </w:r>
      <w:r w:rsidR="00005C2C" w:rsidRPr="000E48F1">
        <w:rPr>
          <w:rFonts w:hint="cs"/>
          <w:sz w:val="24"/>
          <w:u w:val="single"/>
          <w:rtl/>
        </w:rPr>
        <w:t>,</w:t>
      </w:r>
      <w:r w:rsidRPr="000E48F1">
        <w:rPr>
          <w:sz w:val="24"/>
          <w:u w:val="single"/>
          <w:rtl/>
        </w:rPr>
        <w:t xml:space="preserve"> שהוא לימוד תורה בטהרה כמ"ש</w:t>
      </w:r>
      <w:r w:rsidR="00005C2C" w:rsidRPr="000E48F1">
        <w:rPr>
          <w:rFonts w:hint="cs"/>
          <w:sz w:val="24"/>
          <w:u w:val="single"/>
          <w:rtl/>
        </w:rPr>
        <w:t>,</w:t>
      </w:r>
      <w:r w:rsidRPr="000E48F1">
        <w:rPr>
          <w:sz w:val="24"/>
          <w:u w:val="single"/>
          <w:rtl/>
        </w:rPr>
        <w:t xml:space="preserve"> מביאה לידי קדושה </w:t>
      </w:r>
      <w:proofErr w:type="spellStart"/>
      <w:r w:rsidRPr="000E48F1">
        <w:rPr>
          <w:sz w:val="24"/>
          <w:u w:val="single"/>
          <w:rtl/>
        </w:rPr>
        <w:t>דסעודת</w:t>
      </w:r>
      <w:proofErr w:type="spellEnd"/>
      <w:r w:rsidRPr="000E48F1">
        <w:rPr>
          <w:sz w:val="24"/>
          <w:u w:val="single"/>
          <w:rtl/>
        </w:rPr>
        <w:t xml:space="preserve"> ת"ח הוא אחר לימוד תורה</w:t>
      </w:r>
      <w:r w:rsidRPr="000E48F1">
        <w:rPr>
          <w:rFonts w:hint="cs"/>
          <w:sz w:val="24"/>
          <w:u w:val="single"/>
          <w:rtl/>
        </w:rPr>
        <w:t>"</w:t>
      </w:r>
      <w:r w:rsidRPr="000E48F1">
        <w:rPr>
          <w:rFonts w:hint="cs"/>
          <w:sz w:val="24"/>
          <w:rtl/>
        </w:rPr>
        <w:t>.</w:t>
      </w:r>
    </w:p>
    <w:p w:rsidR="00005C2C" w:rsidRPr="000E48F1" w:rsidRDefault="00005C2C" w:rsidP="00005C2C">
      <w:pPr>
        <w:pStyle w:val="a8"/>
        <w:numPr>
          <w:ilvl w:val="0"/>
          <w:numId w:val="1"/>
        </w:numPr>
        <w:ind w:left="360"/>
        <w:rPr>
          <w:sz w:val="24"/>
        </w:rPr>
      </w:pPr>
      <w:r w:rsidRPr="000E48F1">
        <w:rPr>
          <w:b/>
          <w:bCs/>
          <w:sz w:val="24"/>
          <w:rtl/>
        </w:rPr>
        <w:t>אורות התשובה</w:t>
      </w:r>
      <w:r w:rsidRPr="000E48F1">
        <w:rPr>
          <w:rFonts w:hint="cs"/>
          <w:b/>
          <w:bCs/>
          <w:sz w:val="24"/>
          <w:rtl/>
        </w:rPr>
        <w:t xml:space="preserve">, </w:t>
      </w:r>
      <w:r w:rsidRPr="000E48F1">
        <w:rPr>
          <w:b/>
          <w:bCs/>
          <w:sz w:val="24"/>
          <w:rtl/>
        </w:rPr>
        <w:t>י</w:t>
      </w:r>
      <w:r w:rsidRPr="000E48F1">
        <w:rPr>
          <w:rFonts w:hint="cs"/>
          <w:b/>
          <w:bCs/>
          <w:sz w:val="24"/>
          <w:rtl/>
        </w:rPr>
        <w:t>' א':</w:t>
      </w:r>
      <w:r w:rsidRPr="000E48F1">
        <w:rPr>
          <w:rFonts w:hint="cs"/>
          <w:sz w:val="24"/>
          <w:rtl/>
        </w:rPr>
        <w:t xml:space="preserve"> "</w:t>
      </w:r>
      <w:r w:rsidRPr="000E48F1">
        <w:rPr>
          <w:sz w:val="24"/>
          <w:rtl/>
        </w:rPr>
        <w:t xml:space="preserve">תשובה שלמה באמת צריכה היא להסתכלות עליונה, להתעלות ליקר העולם המלא אמת וקדש, וזה א"א כ"א ע"י עסק מעמקי התורה והחכמה </w:t>
      </w:r>
      <w:proofErr w:type="spellStart"/>
      <w:r w:rsidRPr="000E48F1">
        <w:rPr>
          <w:sz w:val="24"/>
          <w:rtl/>
        </w:rPr>
        <w:t>האלהית</w:t>
      </w:r>
      <w:proofErr w:type="spellEnd"/>
      <w:r w:rsidRPr="000E48F1">
        <w:rPr>
          <w:sz w:val="24"/>
          <w:rtl/>
        </w:rPr>
        <w:t xml:space="preserve"> ברזי עולם. אמנם צריכים לזה </w:t>
      </w:r>
      <w:proofErr w:type="spellStart"/>
      <w:r w:rsidRPr="000E48F1">
        <w:rPr>
          <w:sz w:val="24"/>
          <w:rtl/>
        </w:rPr>
        <w:t>לנקיון</w:t>
      </w:r>
      <w:proofErr w:type="spellEnd"/>
      <w:r w:rsidRPr="000E48F1">
        <w:rPr>
          <w:sz w:val="24"/>
          <w:rtl/>
        </w:rPr>
        <w:t xml:space="preserve"> גופני, לטהרה </w:t>
      </w:r>
      <w:proofErr w:type="spellStart"/>
      <w:r w:rsidRPr="000E48F1">
        <w:rPr>
          <w:sz w:val="24"/>
          <w:rtl/>
        </w:rPr>
        <w:t>מדותית</w:t>
      </w:r>
      <w:proofErr w:type="spellEnd"/>
      <w:r w:rsidRPr="000E48F1">
        <w:rPr>
          <w:sz w:val="24"/>
          <w:rtl/>
        </w:rPr>
        <w:t xml:space="preserve">, בתור עוזרים, שלא יעיבו ענני </w:t>
      </w:r>
      <w:proofErr w:type="spellStart"/>
      <w:r w:rsidRPr="000E48F1">
        <w:rPr>
          <w:sz w:val="24"/>
          <w:rtl/>
        </w:rPr>
        <w:t>התאוה</w:t>
      </w:r>
      <w:proofErr w:type="spellEnd"/>
      <w:r w:rsidRPr="000E48F1">
        <w:rPr>
          <w:sz w:val="24"/>
          <w:rtl/>
        </w:rPr>
        <w:t xml:space="preserve"> את הזוהר השכלי. אבל ראשית לכל ההופעות מוכרחת לבא התורה, </w:t>
      </w:r>
      <w:proofErr w:type="spellStart"/>
      <w:r w:rsidRPr="000E48F1">
        <w:rPr>
          <w:sz w:val="24"/>
          <w:rtl/>
        </w:rPr>
        <w:t>ודוקא</w:t>
      </w:r>
      <w:proofErr w:type="spellEnd"/>
      <w:r w:rsidRPr="000E48F1">
        <w:rPr>
          <w:sz w:val="24"/>
          <w:rtl/>
        </w:rPr>
        <w:t xml:space="preserve"> התורה העליונה, שרק היא משברת את כל מחיצות הברזל שבין האדם היחיד והצבור לבין אביהם שבשמים</w:t>
      </w:r>
      <w:r w:rsidRPr="000E48F1">
        <w:rPr>
          <w:rFonts w:hint="cs"/>
          <w:sz w:val="24"/>
          <w:rtl/>
        </w:rPr>
        <w:t>"</w:t>
      </w:r>
      <w:r w:rsidRPr="000E48F1">
        <w:rPr>
          <w:sz w:val="24"/>
          <w:rtl/>
        </w:rPr>
        <w:t>.</w:t>
      </w:r>
    </w:p>
    <w:p w:rsidR="000E48F1" w:rsidRDefault="000E48F1" w:rsidP="00D75388">
      <w:pPr>
        <w:pStyle w:val="a8"/>
        <w:numPr>
          <w:ilvl w:val="0"/>
          <w:numId w:val="1"/>
        </w:numPr>
        <w:ind w:left="360"/>
        <w:rPr>
          <w:sz w:val="24"/>
        </w:rPr>
      </w:pPr>
      <w:proofErr w:type="spellStart"/>
      <w:r w:rsidRPr="000E48F1">
        <w:rPr>
          <w:b/>
          <w:bCs/>
          <w:sz w:val="24"/>
          <w:rtl/>
        </w:rPr>
        <w:t>רא"ש</w:t>
      </w:r>
      <w:proofErr w:type="spellEnd"/>
      <w:r w:rsidRPr="000E48F1">
        <w:rPr>
          <w:b/>
          <w:bCs/>
          <w:sz w:val="24"/>
          <w:rtl/>
        </w:rPr>
        <w:t xml:space="preserve"> ראש השנה</w:t>
      </w:r>
      <w:r w:rsidRPr="000E48F1">
        <w:rPr>
          <w:rFonts w:hint="cs"/>
          <w:b/>
          <w:bCs/>
          <w:sz w:val="24"/>
          <w:rtl/>
        </w:rPr>
        <w:t xml:space="preserve">, </w:t>
      </w:r>
      <w:r w:rsidRPr="000E48F1">
        <w:rPr>
          <w:b/>
          <w:bCs/>
          <w:sz w:val="24"/>
          <w:rtl/>
        </w:rPr>
        <w:t>ד</w:t>
      </w:r>
      <w:r w:rsidRPr="000E48F1">
        <w:rPr>
          <w:rFonts w:hint="cs"/>
          <w:b/>
          <w:bCs/>
          <w:sz w:val="24"/>
          <w:rtl/>
        </w:rPr>
        <w:t>' י"ד:</w:t>
      </w:r>
      <w:r w:rsidRPr="000E48F1">
        <w:rPr>
          <w:rFonts w:hint="cs"/>
          <w:sz w:val="24"/>
          <w:rtl/>
        </w:rPr>
        <w:t xml:space="preserve"> </w:t>
      </w:r>
      <w:r>
        <w:rPr>
          <w:rFonts w:hint="cs"/>
          <w:sz w:val="24"/>
          <w:rtl/>
        </w:rPr>
        <w:t>"</w:t>
      </w:r>
      <w:r w:rsidRPr="000E48F1">
        <w:rPr>
          <w:sz w:val="24"/>
          <w:rtl/>
        </w:rPr>
        <w:t xml:space="preserve">ירושלמי </w:t>
      </w:r>
      <w:proofErr w:type="spellStart"/>
      <w:r w:rsidRPr="000E48F1">
        <w:rPr>
          <w:sz w:val="24"/>
          <w:rtl/>
        </w:rPr>
        <w:t>בפ"ק</w:t>
      </w:r>
      <w:proofErr w:type="spellEnd"/>
      <w:r w:rsidRPr="000E48F1">
        <w:rPr>
          <w:sz w:val="24"/>
          <w:rtl/>
        </w:rPr>
        <w:t xml:space="preserve"> </w:t>
      </w:r>
      <w:proofErr w:type="spellStart"/>
      <w:r w:rsidRPr="000E48F1">
        <w:rPr>
          <w:sz w:val="24"/>
          <w:rtl/>
        </w:rPr>
        <w:t>דשבת</w:t>
      </w:r>
      <w:proofErr w:type="spellEnd"/>
      <w:r w:rsidRPr="000E48F1">
        <w:rPr>
          <w:sz w:val="24"/>
          <w:rtl/>
        </w:rPr>
        <w:t xml:space="preserve"> (הלכה א) ר' </w:t>
      </w:r>
      <w:proofErr w:type="spellStart"/>
      <w:r w:rsidRPr="000E48F1">
        <w:rPr>
          <w:sz w:val="24"/>
          <w:rtl/>
        </w:rPr>
        <w:t>חייא</w:t>
      </w:r>
      <w:proofErr w:type="spellEnd"/>
      <w:r w:rsidRPr="000E48F1">
        <w:rPr>
          <w:sz w:val="24"/>
          <w:rtl/>
        </w:rPr>
        <w:t xml:space="preserve"> רבה מפקיד לרב אי את יכול למיכל כולה שתא בטהרה אכול ואי לא אכול שבעה ימים </w:t>
      </w:r>
      <w:proofErr w:type="spellStart"/>
      <w:r w:rsidRPr="000E48F1">
        <w:rPr>
          <w:sz w:val="24"/>
          <w:rtl/>
        </w:rPr>
        <w:t>בשתא</w:t>
      </w:r>
      <w:proofErr w:type="spellEnd"/>
      <w:r w:rsidRPr="000E48F1">
        <w:rPr>
          <w:sz w:val="24"/>
          <w:rtl/>
        </w:rPr>
        <w:t xml:space="preserve"> וכתב </w:t>
      </w:r>
      <w:proofErr w:type="spellStart"/>
      <w:r w:rsidRPr="000E48F1">
        <w:rPr>
          <w:sz w:val="24"/>
          <w:rtl/>
        </w:rPr>
        <w:t>ראב"י</w:t>
      </w:r>
      <w:proofErr w:type="spellEnd"/>
      <w:r w:rsidRPr="000E48F1">
        <w:rPr>
          <w:sz w:val="24"/>
          <w:rtl/>
        </w:rPr>
        <w:t xml:space="preserve"> </w:t>
      </w:r>
      <w:proofErr w:type="spellStart"/>
      <w:r w:rsidRPr="000E48F1">
        <w:rPr>
          <w:sz w:val="24"/>
          <w:rtl/>
        </w:rPr>
        <w:t>העזרי</w:t>
      </w:r>
      <w:proofErr w:type="spellEnd"/>
      <w:r w:rsidRPr="000E48F1">
        <w:rPr>
          <w:sz w:val="24"/>
          <w:rtl/>
        </w:rPr>
        <w:t xml:space="preserve"> ז"ל קבלתי שאלו שבעה ימים הן שבין ראש השנה ליום הכפורים על כן נהגו באשכנז אף אותן שאין </w:t>
      </w:r>
      <w:proofErr w:type="spellStart"/>
      <w:r w:rsidRPr="000E48F1">
        <w:rPr>
          <w:sz w:val="24"/>
          <w:rtl/>
        </w:rPr>
        <w:t>נזהרין</w:t>
      </w:r>
      <w:proofErr w:type="spellEnd"/>
      <w:r w:rsidRPr="000E48F1">
        <w:rPr>
          <w:sz w:val="24"/>
          <w:rtl/>
        </w:rPr>
        <w:t xml:space="preserve"> מפת של נכרים כל השנה בעשרת ימי התשובה </w:t>
      </w:r>
      <w:proofErr w:type="spellStart"/>
      <w:r w:rsidRPr="000E48F1">
        <w:rPr>
          <w:sz w:val="24"/>
          <w:rtl/>
        </w:rPr>
        <w:t>נזהרין</w:t>
      </w:r>
      <w:proofErr w:type="spellEnd"/>
      <w:r>
        <w:rPr>
          <w:rFonts w:hint="cs"/>
          <w:sz w:val="24"/>
          <w:rtl/>
        </w:rPr>
        <w:t>".</w:t>
      </w:r>
    </w:p>
    <w:p w:rsidR="00B21280" w:rsidRPr="00B21280" w:rsidRDefault="00B21280" w:rsidP="007877E8">
      <w:pPr>
        <w:pStyle w:val="a8"/>
        <w:numPr>
          <w:ilvl w:val="0"/>
          <w:numId w:val="1"/>
        </w:numPr>
        <w:ind w:left="360"/>
        <w:rPr>
          <w:sz w:val="24"/>
        </w:rPr>
      </w:pPr>
      <w:r w:rsidRPr="00B21280">
        <w:rPr>
          <w:b/>
          <w:bCs/>
          <w:sz w:val="24"/>
          <w:rtl/>
        </w:rPr>
        <w:t>טור אורח חיים</w:t>
      </w:r>
      <w:r w:rsidRPr="00B21280">
        <w:rPr>
          <w:rFonts w:hint="cs"/>
          <w:b/>
          <w:bCs/>
          <w:sz w:val="24"/>
          <w:rtl/>
        </w:rPr>
        <w:t>, תר"ג:</w:t>
      </w:r>
      <w:r w:rsidRPr="00B21280">
        <w:rPr>
          <w:rFonts w:hint="cs"/>
          <w:sz w:val="24"/>
          <w:rtl/>
        </w:rPr>
        <w:t xml:space="preserve"> </w:t>
      </w:r>
      <w:r>
        <w:rPr>
          <w:rFonts w:hint="cs"/>
          <w:sz w:val="24"/>
          <w:rtl/>
        </w:rPr>
        <w:t>"</w:t>
      </w:r>
      <w:r w:rsidRPr="00B21280">
        <w:rPr>
          <w:sz w:val="24"/>
          <w:rtl/>
        </w:rPr>
        <w:t xml:space="preserve">וקורא אותן ז' ימים לפי שבר"ה לא היה צריך להזהיר לאכול בטהרה שפשיטא שיאכל בטהרה שחייב אדם לטהר עצמו ברגל ולא נשאר עדיין אלא ז' ימי חול שהוצרך להזהירו עליהן וע"כ </w:t>
      </w:r>
      <w:proofErr w:type="spellStart"/>
      <w:r w:rsidRPr="00B21280">
        <w:rPr>
          <w:sz w:val="24"/>
          <w:rtl/>
        </w:rPr>
        <w:t>נוהגין</w:t>
      </w:r>
      <w:proofErr w:type="spellEnd"/>
      <w:r w:rsidRPr="00B21280">
        <w:rPr>
          <w:sz w:val="24"/>
          <w:rtl/>
        </w:rPr>
        <w:t xml:space="preserve"> באשכנז שאף מי שאינו נ</w:t>
      </w:r>
      <w:r>
        <w:rPr>
          <w:sz w:val="24"/>
          <w:rtl/>
        </w:rPr>
        <w:t>זהר מפת של עו"ג בעשי"ת הוא נזהר</w:t>
      </w:r>
      <w:r>
        <w:rPr>
          <w:rFonts w:hint="cs"/>
          <w:sz w:val="24"/>
          <w:rtl/>
        </w:rPr>
        <w:t>".</w:t>
      </w:r>
    </w:p>
    <w:p w:rsidR="000E48F1" w:rsidRPr="000E48F1" w:rsidRDefault="000E48F1" w:rsidP="006F5F55">
      <w:pPr>
        <w:pStyle w:val="a8"/>
        <w:numPr>
          <w:ilvl w:val="0"/>
          <w:numId w:val="1"/>
        </w:numPr>
        <w:ind w:left="360"/>
        <w:rPr>
          <w:sz w:val="24"/>
        </w:rPr>
      </w:pPr>
      <w:r w:rsidRPr="000E48F1">
        <w:rPr>
          <w:b/>
          <w:bCs/>
          <w:sz w:val="24"/>
          <w:rtl/>
        </w:rPr>
        <w:t xml:space="preserve">שולחן ערוך </w:t>
      </w:r>
      <w:proofErr w:type="spellStart"/>
      <w:r w:rsidRPr="000E48F1">
        <w:rPr>
          <w:rFonts w:hint="cs"/>
          <w:b/>
          <w:bCs/>
          <w:sz w:val="24"/>
          <w:rtl/>
        </w:rPr>
        <w:t>ורמ"א</w:t>
      </w:r>
      <w:proofErr w:type="spellEnd"/>
      <w:r w:rsidRPr="000E48F1">
        <w:rPr>
          <w:rFonts w:hint="cs"/>
          <w:b/>
          <w:bCs/>
          <w:sz w:val="24"/>
          <w:rtl/>
        </w:rPr>
        <w:t xml:space="preserve"> </w:t>
      </w:r>
      <w:r w:rsidRPr="000E48F1">
        <w:rPr>
          <w:b/>
          <w:bCs/>
          <w:sz w:val="24"/>
          <w:rtl/>
        </w:rPr>
        <w:t>אורח חיים</w:t>
      </w:r>
      <w:r w:rsidRPr="000E48F1">
        <w:rPr>
          <w:rFonts w:hint="cs"/>
          <w:b/>
          <w:bCs/>
          <w:sz w:val="24"/>
          <w:rtl/>
        </w:rPr>
        <w:t>, תר"ג א':</w:t>
      </w:r>
      <w:r w:rsidRPr="000E48F1">
        <w:rPr>
          <w:rFonts w:hint="cs"/>
          <w:sz w:val="24"/>
        </w:rPr>
        <w:t xml:space="preserve"> </w:t>
      </w:r>
      <w:r>
        <w:rPr>
          <w:rFonts w:hint="cs"/>
          <w:sz w:val="24"/>
          <w:rtl/>
        </w:rPr>
        <w:t>"</w:t>
      </w:r>
      <w:r w:rsidRPr="000E48F1">
        <w:rPr>
          <w:sz w:val="24"/>
          <w:rtl/>
        </w:rPr>
        <w:t>אף מי שאינו נזהר מפת של כותים, בעשרת ימי תשובה צריך ליזהר. הגה: ויש לכל אדם לחפש ולפשפש במעשיו ולשוב מהם בעשרת ימי תשובה; וספק עבירה צריך יותר תשובה מעבירה ודאי, כי יותר מתחרט כשיודע שעשה משאינו יודע, ולכן קרבן אשם תלוי הוצרך להיות יותר ביוקר מחטאת (</w:t>
      </w:r>
      <w:proofErr w:type="spellStart"/>
      <w:r w:rsidRPr="000E48F1">
        <w:rPr>
          <w:sz w:val="24"/>
          <w:rtl/>
        </w:rPr>
        <w:t>ד"ע</w:t>
      </w:r>
      <w:proofErr w:type="spellEnd"/>
      <w:r w:rsidRPr="000E48F1">
        <w:rPr>
          <w:sz w:val="24"/>
          <w:rtl/>
        </w:rPr>
        <w:t xml:space="preserve"> ורבינו יונה ריש ברכות)</w:t>
      </w:r>
      <w:r>
        <w:rPr>
          <w:rFonts w:hint="cs"/>
          <w:sz w:val="24"/>
          <w:rtl/>
        </w:rPr>
        <w:t>"</w:t>
      </w:r>
      <w:r w:rsidRPr="000E48F1">
        <w:rPr>
          <w:sz w:val="24"/>
          <w:rtl/>
        </w:rPr>
        <w:t>.</w:t>
      </w:r>
    </w:p>
    <w:p w:rsidR="001C03B0" w:rsidRPr="000E48F1" w:rsidRDefault="001C03B0" w:rsidP="00AB336B">
      <w:pPr>
        <w:pStyle w:val="a8"/>
        <w:numPr>
          <w:ilvl w:val="0"/>
          <w:numId w:val="1"/>
        </w:numPr>
        <w:ind w:left="360"/>
        <w:rPr>
          <w:sz w:val="24"/>
        </w:rPr>
      </w:pPr>
      <w:r w:rsidRPr="000E48F1">
        <w:rPr>
          <w:b/>
          <w:bCs/>
          <w:sz w:val="24"/>
          <w:rtl/>
        </w:rPr>
        <w:t>מגן אברהם</w:t>
      </w:r>
      <w:r w:rsidRPr="000E48F1">
        <w:rPr>
          <w:rFonts w:hint="cs"/>
          <w:b/>
          <w:bCs/>
          <w:sz w:val="24"/>
          <w:rtl/>
        </w:rPr>
        <w:t>,</w:t>
      </w:r>
      <w:r w:rsidRPr="000E48F1">
        <w:rPr>
          <w:b/>
          <w:bCs/>
          <w:sz w:val="24"/>
          <w:rtl/>
        </w:rPr>
        <w:t xml:space="preserve"> </w:t>
      </w:r>
      <w:r w:rsidR="00AB336B">
        <w:rPr>
          <w:rFonts w:hint="cs"/>
          <w:b/>
          <w:bCs/>
          <w:sz w:val="24"/>
          <w:rtl/>
        </w:rPr>
        <w:t>שם</w:t>
      </w:r>
      <w:bookmarkStart w:id="0" w:name="_GoBack"/>
      <w:bookmarkEnd w:id="0"/>
      <w:r w:rsidRPr="000E48F1">
        <w:rPr>
          <w:rFonts w:hint="cs"/>
          <w:b/>
          <w:bCs/>
          <w:sz w:val="24"/>
          <w:rtl/>
        </w:rPr>
        <w:t>:</w:t>
      </w:r>
      <w:r w:rsidRPr="000E48F1">
        <w:rPr>
          <w:rFonts w:hint="cs"/>
          <w:sz w:val="24"/>
          <w:rtl/>
        </w:rPr>
        <w:t xml:space="preserve"> "</w:t>
      </w:r>
      <w:proofErr w:type="spellStart"/>
      <w:r w:rsidRPr="000E48F1">
        <w:rPr>
          <w:sz w:val="24"/>
          <w:rtl/>
        </w:rPr>
        <w:t>ושל"ה</w:t>
      </w:r>
      <w:proofErr w:type="spellEnd"/>
      <w:r w:rsidRPr="000E48F1">
        <w:rPr>
          <w:sz w:val="24"/>
          <w:rtl/>
        </w:rPr>
        <w:t xml:space="preserve"> דף ס"ז כ' שהחסידים נהגו לאכול חולין בטהרה ואף שכלנו טמאי מתים</w:t>
      </w:r>
      <w:r w:rsidR="000E48F1">
        <w:rPr>
          <w:rFonts w:hint="cs"/>
          <w:sz w:val="24"/>
          <w:rtl/>
        </w:rPr>
        <w:t>,</w:t>
      </w:r>
      <w:r w:rsidRPr="000E48F1">
        <w:rPr>
          <w:sz w:val="24"/>
          <w:rtl/>
        </w:rPr>
        <w:t xml:space="preserve"> מ"מ יאכל דגן שלא הוכשר ונילוש במי פירות </w:t>
      </w:r>
      <w:proofErr w:type="spellStart"/>
      <w:r w:rsidRPr="000E48F1">
        <w:rPr>
          <w:sz w:val="24"/>
          <w:rtl/>
        </w:rPr>
        <w:t>וישוח</w:t>
      </w:r>
      <w:proofErr w:type="spellEnd"/>
      <w:r w:rsidRPr="000E48F1">
        <w:rPr>
          <w:sz w:val="24"/>
          <w:rtl/>
        </w:rPr>
        <w:t xml:space="preserve"> וישתה מן הבאר שלא יגע בהם ויטמאם עכ"ל, וצ"ע </w:t>
      </w:r>
      <w:proofErr w:type="spellStart"/>
      <w:r w:rsidRPr="000E48F1">
        <w:rPr>
          <w:sz w:val="24"/>
          <w:rtl/>
        </w:rPr>
        <w:t>דנטמאו</w:t>
      </w:r>
      <w:proofErr w:type="spellEnd"/>
      <w:r w:rsidRPr="000E48F1">
        <w:rPr>
          <w:sz w:val="24"/>
          <w:rtl/>
        </w:rPr>
        <w:t xml:space="preserve"> בפיו כדאי' בקידושין דף כ"ה ובכמה </w:t>
      </w:r>
      <w:proofErr w:type="spellStart"/>
      <w:r w:rsidRPr="000E48F1">
        <w:rPr>
          <w:sz w:val="24"/>
          <w:rtl/>
        </w:rPr>
        <w:t>דוכתי</w:t>
      </w:r>
      <w:proofErr w:type="spellEnd"/>
      <w:r w:rsidRPr="000E48F1">
        <w:rPr>
          <w:rFonts w:hint="cs"/>
          <w:sz w:val="24"/>
          <w:rtl/>
        </w:rPr>
        <w:t>".</w:t>
      </w:r>
    </w:p>
    <w:sectPr w:rsidR="001C03B0" w:rsidRPr="000E48F1" w:rsidSect="00656813">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E00" w:rsidRDefault="00403E00" w:rsidP="001250C8">
      <w:pPr>
        <w:spacing w:line="240" w:lineRule="auto"/>
      </w:pPr>
      <w:r>
        <w:separator/>
      </w:r>
    </w:p>
  </w:endnote>
  <w:endnote w:type="continuationSeparator" w:id="0">
    <w:p w:rsidR="00403E00" w:rsidRDefault="00403E00" w:rsidP="00125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E00" w:rsidRDefault="00403E00" w:rsidP="001250C8">
      <w:pPr>
        <w:spacing w:line="240" w:lineRule="auto"/>
      </w:pPr>
      <w:r>
        <w:separator/>
      </w:r>
    </w:p>
  </w:footnote>
  <w:footnote w:type="continuationSeparator" w:id="0">
    <w:p w:rsidR="00403E00" w:rsidRDefault="00403E00" w:rsidP="001250C8">
      <w:pPr>
        <w:spacing w:line="240" w:lineRule="auto"/>
      </w:pPr>
      <w:r>
        <w:continuationSeparator/>
      </w:r>
    </w:p>
  </w:footnote>
  <w:footnote w:id="1">
    <w:p w:rsidR="001C03B0" w:rsidRDefault="001C03B0">
      <w:pPr>
        <w:pStyle w:val="a5"/>
        <w:rPr>
          <w:rFonts w:hint="cs"/>
          <w:rtl/>
        </w:rPr>
      </w:pPr>
      <w:r>
        <w:rPr>
          <w:rStyle w:val="a7"/>
        </w:rPr>
        <w:footnoteRef/>
      </w:r>
      <w:r>
        <w:rPr>
          <w:rtl/>
        </w:rPr>
        <w:t xml:space="preserve"> </w:t>
      </w:r>
      <w:r>
        <w:rPr>
          <w:rFonts w:hint="cs"/>
          <w:rtl/>
        </w:rPr>
        <w:t xml:space="preserve">ישנם נימוקים שונים בראשונים למעלה באכילת חולין על טהרת הקודש, ועסקנו בהם בהרחבה בדף המקורות לעיל בדף ל"ד. הבאנו שם גם כמה מן ההיבטים הרעיוניים באכילת חולין בטהרה. </w:t>
      </w:r>
    </w:p>
  </w:footnote>
  <w:footnote w:id="2">
    <w:p w:rsidR="000E48F1" w:rsidRDefault="000E48F1" w:rsidP="000E48F1">
      <w:pPr>
        <w:pStyle w:val="a5"/>
        <w:rPr>
          <w:rtl/>
        </w:rPr>
      </w:pPr>
      <w:r>
        <w:rPr>
          <w:rStyle w:val="a7"/>
        </w:rPr>
        <w:footnoteRef/>
      </w:r>
      <w:r>
        <w:rPr>
          <w:rtl/>
        </w:rPr>
        <w:t xml:space="preserve"> </w:t>
      </w:r>
      <w:r>
        <w:rPr>
          <w:rFonts w:hint="cs"/>
          <w:rtl/>
        </w:rPr>
        <w:t xml:space="preserve">על פי </w:t>
      </w:r>
      <w:proofErr w:type="spellStart"/>
      <w:r>
        <w:rPr>
          <w:rFonts w:hint="cs"/>
          <w:rtl/>
        </w:rPr>
        <w:t>גירסת</w:t>
      </w:r>
      <w:proofErr w:type="spellEnd"/>
      <w:r>
        <w:rPr>
          <w:rFonts w:hint="cs"/>
          <w:rtl/>
        </w:rPr>
        <w:t xml:space="preserve"> </w:t>
      </w:r>
      <w:proofErr w:type="spellStart"/>
      <w:r>
        <w:rPr>
          <w:rFonts w:hint="cs"/>
          <w:rtl/>
        </w:rPr>
        <w:t>הרמח"ל</w:t>
      </w:r>
      <w:proofErr w:type="spellEnd"/>
      <w:r>
        <w:rPr>
          <w:rFonts w:hint="cs"/>
          <w:rtl/>
        </w:rPr>
        <w:t xml:space="preserve"> בברייתא, הטהרה מביאה לידי חסידות.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B60699"/>
    <w:multiLevelType w:val="hybridMultilevel"/>
    <w:tmpl w:val="97729712"/>
    <w:lvl w:ilvl="0" w:tplc="3AECDE9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B978F7"/>
    <w:multiLevelType w:val="hybridMultilevel"/>
    <w:tmpl w:val="C226ABE0"/>
    <w:lvl w:ilvl="0" w:tplc="3AECDE9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1E9"/>
    <w:rsid w:val="00005C2C"/>
    <w:rsid w:val="000A3091"/>
    <w:rsid w:val="000E48F1"/>
    <w:rsid w:val="001250C8"/>
    <w:rsid w:val="001C03B0"/>
    <w:rsid w:val="001C1F0F"/>
    <w:rsid w:val="002E1DB7"/>
    <w:rsid w:val="00403E00"/>
    <w:rsid w:val="00477307"/>
    <w:rsid w:val="00656813"/>
    <w:rsid w:val="006A29B5"/>
    <w:rsid w:val="007411E9"/>
    <w:rsid w:val="007C3B89"/>
    <w:rsid w:val="008267D4"/>
    <w:rsid w:val="008A0A58"/>
    <w:rsid w:val="00A13A6B"/>
    <w:rsid w:val="00AB336B"/>
    <w:rsid w:val="00B21280"/>
    <w:rsid w:val="00B45A22"/>
    <w:rsid w:val="00B614DA"/>
    <w:rsid w:val="00C44B40"/>
    <w:rsid w:val="00C81CF1"/>
    <w:rsid w:val="00C87C13"/>
    <w:rsid w:val="00E93D7D"/>
    <w:rsid w:val="00EC33C6"/>
    <w:rsid w:val="00F2404F"/>
    <w:rsid w:val="00F73C37"/>
    <w:rsid w:val="00FE43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6B8F6C-27D8-422E-A2EC-7531FA53B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813"/>
    <w:pPr>
      <w:bidi/>
      <w:spacing w:after="0" w:line="360" w:lineRule="auto"/>
      <w:jc w:val="both"/>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ציטוט 1"/>
    <w:basedOn w:val="a"/>
    <w:next w:val="a"/>
    <w:rsid w:val="00656813"/>
    <w:pPr>
      <w:ind w:left="566" w:right="720"/>
    </w:pPr>
    <w:rPr>
      <w:rFonts w:ascii="Narkisim" w:eastAsia="Times New Roman" w:hAnsi="Narkisim" w:cs="Narkisim"/>
      <w:sz w:val="20"/>
    </w:rPr>
  </w:style>
  <w:style w:type="paragraph" w:customStyle="1" w:styleId="a3">
    <w:name w:val="כותרת מאמר"/>
    <w:basedOn w:val="a"/>
    <w:next w:val="a"/>
    <w:qFormat/>
    <w:rsid w:val="00656813"/>
    <w:pPr>
      <w:jc w:val="center"/>
    </w:pPr>
    <w:rPr>
      <w:rFonts w:ascii="David" w:eastAsia="Times New Roman" w:hAnsi="David"/>
      <w:b/>
      <w:bCs/>
      <w:sz w:val="24"/>
      <w:szCs w:val="28"/>
      <w:u w:val="single"/>
    </w:rPr>
  </w:style>
  <w:style w:type="paragraph" w:customStyle="1" w:styleId="a4">
    <w:name w:val="ציטוט מקור"/>
    <w:basedOn w:val="a"/>
    <w:next w:val="a"/>
    <w:qFormat/>
    <w:rsid w:val="00B45A22"/>
    <w:pPr>
      <w:ind w:left="340" w:right="340"/>
    </w:pPr>
    <w:rPr>
      <w:szCs w:val="22"/>
    </w:rPr>
  </w:style>
  <w:style w:type="paragraph" w:styleId="a5">
    <w:name w:val="footnote text"/>
    <w:basedOn w:val="a"/>
    <w:link w:val="a6"/>
    <w:uiPriority w:val="99"/>
    <w:semiHidden/>
    <w:unhideWhenUsed/>
    <w:rsid w:val="001250C8"/>
    <w:pPr>
      <w:spacing w:line="240" w:lineRule="auto"/>
    </w:pPr>
    <w:rPr>
      <w:sz w:val="20"/>
      <w:szCs w:val="20"/>
    </w:rPr>
  </w:style>
  <w:style w:type="character" w:customStyle="1" w:styleId="a6">
    <w:name w:val="טקסט הערת שוליים תו"/>
    <w:basedOn w:val="a0"/>
    <w:link w:val="a5"/>
    <w:uiPriority w:val="99"/>
    <w:semiHidden/>
    <w:rsid w:val="001250C8"/>
    <w:rPr>
      <w:rFonts w:cs="David"/>
      <w:sz w:val="20"/>
      <w:szCs w:val="20"/>
    </w:rPr>
  </w:style>
  <w:style w:type="character" w:styleId="a7">
    <w:name w:val="footnote reference"/>
    <w:basedOn w:val="a0"/>
    <w:uiPriority w:val="99"/>
    <w:semiHidden/>
    <w:unhideWhenUsed/>
    <w:rsid w:val="001250C8"/>
    <w:rPr>
      <w:vertAlign w:val="superscript"/>
    </w:rPr>
  </w:style>
  <w:style w:type="paragraph" w:styleId="a8">
    <w:name w:val="List Paragraph"/>
    <w:basedOn w:val="a"/>
    <w:uiPriority w:val="34"/>
    <w:qFormat/>
    <w:rsid w:val="00F73C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02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1514;&#1489;&#1504;&#1497;&#1493;&#1514;%20&#1502;&#1493;&#1514;&#1488;&#1502;&#1493;&#1514;%20&#1488;&#1497;&#1513;&#1497;&#1514;%20&#1513;&#1500;%20Office\&#1488;&#1493;&#1491;&#149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אודי</Template>
  <TotalTime>26</TotalTime>
  <Pages>3</Pages>
  <Words>1572</Words>
  <Characters>7864</Characters>
  <Application>Microsoft Office Word</Application>
  <DocSecurity>0</DocSecurity>
  <Lines>65</Lines>
  <Paragraphs>18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2026-09-05T18:48:00Z</dcterms:created>
  <dcterms:modified xsi:type="dcterms:W3CDTF">2026-09-05T19:14:00Z</dcterms:modified>
</cp:coreProperties>
</file>