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B63D" w14:textId="77777777" w:rsidR="004F00AC" w:rsidRPr="00E61E36" w:rsidRDefault="004F00AC" w:rsidP="004F00AC">
      <w:pPr>
        <w:pStyle w:val="2"/>
        <w:jc w:val="both"/>
        <w:rPr>
          <w:b/>
          <w:bCs/>
          <w:sz w:val="32"/>
          <w:szCs w:val="32"/>
          <w:u w:val="single"/>
          <w:rtl/>
        </w:rPr>
      </w:pPr>
      <w:r w:rsidRPr="00E61E36">
        <w:rPr>
          <w:b/>
          <w:bCs/>
          <w:sz w:val="32"/>
          <w:szCs w:val="32"/>
          <w:u w:val="single"/>
          <w:rtl/>
        </w:rPr>
        <w:t>המניינים המוזכרים במשנה</w:t>
      </w:r>
    </w:p>
    <w:p w14:paraId="07E02C1D" w14:textId="77777777" w:rsidR="004F00AC" w:rsidRDefault="004F00AC" w:rsidP="004F00AC">
      <w:pPr>
        <w:pStyle w:val="2"/>
        <w:spacing w:line="320" w:lineRule="exact"/>
        <w:jc w:val="both"/>
        <w:rPr>
          <w:rtl/>
        </w:rPr>
      </w:pPr>
    </w:p>
    <w:p w14:paraId="3E090204" w14:textId="0B6EF40C" w:rsidR="004F00AC" w:rsidRPr="004F78EF" w:rsidRDefault="004F00AC" w:rsidP="004F00AC">
      <w:pPr>
        <w:pStyle w:val="3"/>
        <w:spacing w:line="320" w:lineRule="exact"/>
        <w:jc w:val="both"/>
        <w:rPr>
          <w:rFonts w:cs="David"/>
          <w:sz w:val="24"/>
          <w:szCs w:val="24"/>
          <w:rtl/>
        </w:rPr>
      </w:pPr>
      <w:r>
        <w:rPr>
          <w:rFonts w:cs="David" w:hint="cs"/>
          <w:sz w:val="24"/>
          <w:szCs w:val="24"/>
          <w:rtl/>
        </w:rPr>
        <w:t>שנינו ב</w:t>
      </w:r>
      <w:r w:rsidRPr="004F78EF">
        <w:rPr>
          <w:rFonts w:cs="David"/>
          <w:sz w:val="24"/>
          <w:szCs w:val="24"/>
          <w:rtl/>
        </w:rPr>
        <w:t>משנה בגיטין (פ"ח, מ"ה):</w:t>
      </w:r>
    </w:p>
    <w:p w14:paraId="7A9F371B" w14:textId="77777777" w:rsidR="004F00AC" w:rsidRPr="004F78EF" w:rsidRDefault="004F00AC" w:rsidP="004F00AC">
      <w:pPr>
        <w:pStyle w:val="3"/>
        <w:spacing w:line="320" w:lineRule="exact"/>
        <w:rPr>
          <w:rFonts w:cs="David"/>
          <w:sz w:val="24"/>
          <w:szCs w:val="24"/>
          <w:rtl/>
        </w:rPr>
      </w:pPr>
    </w:p>
    <w:p w14:paraId="4911F6FA" w14:textId="77777777" w:rsidR="004F00AC" w:rsidRPr="00055860" w:rsidRDefault="004F00AC" w:rsidP="004F00AC">
      <w:pPr>
        <w:pStyle w:val="a3"/>
        <w:spacing w:line="320" w:lineRule="exact"/>
        <w:rPr>
          <w:rFonts w:ascii="Arial" w:hAnsi="Arial" w:cs="Arial"/>
          <w:b/>
          <w:bCs/>
          <w:sz w:val="24"/>
          <w:szCs w:val="24"/>
          <w:rtl/>
        </w:rPr>
      </w:pPr>
      <w:r w:rsidRPr="00055860">
        <w:rPr>
          <w:rFonts w:ascii="Arial" w:hAnsi="Arial" w:cs="Arial"/>
          <w:b/>
          <w:bCs/>
          <w:sz w:val="24"/>
          <w:szCs w:val="24"/>
          <w:rtl/>
        </w:rPr>
        <w:t xml:space="preserve">כתב לשום מלכות שאינה הוגנת, לשום מלכות מדי, לשום מלכות יון, לבנין הבית, לחרבן הבית; היה במזרח וכתב: במערב, במערב וכתב במזרח - תצא מזה ומזה, וצריכה גט מזה ומזה.  </w:t>
      </w:r>
    </w:p>
    <w:p w14:paraId="513CAB83" w14:textId="77777777" w:rsidR="004F00AC" w:rsidRDefault="004F00AC" w:rsidP="004F00AC">
      <w:pPr>
        <w:pStyle w:val="3"/>
        <w:spacing w:line="320" w:lineRule="exact"/>
        <w:rPr>
          <w:rFonts w:cs="David" w:hint="cs"/>
          <w:sz w:val="24"/>
          <w:szCs w:val="24"/>
          <w:rtl/>
        </w:rPr>
      </w:pPr>
    </w:p>
    <w:p w14:paraId="1F8CA080" w14:textId="77777777" w:rsidR="004F00AC" w:rsidRPr="004F78EF" w:rsidRDefault="004F00AC" w:rsidP="004F00AC">
      <w:pPr>
        <w:pStyle w:val="3"/>
        <w:spacing w:line="320" w:lineRule="exact"/>
        <w:rPr>
          <w:rFonts w:cs="David"/>
          <w:sz w:val="24"/>
          <w:szCs w:val="24"/>
          <w:rtl/>
        </w:rPr>
      </w:pPr>
      <w:r w:rsidRPr="004F78EF">
        <w:rPr>
          <w:rFonts w:cs="David"/>
          <w:sz w:val="24"/>
          <w:szCs w:val="24"/>
          <w:rtl/>
        </w:rPr>
        <w:t xml:space="preserve">אחת מהדרישות לכשרותו של גט היא שיהיה רשום בו זמן. </w:t>
      </w:r>
    </w:p>
    <w:p w14:paraId="70F61528" w14:textId="77777777" w:rsidR="004F00AC" w:rsidRPr="004F78EF" w:rsidRDefault="004F00AC" w:rsidP="004F00AC">
      <w:pPr>
        <w:pStyle w:val="3"/>
        <w:spacing w:line="320" w:lineRule="exact"/>
        <w:rPr>
          <w:rFonts w:cs="David"/>
          <w:sz w:val="24"/>
          <w:szCs w:val="24"/>
          <w:rtl/>
        </w:rPr>
      </w:pPr>
      <w:r w:rsidRPr="004F78EF">
        <w:rPr>
          <w:rFonts w:cs="David"/>
          <w:sz w:val="24"/>
          <w:szCs w:val="24"/>
          <w:rtl/>
        </w:rPr>
        <w:t>וזה לשון הרמב"ם גירושין פ"א הכ"ד:</w:t>
      </w:r>
    </w:p>
    <w:p w14:paraId="2B968463" w14:textId="77777777" w:rsidR="004F00AC" w:rsidRPr="004F78EF" w:rsidRDefault="004F00AC" w:rsidP="004F00AC">
      <w:pPr>
        <w:pStyle w:val="3"/>
        <w:spacing w:line="320" w:lineRule="exact"/>
        <w:rPr>
          <w:rFonts w:cs="David"/>
          <w:sz w:val="24"/>
          <w:szCs w:val="24"/>
          <w:rtl/>
        </w:rPr>
      </w:pPr>
      <w:r w:rsidRPr="004F78EF">
        <w:rPr>
          <w:rFonts w:cs="David"/>
          <w:sz w:val="24"/>
          <w:szCs w:val="24"/>
          <w:rtl/>
        </w:rPr>
        <w:t xml:space="preserve"> </w:t>
      </w:r>
    </w:p>
    <w:p w14:paraId="48619053" w14:textId="77777777" w:rsidR="004F00AC" w:rsidRPr="004F78EF" w:rsidRDefault="004F00AC" w:rsidP="004F00AC">
      <w:pPr>
        <w:pStyle w:val="3"/>
        <w:spacing w:line="320" w:lineRule="exact"/>
        <w:jc w:val="both"/>
        <w:rPr>
          <w:rFonts w:cs="Arial"/>
          <w:b/>
          <w:bCs/>
          <w:sz w:val="24"/>
          <w:szCs w:val="24"/>
          <w:rtl/>
        </w:rPr>
      </w:pPr>
      <w:r w:rsidRPr="004F78EF">
        <w:rPr>
          <w:rFonts w:cs="Arial"/>
          <w:b/>
          <w:bCs/>
          <w:sz w:val="24"/>
          <w:szCs w:val="24"/>
          <w:rtl/>
        </w:rPr>
        <w:t>וכן התקינו חכמים שיכתוב זמן</w:t>
      </w:r>
      <w:r>
        <w:rPr>
          <w:rFonts w:cs="Arial" w:hint="cs"/>
          <w:b/>
          <w:bCs/>
          <w:sz w:val="24"/>
          <w:szCs w:val="24"/>
          <w:rtl/>
        </w:rPr>
        <w:t xml:space="preserve"> </w:t>
      </w:r>
      <w:r w:rsidRPr="004F78EF">
        <w:rPr>
          <w:rFonts w:cs="Arial"/>
          <w:b/>
          <w:bCs/>
          <w:sz w:val="24"/>
          <w:szCs w:val="24"/>
          <w:rtl/>
        </w:rPr>
        <w:t>בגט, ומקום כתיבתו כשאר השטרות.</w:t>
      </w:r>
      <w:r>
        <w:rPr>
          <w:rFonts w:cs="Arial" w:hint="cs"/>
          <w:b/>
          <w:bCs/>
          <w:sz w:val="24"/>
          <w:szCs w:val="24"/>
          <w:rtl/>
        </w:rPr>
        <w:t xml:space="preserve"> </w:t>
      </w:r>
      <w:r w:rsidRPr="004F78EF">
        <w:rPr>
          <w:rFonts w:cs="Arial"/>
          <w:b/>
          <w:bCs/>
          <w:sz w:val="24"/>
          <w:szCs w:val="24"/>
          <w:rtl/>
        </w:rPr>
        <w:t>שמא תהיה אשתו קרובתו ותזנה כשהיא תחתיו, ויכתוב לה גט אחר הזנות ויתן לה.</w:t>
      </w:r>
      <w:r>
        <w:rPr>
          <w:rFonts w:cs="Arial" w:hint="cs"/>
          <w:b/>
          <w:bCs/>
          <w:sz w:val="24"/>
          <w:szCs w:val="24"/>
          <w:rtl/>
        </w:rPr>
        <w:t xml:space="preserve"> </w:t>
      </w:r>
      <w:r w:rsidRPr="004F78EF">
        <w:rPr>
          <w:rFonts w:cs="Arial"/>
          <w:b/>
          <w:bCs/>
          <w:sz w:val="24"/>
          <w:szCs w:val="24"/>
          <w:rtl/>
        </w:rPr>
        <w:t xml:space="preserve">ואם לא יהיה בו זמן יכולה לומר: "קודם הזנות נתגרשתי"; </w:t>
      </w:r>
      <w:r>
        <w:rPr>
          <w:rFonts w:cs="Arial" w:hint="cs"/>
          <w:b/>
          <w:bCs/>
          <w:sz w:val="24"/>
          <w:szCs w:val="24"/>
          <w:rtl/>
        </w:rPr>
        <w:t>ו</w:t>
      </w:r>
      <w:r w:rsidRPr="004F78EF">
        <w:rPr>
          <w:rFonts w:cs="Arial"/>
          <w:b/>
          <w:bCs/>
          <w:sz w:val="24"/>
          <w:szCs w:val="24"/>
          <w:rtl/>
        </w:rPr>
        <w:t>לפיכך תקנו זמן בגיטין.</w:t>
      </w:r>
    </w:p>
    <w:p w14:paraId="61EA8921" w14:textId="77777777" w:rsidR="004F00AC" w:rsidRPr="004F78EF" w:rsidRDefault="004F00AC" w:rsidP="004F00AC">
      <w:pPr>
        <w:pStyle w:val="3"/>
        <w:spacing w:line="320" w:lineRule="exact"/>
        <w:rPr>
          <w:rFonts w:cs="David"/>
          <w:sz w:val="24"/>
          <w:szCs w:val="24"/>
          <w:rtl/>
        </w:rPr>
      </w:pPr>
    </w:p>
    <w:p w14:paraId="7D9BB40A" w14:textId="77777777" w:rsidR="004F00AC" w:rsidRDefault="004F00AC" w:rsidP="004F00AC">
      <w:pPr>
        <w:pStyle w:val="3"/>
        <w:spacing w:line="320" w:lineRule="exact"/>
        <w:rPr>
          <w:rFonts w:cs="David" w:hint="cs"/>
          <w:sz w:val="24"/>
          <w:szCs w:val="24"/>
          <w:rtl/>
        </w:rPr>
      </w:pPr>
      <w:r w:rsidRPr="004F78EF">
        <w:rPr>
          <w:rFonts w:cs="David"/>
          <w:sz w:val="24"/>
          <w:szCs w:val="24"/>
          <w:rtl/>
        </w:rPr>
        <w:t>בתחילת המשנה מופיעים מספר מניינים שאינם כשרים בגט:</w:t>
      </w:r>
    </w:p>
    <w:p w14:paraId="5956E9E7" w14:textId="77777777" w:rsidR="004F00AC" w:rsidRDefault="004F00AC" w:rsidP="004F00AC">
      <w:pPr>
        <w:pStyle w:val="3"/>
        <w:spacing w:line="320" w:lineRule="exact"/>
        <w:rPr>
          <w:rFonts w:cs="David" w:hint="cs"/>
          <w:sz w:val="24"/>
          <w:szCs w:val="24"/>
          <w:rtl/>
        </w:rPr>
      </w:pPr>
    </w:p>
    <w:p w14:paraId="76582FF0" w14:textId="77777777" w:rsidR="004F00AC" w:rsidRDefault="004F00AC" w:rsidP="004F00AC">
      <w:pPr>
        <w:pStyle w:val="3"/>
        <w:spacing w:line="320" w:lineRule="exact"/>
        <w:rPr>
          <w:rFonts w:cs="David" w:hint="cs"/>
          <w:sz w:val="24"/>
          <w:szCs w:val="24"/>
          <w:rtl/>
        </w:rPr>
      </w:pPr>
      <w:r>
        <w:rPr>
          <w:rFonts w:cs="David" w:hint="cs"/>
          <w:sz w:val="24"/>
          <w:szCs w:val="24"/>
          <w:rtl/>
        </w:rPr>
        <w:t>1) מניין למלכות שאינה הוגנת</w:t>
      </w:r>
    </w:p>
    <w:p w14:paraId="3033EF0B" w14:textId="77777777" w:rsidR="004F00AC" w:rsidRDefault="004F00AC" w:rsidP="004F00AC">
      <w:pPr>
        <w:pStyle w:val="3"/>
        <w:spacing w:line="320" w:lineRule="exact"/>
        <w:rPr>
          <w:rFonts w:cs="David" w:hint="cs"/>
          <w:sz w:val="24"/>
          <w:szCs w:val="24"/>
          <w:rtl/>
        </w:rPr>
      </w:pPr>
      <w:r>
        <w:rPr>
          <w:rFonts w:cs="David" w:hint="cs"/>
          <w:sz w:val="24"/>
          <w:szCs w:val="24"/>
          <w:rtl/>
        </w:rPr>
        <w:t>2) מניין למלכות מדי</w:t>
      </w:r>
    </w:p>
    <w:p w14:paraId="53663F5A" w14:textId="77777777" w:rsidR="004F00AC" w:rsidRDefault="004F00AC" w:rsidP="004F00AC">
      <w:pPr>
        <w:pStyle w:val="3"/>
        <w:spacing w:line="320" w:lineRule="exact"/>
        <w:rPr>
          <w:rFonts w:cs="David" w:hint="cs"/>
          <w:sz w:val="24"/>
          <w:szCs w:val="24"/>
          <w:rtl/>
        </w:rPr>
      </w:pPr>
      <w:r>
        <w:rPr>
          <w:rFonts w:cs="David" w:hint="cs"/>
          <w:sz w:val="24"/>
          <w:szCs w:val="24"/>
          <w:rtl/>
        </w:rPr>
        <w:t>3) מניין למלכות יון</w:t>
      </w:r>
    </w:p>
    <w:p w14:paraId="14994F0B" w14:textId="77777777" w:rsidR="004F00AC" w:rsidRDefault="004F00AC" w:rsidP="004F00AC">
      <w:pPr>
        <w:pStyle w:val="3"/>
        <w:spacing w:line="320" w:lineRule="exact"/>
        <w:rPr>
          <w:rFonts w:cs="David" w:hint="cs"/>
          <w:sz w:val="24"/>
          <w:szCs w:val="24"/>
          <w:rtl/>
        </w:rPr>
      </w:pPr>
      <w:r>
        <w:rPr>
          <w:rFonts w:cs="David" w:hint="cs"/>
          <w:sz w:val="24"/>
          <w:szCs w:val="24"/>
          <w:rtl/>
        </w:rPr>
        <w:t>4) מניין לבניין הבית</w:t>
      </w:r>
    </w:p>
    <w:p w14:paraId="587A0953" w14:textId="77777777" w:rsidR="004F00AC" w:rsidRDefault="004F00AC" w:rsidP="004F00AC">
      <w:pPr>
        <w:pStyle w:val="3"/>
        <w:spacing w:line="320" w:lineRule="exact"/>
        <w:rPr>
          <w:rFonts w:cs="David" w:hint="cs"/>
          <w:sz w:val="24"/>
          <w:szCs w:val="24"/>
          <w:rtl/>
        </w:rPr>
      </w:pPr>
      <w:r>
        <w:rPr>
          <w:rFonts w:cs="David" w:hint="cs"/>
          <w:sz w:val="24"/>
          <w:szCs w:val="24"/>
          <w:rtl/>
        </w:rPr>
        <w:t>5) מניין לחורבן הבית</w:t>
      </w:r>
    </w:p>
    <w:p w14:paraId="5CC4950F" w14:textId="77777777" w:rsidR="004F00AC" w:rsidRPr="004F78EF" w:rsidRDefault="004F00AC" w:rsidP="004F00AC">
      <w:pPr>
        <w:pStyle w:val="3"/>
        <w:spacing w:line="320" w:lineRule="exact"/>
        <w:rPr>
          <w:rFonts w:cs="David" w:hint="cs"/>
          <w:sz w:val="24"/>
          <w:szCs w:val="24"/>
          <w:rtl/>
        </w:rPr>
      </w:pPr>
    </w:p>
    <w:p w14:paraId="0439D724" w14:textId="77777777" w:rsidR="004F00AC" w:rsidRPr="00055860" w:rsidRDefault="004F00AC" w:rsidP="004F00AC">
      <w:pPr>
        <w:pStyle w:val="3"/>
        <w:rPr>
          <w:rFonts w:cs="David"/>
          <w:b/>
          <w:bCs/>
          <w:sz w:val="32"/>
          <w:szCs w:val="32"/>
          <w:u w:val="single"/>
          <w:rtl/>
        </w:rPr>
      </w:pPr>
      <w:r w:rsidRPr="00055860">
        <w:rPr>
          <w:rFonts w:cs="David"/>
          <w:b/>
          <w:bCs/>
          <w:sz w:val="32"/>
          <w:szCs w:val="32"/>
          <w:u w:val="single"/>
          <w:rtl/>
        </w:rPr>
        <w:t xml:space="preserve">המניין למלכות שאינה הוגנת </w:t>
      </w:r>
    </w:p>
    <w:p w14:paraId="39FF22B2" w14:textId="77777777" w:rsidR="004F00AC" w:rsidRDefault="004F00AC" w:rsidP="004F00AC">
      <w:pPr>
        <w:pStyle w:val="3"/>
        <w:spacing w:line="320" w:lineRule="exact"/>
        <w:rPr>
          <w:rFonts w:cs="David" w:hint="cs"/>
          <w:sz w:val="24"/>
          <w:szCs w:val="24"/>
          <w:rtl/>
        </w:rPr>
      </w:pPr>
    </w:p>
    <w:p w14:paraId="0BE2DD5C" w14:textId="77777777" w:rsidR="004F00AC" w:rsidRPr="004F78EF" w:rsidRDefault="004F00AC" w:rsidP="004F00AC">
      <w:pPr>
        <w:pStyle w:val="3"/>
        <w:spacing w:line="320" w:lineRule="exact"/>
        <w:jc w:val="both"/>
        <w:rPr>
          <w:rFonts w:cs="David"/>
          <w:sz w:val="24"/>
          <w:szCs w:val="24"/>
          <w:rtl/>
        </w:rPr>
      </w:pPr>
      <w:r w:rsidRPr="004F78EF">
        <w:rPr>
          <w:rFonts w:cs="David"/>
          <w:sz w:val="24"/>
          <w:szCs w:val="24"/>
          <w:rtl/>
        </w:rPr>
        <w:t>לפי פשוטה של משנה "מלכות שאינה הוגנת" היא מלכות לא חוקית באותו מקום שנכתב הגט, וכך פירש הרמב"ם בפירוש המשניות:</w:t>
      </w:r>
    </w:p>
    <w:p w14:paraId="1952CBF8" w14:textId="77777777" w:rsidR="004F00AC" w:rsidRDefault="004F00AC" w:rsidP="004F00AC">
      <w:pPr>
        <w:pStyle w:val="3"/>
        <w:spacing w:line="320" w:lineRule="exact"/>
        <w:rPr>
          <w:rFonts w:cs="Arial" w:hint="cs"/>
          <w:b/>
          <w:bCs/>
          <w:sz w:val="24"/>
          <w:szCs w:val="24"/>
          <w:rtl/>
        </w:rPr>
      </w:pPr>
    </w:p>
    <w:p w14:paraId="1867AFC1" w14:textId="77777777" w:rsidR="004F00AC" w:rsidRPr="004F78EF" w:rsidRDefault="004F00AC" w:rsidP="004F00AC">
      <w:pPr>
        <w:pStyle w:val="3"/>
        <w:spacing w:line="320" w:lineRule="exact"/>
        <w:rPr>
          <w:rFonts w:cs="Arial" w:hint="cs"/>
          <w:b/>
          <w:bCs/>
          <w:sz w:val="24"/>
          <w:szCs w:val="24"/>
          <w:rtl/>
        </w:rPr>
      </w:pPr>
      <w:r w:rsidRPr="004F78EF">
        <w:rPr>
          <w:rFonts w:cs="Arial"/>
          <w:b/>
          <w:bCs/>
          <w:sz w:val="24"/>
          <w:szCs w:val="24"/>
          <w:rtl/>
        </w:rPr>
        <w:t xml:space="preserve">"ועניין מלכות שאינה הוגנת </w:t>
      </w:r>
      <w:r w:rsidRPr="004F78EF">
        <w:rPr>
          <w:rFonts w:cs="Arial"/>
          <w:b/>
          <w:bCs/>
          <w:sz w:val="24"/>
          <w:szCs w:val="24"/>
        </w:rPr>
        <w:t>–</w:t>
      </w:r>
      <w:r w:rsidRPr="004F78EF">
        <w:rPr>
          <w:rFonts w:cs="Arial"/>
          <w:b/>
          <w:bCs/>
          <w:sz w:val="24"/>
          <w:szCs w:val="24"/>
          <w:rtl/>
        </w:rPr>
        <w:t xml:space="preserve"> שלא יהיה לזה המלך דין בזה המקום שכתב בה הגט"</w:t>
      </w:r>
      <w:r>
        <w:rPr>
          <w:rFonts w:cs="Arial" w:hint="cs"/>
          <w:b/>
          <w:bCs/>
          <w:sz w:val="24"/>
          <w:szCs w:val="24"/>
          <w:rtl/>
        </w:rPr>
        <w:t>.</w:t>
      </w:r>
    </w:p>
    <w:p w14:paraId="5CCE3D9A" w14:textId="77777777" w:rsidR="004F00AC" w:rsidRPr="004F78EF" w:rsidRDefault="004F00AC" w:rsidP="004F00AC">
      <w:pPr>
        <w:pStyle w:val="3"/>
        <w:spacing w:line="320" w:lineRule="exact"/>
        <w:rPr>
          <w:rFonts w:cs="David"/>
          <w:sz w:val="24"/>
          <w:szCs w:val="24"/>
          <w:rtl/>
        </w:rPr>
      </w:pPr>
    </w:p>
    <w:p w14:paraId="6F1E2984" w14:textId="77777777" w:rsidR="004F00AC" w:rsidRPr="004F78EF" w:rsidRDefault="004F00AC" w:rsidP="004F00AC">
      <w:pPr>
        <w:pStyle w:val="3"/>
        <w:spacing w:line="320" w:lineRule="exact"/>
        <w:rPr>
          <w:rFonts w:cs="David"/>
          <w:sz w:val="24"/>
          <w:szCs w:val="24"/>
          <w:rtl/>
        </w:rPr>
      </w:pPr>
      <w:r w:rsidRPr="004F78EF">
        <w:rPr>
          <w:rFonts w:cs="David"/>
          <w:sz w:val="24"/>
          <w:szCs w:val="24"/>
          <w:rtl/>
        </w:rPr>
        <w:t>אולם בבבלי אמרו (גיטין פ</w:t>
      </w:r>
      <w:r>
        <w:rPr>
          <w:rFonts w:cs="David" w:hint="cs"/>
          <w:sz w:val="24"/>
          <w:szCs w:val="24"/>
          <w:rtl/>
        </w:rPr>
        <w:t xml:space="preserve"> ע"א</w:t>
      </w:r>
      <w:r w:rsidRPr="004F78EF">
        <w:rPr>
          <w:rFonts w:cs="David"/>
          <w:sz w:val="24"/>
          <w:szCs w:val="24"/>
          <w:rtl/>
        </w:rPr>
        <w:t xml:space="preserve">): </w:t>
      </w:r>
    </w:p>
    <w:p w14:paraId="732B8E5B" w14:textId="77777777" w:rsidR="004F00AC" w:rsidRPr="004F78EF" w:rsidRDefault="004F00AC" w:rsidP="004F00AC">
      <w:pPr>
        <w:pStyle w:val="a3"/>
        <w:spacing w:line="320" w:lineRule="exact"/>
        <w:rPr>
          <w:rFonts w:cs="Arial"/>
          <w:b/>
          <w:bCs/>
          <w:sz w:val="24"/>
          <w:szCs w:val="24"/>
          <w:rtl/>
        </w:rPr>
      </w:pPr>
      <w:r w:rsidRPr="004F78EF">
        <w:rPr>
          <w:rFonts w:cs="Arial"/>
          <w:b/>
          <w:bCs/>
          <w:sz w:val="24"/>
          <w:szCs w:val="24"/>
          <w:rtl/>
        </w:rPr>
        <w:t xml:space="preserve">מאי מלכות שאינה הוגנת ? מלכות הרומיים, ואמאי קרי לה מלכות שאינה הוגנת - משום  דאין להם לא כתב ולא לשון. </w:t>
      </w:r>
    </w:p>
    <w:p w14:paraId="69013E5B" w14:textId="77777777" w:rsidR="004F00AC" w:rsidRPr="004F78EF" w:rsidRDefault="004F00AC" w:rsidP="004F00AC">
      <w:pPr>
        <w:pStyle w:val="a3"/>
        <w:spacing w:line="320" w:lineRule="exact"/>
        <w:rPr>
          <w:rFonts w:cs="Arial"/>
          <w:b/>
          <w:bCs/>
          <w:sz w:val="24"/>
          <w:szCs w:val="24"/>
          <w:rtl/>
        </w:rPr>
      </w:pPr>
      <w:r w:rsidRPr="004F78EF">
        <w:rPr>
          <w:rFonts w:cs="Arial"/>
          <w:b/>
          <w:bCs/>
          <w:sz w:val="24"/>
          <w:szCs w:val="24"/>
          <w:rtl/>
        </w:rPr>
        <w:t>אמר עולא: מפני מה תקינו מלכות בגיטין - משום  שלום  מלכות.</w:t>
      </w:r>
    </w:p>
    <w:p w14:paraId="6FC2084A" w14:textId="77777777" w:rsidR="004F00AC" w:rsidRPr="004F78EF" w:rsidRDefault="004F00AC" w:rsidP="004F00AC">
      <w:pPr>
        <w:pStyle w:val="a3"/>
        <w:spacing w:line="320" w:lineRule="exact"/>
        <w:rPr>
          <w:sz w:val="24"/>
          <w:szCs w:val="24"/>
          <w:rtl/>
        </w:rPr>
      </w:pPr>
    </w:p>
    <w:p w14:paraId="01C4F9EB" w14:textId="77777777" w:rsidR="004F00AC" w:rsidRPr="004F78EF" w:rsidRDefault="004F00AC" w:rsidP="004F00AC">
      <w:pPr>
        <w:pStyle w:val="a3"/>
        <w:spacing w:line="320" w:lineRule="exact"/>
        <w:rPr>
          <w:sz w:val="24"/>
          <w:szCs w:val="24"/>
          <w:rtl/>
        </w:rPr>
      </w:pPr>
      <w:r>
        <w:rPr>
          <w:rFonts w:hint="cs"/>
          <w:sz w:val="24"/>
          <w:szCs w:val="24"/>
          <w:rtl/>
        </w:rPr>
        <w:t>אך</w:t>
      </w:r>
      <w:r w:rsidRPr="004F78EF">
        <w:rPr>
          <w:sz w:val="24"/>
          <w:szCs w:val="24"/>
          <w:rtl/>
        </w:rPr>
        <w:t xml:space="preserve"> הירושלמי לא פירש </w:t>
      </w:r>
      <w:r>
        <w:rPr>
          <w:rFonts w:hint="cs"/>
          <w:sz w:val="24"/>
          <w:szCs w:val="24"/>
          <w:rtl/>
        </w:rPr>
        <w:t xml:space="preserve">כלל </w:t>
      </w:r>
      <w:r w:rsidRPr="004F78EF">
        <w:rPr>
          <w:sz w:val="24"/>
          <w:szCs w:val="24"/>
          <w:rtl/>
        </w:rPr>
        <w:t>מהי "מלכות שאינה הוגנת"</w:t>
      </w:r>
      <w:r>
        <w:rPr>
          <w:rFonts w:hint="cs"/>
          <w:sz w:val="24"/>
          <w:szCs w:val="24"/>
          <w:rtl/>
        </w:rPr>
        <w:t>. וב</w:t>
      </w:r>
      <w:r w:rsidRPr="004F78EF">
        <w:rPr>
          <w:sz w:val="24"/>
          <w:szCs w:val="24"/>
          <w:rtl/>
        </w:rPr>
        <w:t>על כרחנו</w:t>
      </w:r>
      <w:r>
        <w:rPr>
          <w:rFonts w:hint="cs"/>
          <w:sz w:val="24"/>
          <w:szCs w:val="24"/>
          <w:rtl/>
        </w:rPr>
        <w:t>,</w:t>
      </w:r>
      <w:r w:rsidRPr="004F78EF">
        <w:rPr>
          <w:sz w:val="24"/>
          <w:szCs w:val="24"/>
          <w:rtl/>
        </w:rPr>
        <w:t xml:space="preserve"> עלינו לפרש שבארץ ישראל </w:t>
      </w:r>
      <w:r w:rsidRPr="004F78EF">
        <w:rPr>
          <w:sz w:val="24"/>
          <w:szCs w:val="24"/>
          <w:u w:val="single"/>
          <w:rtl/>
        </w:rPr>
        <w:t>דווקא כן מנו למלכות הרומיים</w:t>
      </w:r>
      <w:r w:rsidRPr="004F78EF">
        <w:rPr>
          <w:sz w:val="24"/>
          <w:szCs w:val="24"/>
          <w:rtl/>
        </w:rPr>
        <w:t xml:space="preserve"> כי היא היתה המלכות, ולא יכלו לכנותה מלכות שאינה הוגנת. לעומת זאת</w:t>
      </w:r>
      <w:r>
        <w:rPr>
          <w:rFonts w:hint="cs"/>
          <w:sz w:val="24"/>
          <w:szCs w:val="24"/>
          <w:rtl/>
        </w:rPr>
        <w:t>,</w:t>
      </w:r>
      <w:r w:rsidRPr="004F78EF">
        <w:rPr>
          <w:sz w:val="24"/>
          <w:szCs w:val="24"/>
          <w:rtl/>
        </w:rPr>
        <w:t xml:space="preserve"> בבבל</w:t>
      </w:r>
      <w:r>
        <w:rPr>
          <w:rFonts w:hint="cs"/>
          <w:sz w:val="24"/>
          <w:szCs w:val="24"/>
          <w:rtl/>
        </w:rPr>
        <w:t>,</w:t>
      </w:r>
      <w:r w:rsidRPr="004F78EF">
        <w:rPr>
          <w:sz w:val="24"/>
          <w:szCs w:val="24"/>
          <w:rtl/>
        </w:rPr>
        <w:t xml:space="preserve"> שהיתה תחת עול השלטון הפרסי</w:t>
      </w:r>
      <w:r>
        <w:rPr>
          <w:rFonts w:hint="cs"/>
          <w:sz w:val="24"/>
          <w:szCs w:val="24"/>
          <w:rtl/>
        </w:rPr>
        <w:t>-הסאסני</w:t>
      </w:r>
      <w:r w:rsidRPr="004F78EF">
        <w:rPr>
          <w:sz w:val="24"/>
          <w:szCs w:val="24"/>
          <w:rtl/>
        </w:rPr>
        <w:t xml:space="preserve"> נחשבה המלכות הרומית כמלכות שאינה הוגנת, ו</w:t>
      </w:r>
      <w:r>
        <w:rPr>
          <w:rFonts w:hint="cs"/>
          <w:sz w:val="24"/>
          <w:szCs w:val="24"/>
          <w:rtl/>
        </w:rPr>
        <w:t xml:space="preserve">לכן </w:t>
      </w:r>
      <w:r w:rsidRPr="004F78EF">
        <w:rPr>
          <w:sz w:val="24"/>
          <w:szCs w:val="24"/>
          <w:rtl/>
        </w:rPr>
        <w:t>הבבלי העמיד את הביטוי "מלכות שאינה הוגנת" במלכות רומי</w:t>
      </w:r>
      <w:r>
        <w:rPr>
          <w:rFonts w:hint="cs"/>
          <w:sz w:val="24"/>
          <w:szCs w:val="24"/>
          <w:rtl/>
        </w:rPr>
        <w:t>.</w:t>
      </w:r>
      <w:r w:rsidRPr="004F78EF">
        <w:rPr>
          <w:sz w:val="24"/>
          <w:szCs w:val="24"/>
          <w:rtl/>
        </w:rPr>
        <w:t xml:space="preserve"> </w:t>
      </w:r>
      <w:r>
        <w:rPr>
          <w:rFonts w:hint="cs"/>
          <w:sz w:val="24"/>
          <w:szCs w:val="24"/>
          <w:rtl/>
        </w:rPr>
        <w:t xml:space="preserve">על אף שהפשט הפשוט של "אינה הוגנת" היא כל מלכות לא-חוקית, נראה שהבבלי בא </w:t>
      </w:r>
      <w:r w:rsidRPr="004F78EF">
        <w:rPr>
          <w:sz w:val="24"/>
          <w:szCs w:val="24"/>
          <w:rtl/>
        </w:rPr>
        <w:t xml:space="preserve">ללמד </w:t>
      </w:r>
      <w:r>
        <w:rPr>
          <w:rFonts w:hint="cs"/>
          <w:sz w:val="24"/>
          <w:szCs w:val="24"/>
          <w:rtl/>
        </w:rPr>
        <w:t>ש</w:t>
      </w:r>
      <w:r w:rsidRPr="004F78EF">
        <w:rPr>
          <w:sz w:val="24"/>
          <w:szCs w:val="24"/>
          <w:rtl/>
        </w:rPr>
        <w:t xml:space="preserve">מלכות רומי </w:t>
      </w:r>
      <w:r>
        <w:rPr>
          <w:rFonts w:hint="cs"/>
          <w:sz w:val="24"/>
          <w:szCs w:val="24"/>
          <w:rtl/>
        </w:rPr>
        <w:t>אינה הוגנת וראויה למשול בגלל ש</w:t>
      </w:r>
      <w:r w:rsidRPr="004F78EF">
        <w:rPr>
          <w:sz w:val="24"/>
          <w:szCs w:val="24"/>
          <w:rtl/>
        </w:rPr>
        <w:t>היא רשעה ובזויה</w:t>
      </w:r>
      <w:r>
        <w:rPr>
          <w:rFonts w:hint="cs"/>
          <w:sz w:val="24"/>
          <w:szCs w:val="24"/>
          <w:rtl/>
        </w:rPr>
        <w:t xml:space="preserve">, </w:t>
      </w:r>
      <w:r w:rsidRPr="004F78EF">
        <w:rPr>
          <w:sz w:val="24"/>
          <w:szCs w:val="24"/>
          <w:rtl/>
        </w:rPr>
        <w:t>כדאיתא בעבודה זרה דף י</w:t>
      </w:r>
      <w:r>
        <w:rPr>
          <w:rFonts w:hint="cs"/>
          <w:sz w:val="24"/>
          <w:szCs w:val="24"/>
          <w:rtl/>
        </w:rPr>
        <w:t xml:space="preserve"> ע"ב:</w:t>
      </w:r>
    </w:p>
    <w:p w14:paraId="7CB469BC" w14:textId="77777777" w:rsidR="004F00AC" w:rsidRPr="004F78EF" w:rsidRDefault="004F00AC" w:rsidP="004F00AC">
      <w:pPr>
        <w:pStyle w:val="a3"/>
        <w:spacing w:line="320" w:lineRule="exact"/>
        <w:rPr>
          <w:sz w:val="24"/>
          <w:szCs w:val="24"/>
          <w:rtl/>
        </w:rPr>
      </w:pPr>
    </w:p>
    <w:p w14:paraId="30494870" w14:textId="69C9085B" w:rsidR="004F00AC" w:rsidRPr="004F78EF" w:rsidRDefault="004F00AC" w:rsidP="004F00AC">
      <w:pPr>
        <w:pStyle w:val="a3"/>
        <w:spacing w:line="320" w:lineRule="exact"/>
        <w:rPr>
          <w:rFonts w:cs="Arial"/>
          <w:b/>
          <w:bCs/>
          <w:sz w:val="24"/>
          <w:szCs w:val="24"/>
          <w:rtl/>
        </w:rPr>
      </w:pPr>
      <w:r w:rsidRPr="004F78EF">
        <w:rPr>
          <w:rFonts w:cs="Arial"/>
          <w:b/>
          <w:bCs/>
          <w:sz w:val="24"/>
          <w:szCs w:val="24"/>
          <w:rtl/>
        </w:rPr>
        <w:lastRenderedPageBreak/>
        <w:t>"והתני רב יוסף: "הנה קטן נתתיך בגוים" - שאין מושיבין מלך בן מלך</w:t>
      </w:r>
      <w:r>
        <w:rPr>
          <w:rFonts w:cs="Arial" w:hint="cs"/>
          <w:b/>
          <w:bCs/>
          <w:sz w:val="24"/>
          <w:szCs w:val="24"/>
          <w:rtl/>
        </w:rPr>
        <w:t xml:space="preserve">, </w:t>
      </w:r>
      <w:r w:rsidRPr="004F78EF">
        <w:rPr>
          <w:rFonts w:cs="Arial"/>
          <w:b/>
          <w:bCs/>
          <w:sz w:val="24"/>
          <w:szCs w:val="24"/>
          <w:rtl/>
        </w:rPr>
        <w:t xml:space="preserve">"בזוי אתה מאד" </w:t>
      </w:r>
      <w:r>
        <w:rPr>
          <w:rFonts w:cs="Arial" w:hint="cs"/>
          <w:b/>
          <w:bCs/>
          <w:sz w:val="24"/>
          <w:szCs w:val="24"/>
          <w:rtl/>
        </w:rPr>
        <w:t xml:space="preserve">- </w:t>
      </w:r>
      <w:r w:rsidRPr="004F78EF">
        <w:rPr>
          <w:rFonts w:cs="Arial"/>
          <w:b/>
          <w:bCs/>
          <w:sz w:val="24"/>
          <w:szCs w:val="24"/>
          <w:rtl/>
        </w:rPr>
        <w:t>שאין להן לא כתב ולא לשון"</w:t>
      </w:r>
      <w:r>
        <w:rPr>
          <w:rFonts w:cs="Arial" w:hint="cs"/>
          <w:b/>
          <w:bCs/>
          <w:sz w:val="24"/>
          <w:szCs w:val="24"/>
          <w:rtl/>
        </w:rPr>
        <w:t>.</w:t>
      </w:r>
      <w:r w:rsidRPr="004F78EF">
        <w:rPr>
          <w:rFonts w:cs="Arial"/>
          <w:b/>
          <w:bCs/>
          <w:sz w:val="24"/>
          <w:szCs w:val="24"/>
          <w:rtl/>
        </w:rPr>
        <w:t xml:space="preserve">  </w:t>
      </w:r>
    </w:p>
    <w:p w14:paraId="066CB3E7" w14:textId="77777777" w:rsidR="004F00AC" w:rsidRPr="004F78EF" w:rsidRDefault="004F00AC" w:rsidP="004F00AC">
      <w:pPr>
        <w:pStyle w:val="a3"/>
        <w:spacing w:line="320" w:lineRule="exact"/>
        <w:rPr>
          <w:sz w:val="24"/>
          <w:szCs w:val="24"/>
          <w:rtl/>
        </w:rPr>
      </w:pPr>
    </w:p>
    <w:p w14:paraId="133E55C6" w14:textId="77777777" w:rsidR="004F00AC" w:rsidRPr="004F78EF" w:rsidRDefault="004F00AC" w:rsidP="004F00AC">
      <w:pPr>
        <w:pStyle w:val="a3"/>
        <w:spacing w:line="320" w:lineRule="exact"/>
        <w:rPr>
          <w:sz w:val="24"/>
          <w:szCs w:val="24"/>
          <w:rtl/>
        </w:rPr>
      </w:pPr>
      <w:r w:rsidRPr="004F78EF">
        <w:rPr>
          <w:sz w:val="24"/>
          <w:szCs w:val="24"/>
          <w:rtl/>
        </w:rPr>
        <w:t>והמאירי הרגיש בזה:</w:t>
      </w:r>
    </w:p>
    <w:p w14:paraId="596D50E3" w14:textId="77777777" w:rsidR="004F00AC" w:rsidRPr="004F78EF" w:rsidRDefault="004F00AC" w:rsidP="004F00AC">
      <w:pPr>
        <w:pStyle w:val="a3"/>
        <w:spacing w:line="320" w:lineRule="exact"/>
        <w:rPr>
          <w:rFonts w:cs="Arial"/>
          <w:b/>
          <w:bCs/>
          <w:sz w:val="24"/>
          <w:szCs w:val="24"/>
          <w:rtl/>
        </w:rPr>
      </w:pPr>
      <w:r w:rsidRPr="004F78EF">
        <w:rPr>
          <w:rFonts w:cs="Arial"/>
          <w:b/>
          <w:bCs/>
          <w:sz w:val="24"/>
          <w:szCs w:val="24"/>
          <w:rtl/>
        </w:rPr>
        <w:t>אמר המאירי: "כתב לשם מלכות שאינה הוגנת"</w:t>
      </w:r>
      <w:r>
        <w:rPr>
          <w:rFonts w:cs="Arial" w:hint="cs"/>
          <w:b/>
          <w:bCs/>
          <w:sz w:val="24"/>
          <w:szCs w:val="24"/>
          <w:rtl/>
        </w:rPr>
        <w:t xml:space="preserve">, </w:t>
      </w:r>
      <w:r w:rsidRPr="004F78EF">
        <w:rPr>
          <w:rFonts w:cs="Arial"/>
          <w:b/>
          <w:bCs/>
          <w:sz w:val="24"/>
          <w:szCs w:val="24"/>
          <w:rtl/>
        </w:rPr>
        <w:t>פירוש: משנה זו נשנית בזמן שהאומות היו מונים למלכיהם מצד שהיו המלכים מנהיגים כן להיכר שולטנותם, ובאותו זמן תקנו חכמים שבדור שיהו אף</w:t>
      </w:r>
      <w:r>
        <w:rPr>
          <w:rFonts w:cs="Arial" w:hint="cs"/>
          <w:b/>
          <w:bCs/>
          <w:sz w:val="24"/>
          <w:szCs w:val="24"/>
          <w:rtl/>
        </w:rPr>
        <w:t xml:space="preserve"> </w:t>
      </w:r>
      <w:r w:rsidRPr="004F78EF">
        <w:rPr>
          <w:rFonts w:cs="Arial"/>
          <w:b/>
          <w:bCs/>
          <w:sz w:val="24"/>
          <w:szCs w:val="24"/>
          <w:rtl/>
        </w:rPr>
        <w:t>ישראל מונין בשטרותיהם  למלכות משום שלום מלכות. ומעתה צריכים הם למנות למלכות שבאותו זמן</w:t>
      </w:r>
      <w:r>
        <w:rPr>
          <w:rFonts w:cs="Arial" w:hint="cs"/>
          <w:b/>
          <w:bCs/>
          <w:sz w:val="24"/>
          <w:szCs w:val="24"/>
          <w:rtl/>
        </w:rPr>
        <w:t>,</w:t>
      </w:r>
      <w:r w:rsidRPr="004F78EF">
        <w:rPr>
          <w:rFonts w:cs="Arial"/>
          <w:b/>
          <w:bCs/>
          <w:sz w:val="24"/>
          <w:szCs w:val="24"/>
          <w:rtl/>
        </w:rPr>
        <w:t xml:space="preserve">  ומתוך כך אם מנה למלכות שאינה הוגנת</w:t>
      </w:r>
      <w:r>
        <w:rPr>
          <w:rFonts w:cs="Arial" w:hint="cs"/>
          <w:b/>
          <w:bCs/>
          <w:sz w:val="24"/>
          <w:szCs w:val="24"/>
          <w:rtl/>
        </w:rPr>
        <w:t>,</w:t>
      </w:r>
      <w:r w:rsidRPr="004F78EF">
        <w:rPr>
          <w:rFonts w:cs="Arial"/>
          <w:b/>
          <w:bCs/>
          <w:sz w:val="24"/>
          <w:szCs w:val="24"/>
          <w:rtl/>
        </w:rPr>
        <w:t xml:space="preserve"> ופירשו בגמרא </w:t>
      </w:r>
      <w:r w:rsidRPr="004F78EF">
        <w:rPr>
          <w:rFonts w:cs="Arial"/>
          <w:b/>
          <w:bCs/>
          <w:sz w:val="24"/>
          <w:szCs w:val="24"/>
          <w:u w:val="single"/>
          <w:rtl/>
        </w:rPr>
        <w:t>מלכות רומי</w:t>
      </w:r>
      <w:r w:rsidRPr="004F78EF">
        <w:rPr>
          <w:rFonts w:cs="Arial"/>
          <w:b/>
          <w:bCs/>
          <w:sz w:val="24"/>
          <w:szCs w:val="24"/>
          <w:rtl/>
        </w:rPr>
        <w:t xml:space="preserve">  אע"פ  שהיתה קיימת באותו זמן גם כן ומפני שבאותו זמן היו עובדי האלילים כמו שנזכר בספר יוסיפון ולא היה להם מצד עצמם לא כתב ולא לשון אלא  שנטלום  מאומות אחרות </w:t>
      </w:r>
      <w:r w:rsidRPr="004F78EF">
        <w:rPr>
          <w:rFonts w:cs="Arial"/>
          <w:b/>
          <w:bCs/>
          <w:sz w:val="24"/>
          <w:szCs w:val="24"/>
          <w:u w:val="single"/>
          <w:rtl/>
        </w:rPr>
        <w:t>ומעתה כל שנכתב לשם אותה מלכות במקום שאין לה  שולטנות בו</w:t>
      </w:r>
      <w:r w:rsidRPr="004F78EF">
        <w:rPr>
          <w:rFonts w:cs="Arial"/>
          <w:b/>
          <w:bCs/>
          <w:sz w:val="24"/>
          <w:szCs w:val="24"/>
          <w:rtl/>
        </w:rPr>
        <w:t xml:space="preserve"> וכן אם כתב לשום מלכות יון או מדי שכבר עברו ואבדו מן  העולם  או שמנה לבנין הבית או לחורבנו בכלם תצא והולד ממזר."</w:t>
      </w:r>
    </w:p>
    <w:p w14:paraId="51C50B00" w14:textId="77777777" w:rsidR="004F00AC" w:rsidRPr="004F78EF" w:rsidRDefault="004F00AC" w:rsidP="004F00AC">
      <w:pPr>
        <w:pStyle w:val="a3"/>
        <w:spacing w:line="320" w:lineRule="exact"/>
        <w:rPr>
          <w:sz w:val="24"/>
          <w:szCs w:val="24"/>
          <w:rtl/>
        </w:rPr>
      </w:pPr>
    </w:p>
    <w:p w14:paraId="0F43E67B" w14:textId="77777777" w:rsidR="004F00AC" w:rsidRDefault="004F00AC" w:rsidP="004F00AC">
      <w:pPr>
        <w:pStyle w:val="a3"/>
        <w:spacing w:line="320" w:lineRule="exact"/>
        <w:rPr>
          <w:rFonts w:hint="cs"/>
          <w:sz w:val="24"/>
          <w:szCs w:val="24"/>
          <w:rtl/>
        </w:rPr>
      </w:pPr>
      <w:r w:rsidRPr="004F78EF">
        <w:rPr>
          <w:sz w:val="24"/>
          <w:szCs w:val="24"/>
          <w:rtl/>
        </w:rPr>
        <w:t>והמאירי הדגיש: לשם אותה מלכות (רומי) במקום שאין לה שולטנות בו.</w:t>
      </w:r>
      <w:r>
        <w:rPr>
          <w:rFonts w:hint="cs"/>
          <w:sz w:val="24"/>
          <w:szCs w:val="24"/>
          <w:rtl/>
        </w:rPr>
        <w:t xml:space="preserve"> </w:t>
      </w:r>
    </w:p>
    <w:p w14:paraId="3AEDAA3E" w14:textId="77777777" w:rsidR="004F00AC" w:rsidRPr="004F78EF" w:rsidRDefault="004F00AC" w:rsidP="004F00AC">
      <w:pPr>
        <w:pStyle w:val="a3"/>
        <w:spacing w:line="320" w:lineRule="exact"/>
        <w:rPr>
          <w:sz w:val="24"/>
          <w:szCs w:val="24"/>
          <w:rtl/>
        </w:rPr>
      </w:pPr>
      <w:r w:rsidRPr="004F78EF">
        <w:rPr>
          <w:sz w:val="24"/>
          <w:szCs w:val="24"/>
          <w:rtl/>
        </w:rPr>
        <w:t>גם רש"י ותוס' רי"ד הדגישו במפורש שהמשנה שייכת דווקא בבבל:</w:t>
      </w:r>
    </w:p>
    <w:p w14:paraId="4AA8D0C8" w14:textId="77777777" w:rsidR="004F00AC" w:rsidRPr="004F78EF" w:rsidRDefault="004F00AC" w:rsidP="004F00AC">
      <w:pPr>
        <w:pStyle w:val="a3"/>
        <w:spacing w:line="320" w:lineRule="exact"/>
        <w:rPr>
          <w:sz w:val="24"/>
          <w:szCs w:val="24"/>
          <w:rtl/>
        </w:rPr>
      </w:pPr>
    </w:p>
    <w:p w14:paraId="495E74B4" w14:textId="77777777" w:rsidR="004F00AC" w:rsidRPr="004F78EF" w:rsidRDefault="004F00AC" w:rsidP="004F00AC">
      <w:pPr>
        <w:pStyle w:val="a3"/>
        <w:spacing w:line="320" w:lineRule="exact"/>
        <w:rPr>
          <w:rFonts w:cs="Arial" w:hint="cs"/>
          <w:b/>
          <w:bCs/>
          <w:sz w:val="24"/>
          <w:szCs w:val="24"/>
          <w:rtl/>
        </w:rPr>
      </w:pPr>
      <w:r w:rsidRPr="004F78EF">
        <w:rPr>
          <w:rFonts w:cs="Arial"/>
          <w:b/>
          <w:bCs/>
          <w:sz w:val="24"/>
          <w:szCs w:val="24"/>
          <w:rtl/>
        </w:rPr>
        <w:t xml:space="preserve">כתב לשם מלכות שאינה הוגנת </w:t>
      </w:r>
      <w:r w:rsidRPr="004F78EF">
        <w:rPr>
          <w:rFonts w:cs="Arial"/>
          <w:b/>
          <w:bCs/>
          <w:sz w:val="24"/>
          <w:szCs w:val="24"/>
        </w:rPr>
        <w:t>–</w:t>
      </w:r>
      <w:r w:rsidRPr="004F78EF">
        <w:rPr>
          <w:rFonts w:cs="Arial"/>
          <w:b/>
          <w:bCs/>
          <w:sz w:val="24"/>
          <w:szCs w:val="24"/>
          <w:rtl/>
        </w:rPr>
        <w:t xml:space="preserve"> </w:t>
      </w:r>
      <w:r w:rsidRPr="004F78EF">
        <w:rPr>
          <w:rFonts w:cs="Arial"/>
          <w:b/>
          <w:bCs/>
          <w:sz w:val="24"/>
          <w:szCs w:val="24"/>
          <w:u w:val="single"/>
          <w:rtl/>
        </w:rPr>
        <w:t>מי שהיה בבבל</w:t>
      </w:r>
      <w:r w:rsidRPr="004F78EF">
        <w:rPr>
          <w:rFonts w:cs="Arial"/>
          <w:b/>
          <w:bCs/>
          <w:sz w:val="24"/>
          <w:szCs w:val="24"/>
          <w:rtl/>
        </w:rPr>
        <w:t xml:space="preserve"> וכתב בשנת כך וכך למלכות אחרת ובגמרא מפרש אמאי קרי לה שאינה הוגנת, או שכתב לשם מדי וכו' לפי שצריך לכתוב לשם מלכות שנכתב בה כדמפרש בגמרא</w:t>
      </w:r>
      <w:r>
        <w:rPr>
          <w:rFonts w:cs="Arial" w:hint="cs"/>
          <w:b/>
          <w:bCs/>
          <w:sz w:val="24"/>
          <w:szCs w:val="24"/>
          <w:rtl/>
        </w:rPr>
        <w:t>.</w:t>
      </w:r>
      <w:r w:rsidRPr="004F78EF">
        <w:rPr>
          <w:rFonts w:cs="Arial"/>
          <w:b/>
          <w:bCs/>
          <w:sz w:val="24"/>
          <w:szCs w:val="24"/>
          <w:rtl/>
        </w:rPr>
        <w:t xml:space="preserve"> </w:t>
      </w:r>
      <w:r w:rsidRPr="00302431">
        <w:rPr>
          <w:sz w:val="24"/>
          <w:szCs w:val="24"/>
          <w:rtl/>
        </w:rPr>
        <w:t>(גיטין עט</w:t>
      </w:r>
      <w:r w:rsidRPr="00302431">
        <w:rPr>
          <w:rFonts w:hint="cs"/>
          <w:sz w:val="24"/>
          <w:szCs w:val="24"/>
          <w:rtl/>
        </w:rPr>
        <w:t xml:space="preserve"> ע"ב,</w:t>
      </w:r>
      <w:r w:rsidRPr="00302431">
        <w:rPr>
          <w:sz w:val="24"/>
          <w:szCs w:val="24"/>
          <w:rtl/>
        </w:rPr>
        <w:t xml:space="preserve"> רש"י ד"ה כתב לשם)</w:t>
      </w:r>
      <w:r w:rsidRPr="00302431">
        <w:rPr>
          <w:rFonts w:hint="cs"/>
          <w:sz w:val="24"/>
          <w:szCs w:val="24"/>
          <w:rtl/>
        </w:rPr>
        <w:t>.</w:t>
      </w:r>
    </w:p>
    <w:p w14:paraId="47AFF462" w14:textId="77777777" w:rsidR="004F00AC" w:rsidRPr="004F78EF" w:rsidRDefault="004F00AC" w:rsidP="004F00AC">
      <w:pPr>
        <w:pStyle w:val="a3"/>
        <w:spacing w:line="320" w:lineRule="exact"/>
        <w:rPr>
          <w:sz w:val="24"/>
          <w:szCs w:val="24"/>
          <w:rtl/>
        </w:rPr>
      </w:pPr>
    </w:p>
    <w:p w14:paraId="443F2905" w14:textId="77777777" w:rsidR="004F00AC" w:rsidRPr="004F78EF" w:rsidRDefault="004F00AC" w:rsidP="004F00AC">
      <w:pPr>
        <w:pStyle w:val="a3"/>
        <w:spacing w:line="320" w:lineRule="exact"/>
        <w:rPr>
          <w:rFonts w:cs="Arial" w:hint="cs"/>
          <w:b/>
          <w:bCs/>
          <w:sz w:val="24"/>
          <w:szCs w:val="24"/>
          <w:rtl/>
        </w:rPr>
      </w:pPr>
      <w:r w:rsidRPr="004F78EF">
        <w:rPr>
          <w:rFonts w:cs="Arial"/>
          <w:b/>
          <w:bCs/>
          <w:sz w:val="24"/>
          <w:szCs w:val="24"/>
          <w:rtl/>
        </w:rPr>
        <w:t xml:space="preserve">ואמאי קרי לה מלכות שאינה הוגנת שאין לה לא כתב ולא לשון אלא מאומה אחרת לקחו והיינו דכתיב בזוי אתה מאוד שאין להם לא כתב ולא לשון. או שכתבו לשם מלכות מדי או יון או שמנה לחרבן הבית או לבנינו </w:t>
      </w:r>
      <w:r w:rsidRPr="004F78EF">
        <w:rPr>
          <w:rFonts w:cs="Arial"/>
          <w:b/>
          <w:bCs/>
          <w:sz w:val="24"/>
          <w:szCs w:val="24"/>
          <w:u w:val="single"/>
          <w:rtl/>
        </w:rPr>
        <w:t>ולא הזכירו בו שנת המלך המולך בבבל</w:t>
      </w:r>
      <w:r w:rsidRPr="004F78EF">
        <w:rPr>
          <w:rFonts w:cs="Arial"/>
          <w:b/>
          <w:bCs/>
          <w:sz w:val="24"/>
          <w:szCs w:val="24"/>
          <w:rtl/>
        </w:rPr>
        <w:t xml:space="preserve"> הוא פסול. </w:t>
      </w:r>
      <w:r w:rsidRPr="00302431">
        <w:rPr>
          <w:sz w:val="24"/>
          <w:szCs w:val="24"/>
          <w:rtl/>
        </w:rPr>
        <w:t>(תוס' רי"ד, גיטין עט</w:t>
      </w:r>
      <w:r w:rsidRPr="00302431">
        <w:rPr>
          <w:rFonts w:hint="cs"/>
          <w:sz w:val="24"/>
          <w:szCs w:val="24"/>
          <w:rtl/>
        </w:rPr>
        <w:t xml:space="preserve"> ע"ב</w:t>
      </w:r>
      <w:r w:rsidRPr="00302431">
        <w:rPr>
          <w:sz w:val="24"/>
          <w:szCs w:val="24"/>
          <w:rtl/>
        </w:rPr>
        <w:t>)</w:t>
      </w:r>
      <w:r w:rsidRPr="00302431">
        <w:rPr>
          <w:rFonts w:hint="cs"/>
          <w:sz w:val="24"/>
          <w:szCs w:val="24"/>
          <w:rtl/>
        </w:rPr>
        <w:t>.</w:t>
      </w:r>
    </w:p>
    <w:p w14:paraId="4615815A" w14:textId="77777777" w:rsidR="004F00AC" w:rsidRPr="004F78EF" w:rsidRDefault="004F00AC" w:rsidP="004F00AC">
      <w:pPr>
        <w:pStyle w:val="a3"/>
        <w:spacing w:line="320" w:lineRule="exact"/>
        <w:rPr>
          <w:sz w:val="24"/>
          <w:szCs w:val="24"/>
          <w:rtl/>
        </w:rPr>
      </w:pPr>
    </w:p>
    <w:p w14:paraId="3ABF3C2E" w14:textId="66F9469F" w:rsidR="004F00AC" w:rsidRDefault="007E0A2A" w:rsidP="00843AD4">
      <w:pPr>
        <w:pStyle w:val="a3"/>
        <w:spacing w:line="320" w:lineRule="exact"/>
        <w:rPr>
          <w:rtl/>
        </w:rPr>
      </w:pPr>
      <w:r>
        <w:rPr>
          <w:rFonts w:hint="cs"/>
          <w:sz w:val="24"/>
          <w:szCs w:val="24"/>
          <w:rtl/>
        </w:rPr>
        <w:t xml:space="preserve">חוקר הכרונולוגיה ח"י </w:t>
      </w:r>
      <w:r w:rsidR="004F00AC" w:rsidRPr="004F78EF">
        <w:rPr>
          <w:sz w:val="24"/>
          <w:szCs w:val="24"/>
          <w:rtl/>
        </w:rPr>
        <w:t xml:space="preserve">בורנשטיין </w:t>
      </w:r>
      <w:r w:rsidR="004F00AC">
        <w:rPr>
          <w:rFonts w:hint="cs"/>
          <w:sz w:val="24"/>
          <w:szCs w:val="24"/>
          <w:rtl/>
        </w:rPr>
        <w:t>התייחס לנושא זה ו</w:t>
      </w:r>
      <w:r w:rsidR="004F00AC" w:rsidRPr="004F78EF">
        <w:rPr>
          <w:sz w:val="24"/>
          <w:szCs w:val="24"/>
          <w:rtl/>
        </w:rPr>
        <w:t>כותב (תאריכי ישראל, "התקופה" ח', עמ'  245):</w:t>
      </w:r>
      <w:r>
        <w:rPr>
          <w:rFonts w:hint="cs"/>
          <w:sz w:val="24"/>
          <w:szCs w:val="24"/>
          <w:rtl/>
        </w:rPr>
        <w:t xml:space="preserve"> </w:t>
      </w:r>
      <w:r w:rsidR="004F00AC">
        <w:rPr>
          <w:rFonts w:hint="cs"/>
          <w:sz w:val="24"/>
          <w:szCs w:val="24"/>
          <w:rtl/>
        </w:rPr>
        <w:t>"</w:t>
      </w:r>
      <w:r w:rsidR="004F00AC" w:rsidRPr="004F78EF">
        <w:rPr>
          <w:sz w:val="24"/>
          <w:szCs w:val="24"/>
          <w:rtl/>
        </w:rPr>
        <w:t>לפי חוקי מלכות רומי היו כותבים את הזמן בשטרות לפי שנות הקיסר או לשם הארכונים שהיו באותה שנה, וכל מניין אחר לא היה לו כל תוקף וכח, ומפני-זה אסרו חכמים לכתוב גיטי נשים לתאריכים אחרים</w:t>
      </w:r>
      <w:r w:rsidR="004F00AC">
        <w:rPr>
          <w:rFonts w:hint="cs"/>
          <w:sz w:val="24"/>
          <w:szCs w:val="24"/>
          <w:rtl/>
        </w:rPr>
        <w:t>"</w:t>
      </w:r>
      <w:r w:rsidR="004F00AC" w:rsidRPr="004F78EF">
        <w:rPr>
          <w:sz w:val="24"/>
          <w:szCs w:val="24"/>
          <w:rtl/>
        </w:rPr>
        <w:t>.</w:t>
      </w:r>
      <w:r w:rsidR="004F00AC">
        <w:rPr>
          <w:rFonts w:hint="cs"/>
          <w:sz w:val="24"/>
          <w:szCs w:val="24"/>
          <w:rtl/>
        </w:rPr>
        <w:t xml:space="preserve"> </w:t>
      </w:r>
      <w:r w:rsidR="004F00AC" w:rsidRPr="004F78EF">
        <w:rPr>
          <w:sz w:val="24"/>
          <w:szCs w:val="24"/>
          <w:rtl/>
        </w:rPr>
        <w:t>מן הסתם משנה זו נשנתה בא"י ואם כן יוצא שכוונת המשנה המקורית ב"מלכות שאינה הוגנת" לאסור במניין אחר שלא יהיה קביל על השלטונות הרומיים.</w:t>
      </w:r>
      <w:r w:rsidR="004F00AC">
        <w:rPr>
          <w:rFonts w:hint="cs"/>
          <w:sz w:val="24"/>
          <w:szCs w:val="24"/>
          <w:rtl/>
        </w:rPr>
        <w:t xml:space="preserve"> </w:t>
      </w:r>
      <w:r w:rsidR="004F00AC" w:rsidRPr="004F78EF">
        <w:rPr>
          <w:sz w:val="24"/>
          <w:szCs w:val="24"/>
          <w:rtl/>
        </w:rPr>
        <w:t>לכן</w:t>
      </w:r>
      <w:r w:rsidR="004F00AC">
        <w:rPr>
          <w:rFonts w:hint="cs"/>
          <w:sz w:val="24"/>
          <w:szCs w:val="24"/>
          <w:rtl/>
        </w:rPr>
        <w:t>,</w:t>
      </w:r>
      <w:r w:rsidR="004F00AC" w:rsidRPr="004F78EF">
        <w:rPr>
          <w:sz w:val="24"/>
          <w:szCs w:val="24"/>
          <w:rtl/>
        </w:rPr>
        <w:t xml:space="preserve"> </w:t>
      </w:r>
      <w:r w:rsidR="004F00AC">
        <w:rPr>
          <w:rFonts w:hint="cs"/>
          <w:sz w:val="24"/>
          <w:szCs w:val="24"/>
          <w:rtl/>
        </w:rPr>
        <w:t xml:space="preserve">אם אנו מצויים בארץ-ישראל של תקופת המשנה, </w:t>
      </w:r>
      <w:r w:rsidR="004F00AC" w:rsidRPr="004F78EF">
        <w:rPr>
          <w:sz w:val="24"/>
          <w:szCs w:val="24"/>
          <w:rtl/>
        </w:rPr>
        <w:t>אי אפשר להעמיד את המשנה על מלכות רומי</w:t>
      </w:r>
      <w:r w:rsidR="004F00AC">
        <w:rPr>
          <w:rFonts w:hint="cs"/>
          <w:sz w:val="24"/>
          <w:szCs w:val="24"/>
          <w:rtl/>
        </w:rPr>
        <w:t xml:space="preserve">. </w:t>
      </w:r>
      <w:r w:rsidR="004F00AC" w:rsidRPr="004F78EF">
        <w:rPr>
          <w:sz w:val="24"/>
          <w:szCs w:val="24"/>
          <w:rtl/>
        </w:rPr>
        <w:t>ומכל מקום</w:t>
      </w:r>
      <w:r w:rsidR="004F00AC">
        <w:rPr>
          <w:rFonts w:hint="cs"/>
          <w:sz w:val="24"/>
          <w:szCs w:val="24"/>
          <w:rtl/>
        </w:rPr>
        <w:t>,</w:t>
      </w:r>
      <w:r w:rsidR="004F00AC" w:rsidRPr="004F78EF">
        <w:rPr>
          <w:sz w:val="24"/>
          <w:szCs w:val="24"/>
          <w:rtl/>
        </w:rPr>
        <w:t xml:space="preserve"> בורנשטיין (תאריכי ישראל, "התקופה" ח', עמ' 246) מנסה לומר שהביטוי "מלכות שאינה הוגנת" יכול להתפרש על מלכות רומי גם בא"י, והוא מ</w:t>
      </w:r>
      <w:r w:rsidR="004F00AC">
        <w:rPr>
          <w:rFonts w:hint="cs"/>
          <w:sz w:val="24"/>
          <w:szCs w:val="24"/>
          <w:rtl/>
        </w:rPr>
        <w:t>סביר</w:t>
      </w:r>
      <w:r w:rsidR="004F00AC" w:rsidRPr="004F78EF">
        <w:rPr>
          <w:sz w:val="24"/>
          <w:szCs w:val="24"/>
          <w:rtl/>
        </w:rPr>
        <w:t xml:space="preserve"> שאין כוונתה של המשנה למניין לאחד המלכים או לאחד הארכונים הרומאים, </w:t>
      </w:r>
      <w:r w:rsidR="004F00AC">
        <w:rPr>
          <w:rFonts w:hint="cs"/>
          <w:sz w:val="24"/>
          <w:szCs w:val="24"/>
          <w:rtl/>
        </w:rPr>
        <w:t xml:space="preserve">אלא </w:t>
      </w:r>
      <w:r w:rsidR="004F00AC" w:rsidRPr="004F78EF">
        <w:rPr>
          <w:sz w:val="24"/>
          <w:szCs w:val="24"/>
          <w:rtl/>
        </w:rPr>
        <w:t>למניין נוסף שהיה בשימוש אצל הרומאים.</w:t>
      </w:r>
      <w:r w:rsidR="004F00AC">
        <w:rPr>
          <w:rFonts w:hint="cs"/>
          <w:sz w:val="24"/>
          <w:szCs w:val="24"/>
          <w:rtl/>
        </w:rPr>
        <w:t xml:space="preserve"> </w:t>
      </w:r>
      <w:r w:rsidR="004F00AC" w:rsidRPr="004F78EF">
        <w:rPr>
          <w:sz w:val="24"/>
          <w:szCs w:val="24"/>
          <w:rtl/>
        </w:rPr>
        <w:t>מניין זה הוא המניין לה</w:t>
      </w:r>
      <w:r w:rsidR="004F00AC">
        <w:rPr>
          <w:rFonts w:hint="cs"/>
          <w:sz w:val="24"/>
          <w:szCs w:val="24"/>
          <w:rtl/>
        </w:rPr>
        <w:t>י</w:t>
      </w:r>
      <w:r w:rsidR="004F00AC" w:rsidRPr="004F78EF">
        <w:rPr>
          <w:sz w:val="24"/>
          <w:szCs w:val="24"/>
          <w:rtl/>
        </w:rPr>
        <w:t>ווסדות העיר רומי</w:t>
      </w:r>
      <w:r w:rsidR="004F00AC">
        <w:rPr>
          <w:rFonts w:hint="cs"/>
          <w:sz w:val="24"/>
          <w:szCs w:val="24"/>
          <w:rtl/>
        </w:rPr>
        <w:t>,</w:t>
      </w:r>
      <w:r w:rsidR="004F00AC" w:rsidRPr="004F78EF">
        <w:rPr>
          <w:sz w:val="24"/>
          <w:szCs w:val="24"/>
          <w:rtl/>
        </w:rPr>
        <w:t xml:space="preserve"> שתחילתו בשנת 753 לפני ספיר</w:t>
      </w:r>
      <w:r w:rsidR="004F00AC">
        <w:rPr>
          <w:rFonts w:hint="cs"/>
          <w:sz w:val="24"/>
          <w:szCs w:val="24"/>
          <w:rtl/>
        </w:rPr>
        <w:t>ת הנוצרים</w:t>
      </w:r>
      <w:r w:rsidR="004F00AC">
        <w:rPr>
          <w:rStyle w:val="a7"/>
          <w:sz w:val="24"/>
          <w:szCs w:val="24"/>
          <w:rtl/>
        </w:rPr>
        <w:footnoteReference w:id="1"/>
      </w:r>
      <w:r w:rsidR="004F00AC" w:rsidRPr="004F78EF">
        <w:rPr>
          <w:sz w:val="24"/>
          <w:szCs w:val="24"/>
          <w:rtl/>
        </w:rPr>
        <w:t>. במניין לה</w:t>
      </w:r>
      <w:r w:rsidR="004F00AC">
        <w:rPr>
          <w:rFonts w:hint="cs"/>
          <w:sz w:val="24"/>
          <w:szCs w:val="24"/>
          <w:rtl/>
        </w:rPr>
        <w:t>י</w:t>
      </w:r>
      <w:r w:rsidR="004F00AC" w:rsidRPr="004F78EF">
        <w:rPr>
          <w:sz w:val="24"/>
          <w:szCs w:val="24"/>
          <w:rtl/>
        </w:rPr>
        <w:t>ווסדות רומי לא השתמשו הרומאים במסמכים משפטיים, אלא רק לצרכי כתיבת דברי הימים, לכן לא היה ל</w:t>
      </w:r>
      <w:r w:rsidR="004F00AC">
        <w:rPr>
          <w:rFonts w:hint="cs"/>
          <w:sz w:val="24"/>
          <w:szCs w:val="24"/>
          <w:rtl/>
        </w:rPr>
        <w:t>ו</w:t>
      </w:r>
      <w:r w:rsidR="004F00AC" w:rsidRPr="004F78EF">
        <w:rPr>
          <w:sz w:val="24"/>
          <w:szCs w:val="24"/>
          <w:rtl/>
        </w:rPr>
        <w:t xml:space="preserve"> הילך חוקי במדינות שתחת שלטון רומי, ו</w:t>
      </w:r>
      <w:r w:rsidR="004F00AC">
        <w:rPr>
          <w:rFonts w:hint="cs"/>
          <w:sz w:val="24"/>
          <w:szCs w:val="24"/>
          <w:rtl/>
        </w:rPr>
        <w:t>ע</w:t>
      </w:r>
      <w:r w:rsidR="004F00AC" w:rsidRPr="004F78EF">
        <w:rPr>
          <w:sz w:val="24"/>
          <w:szCs w:val="24"/>
          <w:rtl/>
        </w:rPr>
        <w:t>ל</w:t>
      </w:r>
      <w:r w:rsidR="004F00AC">
        <w:rPr>
          <w:rFonts w:hint="cs"/>
          <w:sz w:val="24"/>
          <w:szCs w:val="24"/>
          <w:rtl/>
        </w:rPr>
        <w:t xml:space="preserve"> </w:t>
      </w:r>
      <w:r w:rsidR="004F00AC" w:rsidRPr="004F78EF">
        <w:rPr>
          <w:sz w:val="24"/>
          <w:szCs w:val="24"/>
          <w:rtl/>
        </w:rPr>
        <w:t>כן נפסל במשנה.</w:t>
      </w:r>
      <w:r w:rsidR="004F00AC">
        <w:rPr>
          <w:rFonts w:hint="cs"/>
          <w:sz w:val="24"/>
          <w:szCs w:val="24"/>
          <w:rtl/>
        </w:rPr>
        <w:t xml:space="preserve"> </w:t>
      </w:r>
    </w:p>
    <w:p w14:paraId="06B2C74D" w14:textId="77777777" w:rsidR="00843AD4" w:rsidRDefault="00843AD4" w:rsidP="00843AD4">
      <w:pPr>
        <w:pStyle w:val="a3"/>
        <w:spacing w:line="320" w:lineRule="exact"/>
        <w:rPr>
          <w:rtl/>
        </w:rPr>
      </w:pPr>
    </w:p>
    <w:p w14:paraId="43D35A7E" w14:textId="77777777" w:rsidR="00843AD4" w:rsidRDefault="00843AD4" w:rsidP="00843AD4">
      <w:pPr>
        <w:pStyle w:val="a3"/>
        <w:spacing w:line="320" w:lineRule="exact"/>
        <w:rPr>
          <w:rtl/>
        </w:rPr>
      </w:pPr>
    </w:p>
    <w:p w14:paraId="55B0494F" w14:textId="77777777" w:rsidR="00843AD4" w:rsidRDefault="00843AD4" w:rsidP="004F00AC">
      <w:pPr>
        <w:pStyle w:val="a3"/>
        <w:rPr>
          <w:b/>
          <w:bCs/>
          <w:sz w:val="32"/>
          <w:szCs w:val="32"/>
          <w:u w:val="single"/>
          <w:rtl/>
        </w:rPr>
      </w:pPr>
    </w:p>
    <w:p w14:paraId="55749723" w14:textId="6052706F" w:rsidR="004F00AC" w:rsidRPr="0028366E" w:rsidRDefault="004F00AC" w:rsidP="004F00AC">
      <w:pPr>
        <w:pStyle w:val="a3"/>
        <w:rPr>
          <w:b/>
          <w:bCs/>
          <w:sz w:val="32"/>
          <w:szCs w:val="32"/>
          <w:u w:val="single"/>
          <w:rtl/>
        </w:rPr>
      </w:pPr>
      <w:r w:rsidRPr="0028366E">
        <w:rPr>
          <w:b/>
          <w:bCs/>
          <w:sz w:val="32"/>
          <w:szCs w:val="32"/>
          <w:u w:val="single"/>
          <w:rtl/>
        </w:rPr>
        <w:lastRenderedPageBreak/>
        <w:t>המניין למלכות מדי</w:t>
      </w:r>
    </w:p>
    <w:p w14:paraId="74D6FF2A" w14:textId="77777777" w:rsidR="004F00AC" w:rsidRDefault="004F00AC" w:rsidP="004F00AC">
      <w:pPr>
        <w:pStyle w:val="a3"/>
        <w:spacing w:line="320" w:lineRule="exact"/>
        <w:rPr>
          <w:u w:val="single"/>
          <w:rtl/>
        </w:rPr>
      </w:pPr>
    </w:p>
    <w:p w14:paraId="7707EC36" w14:textId="77777777" w:rsidR="004F00AC" w:rsidRPr="004F78EF" w:rsidRDefault="004F00AC" w:rsidP="004F00AC">
      <w:pPr>
        <w:pStyle w:val="a3"/>
        <w:spacing w:line="320" w:lineRule="exact"/>
        <w:rPr>
          <w:sz w:val="24"/>
          <w:szCs w:val="24"/>
          <w:rtl/>
        </w:rPr>
      </w:pPr>
      <w:r w:rsidRPr="004F78EF">
        <w:rPr>
          <w:sz w:val="24"/>
          <w:szCs w:val="24"/>
          <w:rtl/>
        </w:rPr>
        <w:t>בורנשטיין (תאריכי ישראל, "התקופה" ח', עמ'  246)</w:t>
      </w:r>
      <w:r>
        <w:rPr>
          <w:rFonts w:hint="cs"/>
          <w:sz w:val="24"/>
          <w:szCs w:val="24"/>
          <w:rtl/>
        </w:rPr>
        <w:t xml:space="preserve">, </w:t>
      </w:r>
      <w:r w:rsidRPr="004F78EF">
        <w:rPr>
          <w:sz w:val="24"/>
          <w:szCs w:val="24"/>
          <w:rtl/>
        </w:rPr>
        <w:t>מ</w:t>
      </w:r>
      <w:r>
        <w:rPr>
          <w:rFonts w:hint="cs"/>
          <w:sz w:val="24"/>
          <w:szCs w:val="24"/>
          <w:rtl/>
        </w:rPr>
        <w:t>סביר</w:t>
      </w:r>
      <w:r w:rsidRPr="004F78EF">
        <w:rPr>
          <w:sz w:val="24"/>
          <w:szCs w:val="24"/>
          <w:rtl/>
        </w:rPr>
        <w:t xml:space="preserve"> שהכוונה למניין הארסקי שהתחיל בשנת 248 לפ</w:t>
      </w:r>
      <w:r>
        <w:rPr>
          <w:rFonts w:hint="cs"/>
          <w:sz w:val="24"/>
          <w:szCs w:val="24"/>
          <w:rtl/>
        </w:rPr>
        <w:t xml:space="preserve">ני </w:t>
      </w:r>
      <w:r w:rsidRPr="004F78EF">
        <w:rPr>
          <w:sz w:val="24"/>
          <w:szCs w:val="24"/>
          <w:rtl/>
        </w:rPr>
        <w:t>ס</w:t>
      </w:r>
      <w:r>
        <w:rPr>
          <w:rFonts w:hint="cs"/>
          <w:sz w:val="24"/>
          <w:szCs w:val="24"/>
          <w:rtl/>
        </w:rPr>
        <w:t xml:space="preserve">ה"נ </w:t>
      </w:r>
      <w:r w:rsidRPr="004F78EF">
        <w:rPr>
          <w:sz w:val="24"/>
          <w:szCs w:val="24"/>
          <w:rtl/>
        </w:rPr>
        <w:t>ע"י הפרתים, ולא למלכות פרס הקדומה אותה אנו מכירים מספרי התנ"ך שאחר גלות בבל, מפני שכבר עברו מאות שנים מאז מלכות פרס הקדומה ועד ימי המשנה.</w:t>
      </w:r>
    </w:p>
    <w:p w14:paraId="05FDBA7F" w14:textId="77777777" w:rsidR="004F00AC" w:rsidRPr="004F78EF" w:rsidRDefault="004F00AC" w:rsidP="004F00AC">
      <w:pPr>
        <w:pStyle w:val="a3"/>
        <w:spacing w:line="320" w:lineRule="exact"/>
        <w:rPr>
          <w:sz w:val="24"/>
          <w:szCs w:val="24"/>
          <w:rtl/>
        </w:rPr>
      </w:pPr>
      <w:r w:rsidRPr="004F78EF">
        <w:rPr>
          <w:sz w:val="24"/>
          <w:szCs w:val="24"/>
          <w:rtl/>
        </w:rPr>
        <w:t>הפרתים היתה ממלכה שהשתחררה מעול היונים כ</w:t>
      </w:r>
      <w:r>
        <w:rPr>
          <w:rFonts w:hint="cs"/>
          <w:sz w:val="24"/>
          <w:szCs w:val="24"/>
          <w:rtl/>
        </w:rPr>
        <w:t>-</w:t>
      </w:r>
      <w:r w:rsidRPr="004F78EF">
        <w:rPr>
          <w:sz w:val="24"/>
          <w:szCs w:val="24"/>
          <w:rtl/>
        </w:rPr>
        <w:t>80 שנה לפני מרד המקבים. ב</w:t>
      </w:r>
      <w:r>
        <w:rPr>
          <w:rFonts w:hint="cs"/>
          <w:sz w:val="24"/>
          <w:szCs w:val="24"/>
          <w:rtl/>
        </w:rPr>
        <w:t>תחילת</w:t>
      </w:r>
      <w:r w:rsidRPr="004F78EF">
        <w:rPr>
          <w:sz w:val="24"/>
          <w:szCs w:val="24"/>
          <w:rtl/>
        </w:rPr>
        <w:t xml:space="preserve"> מלכות</w:t>
      </w:r>
      <w:r>
        <w:rPr>
          <w:rFonts w:hint="cs"/>
          <w:sz w:val="24"/>
          <w:szCs w:val="24"/>
          <w:rtl/>
        </w:rPr>
        <w:t xml:space="preserve"> הפרתים</w:t>
      </w:r>
      <w:r w:rsidRPr="004F78EF">
        <w:rPr>
          <w:sz w:val="24"/>
          <w:szCs w:val="24"/>
          <w:rtl/>
        </w:rPr>
        <w:t xml:space="preserve"> משלו האחים ארסק וטירידת ואז התחיל המניין הארסקי. קץ ממלכת הפרתים היה בשנת 226 </w:t>
      </w:r>
      <w:r>
        <w:rPr>
          <w:rFonts w:hint="cs"/>
          <w:sz w:val="24"/>
          <w:szCs w:val="24"/>
          <w:rtl/>
        </w:rPr>
        <w:t xml:space="preserve">לספירת הנוצרים, </w:t>
      </w:r>
      <w:r w:rsidRPr="004F78EF">
        <w:rPr>
          <w:sz w:val="24"/>
          <w:szCs w:val="24"/>
          <w:rtl/>
        </w:rPr>
        <w:t>כאשר המלך הפרסי ארדשיר שהיה אבי שושלת הס</w:t>
      </w:r>
      <w:r>
        <w:rPr>
          <w:rFonts w:hint="cs"/>
          <w:sz w:val="24"/>
          <w:szCs w:val="24"/>
          <w:rtl/>
        </w:rPr>
        <w:t>א</w:t>
      </w:r>
      <w:r w:rsidRPr="004F78EF">
        <w:rPr>
          <w:sz w:val="24"/>
          <w:szCs w:val="24"/>
          <w:rtl/>
        </w:rPr>
        <w:t>ס</w:t>
      </w:r>
      <w:r>
        <w:rPr>
          <w:rFonts w:hint="cs"/>
          <w:sz w:val="24"/>
          <w:szCs w:val="24"/>
          <w:rtl/>
        </w:rPr>
        <w:t>א</w:t>
      </w:r>
      <w:r w:rsidRPr="004F78EF">
        <w:rPr>
          <w:sz w:val="24"/>
          <w:szCs w:val="24"/>
          <w:rtl/>
        </w:rPr>
        <w:t>נים כבש את ארצם.</w:t>
      </w:r>
    </w:p>
    <w:p w14:paraId="71E85CBF" w14:textId="77777777" w:rsidR="004F00AC" w:rsidRDefault="004F00AC" w:rsidP="004F00AC">
      <w:pPr>
        <w:pStyle w:val="a3"/>
        <w:spacing w:line="320" w:lineRule="exact"/>
        <w:rPr>
          <w:rtl/>
        </w:rPr>
      </w:pPr>
      <w:r>
        <w:rPr>
          <w:rtl/>
        </w:rPr>
        <w:t xml:space="preserve"> </w:t>
      </w:r>
    </w:p>
    <w:p w14:paraId="7A3AF794" w14:textId="77777777" w:rsidR="004F00AC" w:rsidRPr="00590A9C" w:rsidRDefault="004F00AC" w:rsidP="004F00AC">
      <w:pPr>
        <w:pStyle w:val="a3"/>
        <w:rPr>
          <w:b/>
          <w:bCs/>
          <w:sz w:val="32"/>
          <w:szCs w:val="32"/>
          <w:u w:val="single"/>
          <w:rtl/>
        </w:rPr>
      </w:pPr>
      <w:r w:rsidRPr="00590A9C">
        <w:rPr>
          <w:b/>
          <w:bCs/>
          <w:sz w:val="32"/>
          <w:szCs w:val="32"/>
          <w:u w:val="single"/>
          <w:rtl/>
        </w:rPr>
        <w:t>המניין למלכות יון</w:t>
      </w:r>
    </w:p>
    <w:p w14:paraId="4338F40F" w14:textId="77777777" w:rsidR="004F00AC" w:rsidRDefault="004F00AC" w:rsidP="004F00AC">
      <w:pPr>
        <w:pStyle w:val="a3"/>
        <w:spacing w:line="320" w:lineRule="exact"/>
        <w:rPr>
          <w:b/>
          <w:bCs/>
          <w:szCs w:val="36"/>
          <w:u w:val="single"/>
          <w:rtl/>
        </w:rPr>
      </w:pPr>
    </w:p>
    <w:p w14:paraId="7AF7B0B2" w14:textId="37755360" w:rsidR="004F00AC" w:rsidRPr="004F78EF" w:rsidRDefault="004F00AC" w:rsidP="004F00AC">
      <w:pPr>
        <w:pStyle w:val="a3"/>
        <w:spacing w:line="320" w:lineRule="exact"/>
        <w:rPr>
          <w:sz w:val="24"/>
          <w:szCs w:val="24"/>
          <w:rtl/>
        </w:rPr>
      </w:pPr>
      <w:r w:rsidRPr="004F78EF">
        <w:rPr>
          <w:sz w:val="24"/>
          <w:szCs w:val="24"/>
          <w:rtl/>
        </w:rPr>
        <w:t>זהו המניין המפורסם המכונה "מניין שטרות", והוא נהוג עד היום בקרב יוצאי גלות תימן.</w:t>
      </w:r>
      <w:r>
        <w:rPr>
          <w:rFonts w:hint="cs"/>
          <w:sz w:val="24"/>
          <w:szCs w:val="24"/>
          <w:rtl/>
        </w:rPr>
        <w:t xml:space="preserve"> </w:t>
      </w:r>
      <w:r w:rsidRPr="004F78EF">
        <w:rPr>
          <w:sz w:val="24"/>
          <w:szCs w:val="24"/>
          <w:rtl/>
        </w:rPr>
        <w:t>בספרות הכללית הוא מוכר בשם "המניין הסל</w:t>
      </w:r>
      <w:r>
        <w:rPr>
          <w:rFonts w:hint="cs"/>
          <w:sz w:val="24"/>
          <w:szCs w:val="24"/>
          <w:rtl/>
        </w:rPr>
        <w:t>ב</w:t>
      </w:r>
      <w:r w:rsidRPr="004F78EF">
        <w:rPr>
          <w:sz w:val="24"/>
          <w:szCs w:val="24"/>
          <w:rtl/>
        </w:rPr>
        <w:t>קי".</w:t>
      </w:r>
      <w:r>
        <w:rPr>
          <w:rFonts w:hint="cs"/>
          <w:sz w:val="24"/>
          <w:szCs w:val="24"/>
          <w:rtl/>
        </w:rPr>
        <w:t xml:space="preserve"> </w:t>
      </w:r>
      <w:r w:rsidRPr="004F78EF">
        <w:rPr>
          <w:sz w:val="24"/>
          <w:szCs w:val="24"/>
          <w:rtl/>
        </w:rPr>
        <w:t>מניין זה התחיל בימי ס</w:t>
      </w:r>
      <w:r>
        <w:rPr>
          <w:rFonts w:hint="cs"/>
          <w:sz w:val="24"/>
          <w:szCs w:val="24"/>
          <w:rtl/>
        </w:rPr>
        <w:t>ֵ</w:t>
      </w:r>
      <w:r w:rsidRPr="004F78EF">
        <w:rPr>
          <w:sz w:val="24"/>
          <w:szCs w:val="24"/>
          <w:rtl/>
        </w:rPr>
        <w:t>ל</w:t>
      </w:r>
      <w:r>
        <w:rPr>
          <w:rFonts w:hint="cs"/>
          <w:sz w:val="24"/>
          <w:szCs w:val="24"/>
          <w:rtl/>
        </w:rPr>
        <w:t>ֵבְ</w:t>
      </w:r>
      <w:r w:rsidRPr="004F78EF">
        <w:rPr>
          <w:sz w:val="24"/>
          <w:szCs w:val="24"/>
          <w:rtl/>
        </w:rPr>
        <w:t>קוס</w:t>
      </w:r>
      <w:r>
        <w:rPr>
          <w:rStyle w:val="a7"/>
          <w:sz w:val="24"/>
          <w:szCs w:val="24"/>
          <w:rtl/>
        </w:rPr>
        <w:footnoteReference w:id="2"/>
      </w:r>
      <w:r w:rsidRPr="004F78EF">
        <w:rPr>
          <w:sz w:val="24"/>
          <w:szCs w:val="24"/>
          <w:rtl/>
        </w:rPr>
        <w:t xml:space="preserve"> היווני מלך סוריה.</w:t>
      </w:r>
      <w:r>
        <w:rPr>
          <w:rFonts w:hint="cs"/>
          <w:sz w:val="24"/>
          <w:szCs w:val="24"/>
          <w:rtl/>
        </w:rPr>
        <w:t xml:space="preserve"> </w:t>
      </w:r>
      <w:r w:rsidRPr="004F78EF">
        <w:rPr>
          <w:sz w:val="24"/>
          <w:szCs w:val="24"/>
          <w:rtl/>
        </w:rPr>
        <w:t xml:space="preserve">לאחר מותו של אלכסנדר מוקדון התפצלה ממלכתו לכמה מלכויות </w:t>
      </w:r>
      <w:r>
        <w:rPr>
          <w:rFonts w:hint="cs"/>
          <w:sz w:val="24"/>
          <w:szCs w:val="24"/>
          <w:rtl/>
        </w:rPr>
        <w:t xml:space="preserve">('דיאדוכים') </w:t>
      </w:r>
      <w:r w:rsidRPr="004F78EF">
        <w:rPr>
          <w:sz w:val="24"/>
          <w:szCs w:val="24"/>
          <w:rtl/>
        </w:rPr>
        <w:t>ואחת מהם היתה מלכות סוריה שכללה את בבל והגיעה עד הודו. שליט מלכות זאת היה המלך סל</w:t>
      </w:r>
      <w:r>
        <w:rPr>
          <w:rFonts w:hint="cs"/>
          <w:sz w:val="24"/>
          <w:szCs w:val="24"/>
          <w:rtl/>
        </w:rPr>
        <w:t>ב</w:t>
      </w:r>
      <w:r w:rsidRPr="004F78EF">
        <w:rPr>
          <w:sz w:val="24"/>
          <w:szCs w:val="24"/>
          <w:rtl/>
        </w:rPr>
        <w:t>קוס ניקטור. בשנת 312 לפני ספיר</w:t>
      </w:r>
      <w:r>
        <w:rPr>
          <w:rFonts w:hint="cs"/>
          <w:sz w:val="24"/>
          <w:szCs w:val="24"/>
          <w:rtl/>
        </w:rPr>
        <w:t>ת הנוצרים</w:t>
      </w:r>
      <w:r w:rsidRPr="004F78EF">
        <w:rPr>
          <w:sz w:val="24"/>
          <w:szCs w:val="24"/>
          <w:rtl/>
        </w:rPr>
        <w:t xml:space="preserve"> התחיל </w:t>
      </w:r>
      <w:r>
        <w:rPr>
          <w:sz w:val="24"/>
          <w:szCs w:val="24"/>
          <w:rtl/>
        </w:rPr>
        <w:t>סלבק</w:t>
      </w:r>
      <w:r w:rsidRPr="004F78EF">
        <w:rPr>
          <w:sz w:val="24"/>
          <w:szCs w:val="24"/>
          <w:rtl/>
        </w:rPr>
        <w:t>וס למנות את שנות מלכותו. עם מותו עלה על כסאו אנטיוכוס סוטר</w:t>
      </w:r>
      <w:r>
        <w:rPr>
          <w:rStyle w:val="a7"/>
          <w:sz w:val="24"/>
          <w:szCs w:val="24"/>
          <w:rtl/>
        </w:rPr>
        <w:footnoteReference w:id="3"/>
      </w:r>
      <w:r>
        <w:rPr>
          <w:rFonts w:hint="cs"/>
          <w:sz w:val="24"/>
          <w:szCs w:val="24"/>
          <w:rtl/>
        </w:rPr>
        <w:t>.</w:t>
      </w:r>
      <w:r w:rsidRPr="004F78EF">
        <w:rPr>
          <w:sz w:val="24"/>
          <w:szCs w:val="24"/>
          <w:rtl/>
        </w:rPr>
        <w:t xml:space="preserve"> בניגוד למקובל לא התחיל היורש אנטיוכוס סוטר למנות לעצמו את שנות מלכותו, אלא המשיך את המניין ל</w:t>
      </w:r>
      <w:r>
        <w:rPr>
          <w:sz w:val="24"/>
          <w:szCs w:val="24"/>
          <w:rtl/>
        </w:rPr>
        <w:t>סלבק</w:t>
      </w:r>
      <w:r w:rsidRPr="004F78EF">
        <w:rPr>
          <w:sz w:val="24"/>
          <w:szCs w:val="24"/>
          <w:rtl/>
        </w:rPr>
        <w:t>וס, ורק צירף את שמו למניין (היינו</w:t>
      </w:r>
      <w:r>
        <w:rPr>
          <w:rFonts w:hint="cs"/>
          <w:sz w:val="24"/>
          <w:szCs w:val="24"/>
          <w:rtl/>
        </w:rPr>
        <w:t>,</w:t>
      </w:r>
      <w:r w:rsidRPr="004F78EF">
        <w:rPr>
          <w:sz w:val="24"/>
          <w:szCs w:val="24"/>
          <w:rtl/>
        </w:rPr>
        <w:t xml:space="preserve"> המניין </w:t>
      </w:r>
      <w:r>
        <w:rPr>
          <w:rFonts w:hint="cs"/>
          <w:sz w:val="24"/>
          <w:szCs w:val="24"/>
          <w:rtl/>
        </w:rPr>
        <w:t xml:space="preserve">נקרא המניין </w:t>
      </w:r>
      <w:r w:rsidRPr="004F78EF">
        <w:rPr>
          <w:sz w:val="24"/>
          <w:szCs w:val="24"/>
          <w:rtl/>
        </w:rPr>
        <w:t>לסל</w:t>
      </w:r>
      <w:r>
        <w:rPr>
          <w:rFonts w:hint="cs"/>
          <w:sz w:val="24"/>
          <w:szCs w:val="24"/>
          <w:rtl/>
        </w:rPr>
        <w:t>ב</w:t>
      </w:r>
      <w:r w:rsidRPr="004F78EF">
        <w:rPr>
          <w:sz w:val="24"/>
          <w:szCs w:val="24"/>
          <w:rtl/>
        </w:rPr>
        <w:t>קוס ולאנטיוכוס), וכך נהגו הלאה כל צאצאי השושלת ה</w:t>
      </w:r>
      <w:r>
        <w:rPr>
          <w:sz w:val="24"/>
          <w:szCs w:val="24"/>
          <w:rtl/>
        </w:rPr>
        <w:t>סלבק</w:t>
      </w:r>
      <w:r w:rsidRPr="004F78EF">
        <w:rPr>
          <w:sz w:val="24"/>
          <w:szCs w:val="24"/>
          <w:rtl/>
        </w:rPr>
        <w:t>ית, ואט אט הצטברו עשרות ומאות שנים לשיטת מניין רציפה זו. כל העמים בתחום שלטונם של הסל</w:t>
      </w:r>
      <w:r>
        <w:rPr>
          <w:rFonts w:hint="cs"/>
          <w:sz w:val="24"/>
          <w:szCs w:val="24"/>
          <w:rtl/>
        </w:rPr>
        <w:t>ב</w:t>
      </w:r>
      <w:r w:rsidRPr="004F78EF">
        <w:rPr>
          <w:sz w:val="24"/>
          <w:szCs w:val="24"/>
          <w:rtl/>
        </w:rPr>
        <w:t xml:space="preserve">קים: הן היהודים </w:t>
      </w:r>
      <w:r>
        <w:rPr>
          <w:rFonts w:ascii="Arial" w:hAnsi="Arial" w:hint="cs"/>
          <w:sz w:val="24"/>
          <w:szCs w:val="24"/>
          <w:rtl/>
        </w:rPr>
        <w:t>ו</w:t>
      </w:r>
      <w:r w:rsidRPr="004F78EF">
        <w:rPr>
          <w:sz w:val="24"/>
          <w:szCs w:val="24"/>
          <w:rtl/>
        </w:rPr>
        <w:t>הן הגויים, א</w:t>
      </w:r>
      <w:r>
        <w:rPr>
          <w:rFonts w:hint="cs"/>
          <w:sz w:val="24"/>
          <w:szCs w:val="24"/>
          <w:rtl/>
        </w:rPr>
        <w:t>י</w:t>
      </w:r>
      <w:r w:rsidRPr="004F78EF">
        <w:rPr>
          <w:sz w:val="24"/>
          <w:szCs w:val="24"/>
          <w:rtl/>
        </w:rPr>
        <w:t>מצו את המניין הזה</w:t>
      </w:r>
      <w:r>
        <w:rPr>
          <w:rFonts w:hint="cs"/>
          <w:sz w:val="24"/>
          <w:szCs w:val="24"/>
          <w:rtl/>
        </w:rPr>
        <w:t>,</w:t>
      </w:r>
      <w:r w:rsidRPr="004F78EF">
        <w:rPr>
          <w:sz w:val="24"/>
          <w:szCs w:val="24"/>
          <w:rtl/>
        </w:rPr>
        <w:t xml:space="preserve"> אשר בני העדה התימנית משתמשים בו עד היום. שיטת המניין הזאת, שהיתה נוחה מאוד עקב רציפותה, המשיכה גם לאחר שעם ישראל פרק מעליו את עול היוונים, ואף לאחר שעברה מלכות יון מן העולם. אנו מוצאים את מניין שטרות בספרי החשמונאים, ובכתבי גאוני בבל (למשל</w:t>
      </w:r>
      <w:r>
        <w:rPr>
          <w:rFonts w:hint="cs"/>
          <w:sz w:val="24"/>
          <w:szCs w:val="24"/>
          <w:rtl/>
        </w:rPr>
        <w:t>,</w:t>
      </w:r>
      <w:r w:rsidRPr="004F78EF">
        <w:rPr>
          <w:sz w:val="24"/>
          <w:szCs w:val="24"/>
          <w:rtl/>
        </w:rPr>
        <w:t xml:space="preserve"> תשובות הגאונים).</w:t>
      </w:r>
      <w:r>
        <w:rPr>
          <w:rFonts w:hint="cs"/>
          <w:sz w:val="24"/>
          <w:szCs w:val="24"/>
          <w:rtl/>
        </w:rPr>
        <w:t xml:space="preserve"> </w:t>
      </w:r>
      <w:r w:rsidRPr="004F78EF">
        <w:rPr>
          <w:sz w:val="24"/>
          <w:szCs w:val="24"/>
          <w:rtl/>
        </w:rPr>
        <w:t>במשך השנים דחק המניין לבריאת העולם את מניין שטרות הצידה, עד שכבש את מקומו.</w:t>
      </w:r>
      <w:r>
        <w:rPr>
          <w:rFonts w:hint="cs"/>
          <w:sz w:val="24"/>
          <w:szCs w:val="24"/>
          <w:rtl/>
        </w:rPr>
        <w:t xml:space="preserve"> </w:t>
      </w:r>
    </w:p>
    <w:p w14:paraId="0B42A749" w14:textId="77777777" w:rsidR="004F00AC" w:rsidRDefault="004F00AC" w:rsidP="004F00AC">
      <w:pPr>
        <w:pStyle w:val="a3"/>
        <w:spacing w:line="320" w:lineRule="exact"/>
        <w:rPr>
          <w:rtl/>
        </w:rPr>
      </w:pPr>
    </w:p>
    <w:p w14:paraId="1718507F" w14:textId="77777777" w:rsidR="004F00AC" w:rsidRPr="00630F9D" w:rsidRDefault="004F00AC" w:rsidP="004F00AC">
      <w:pPr>
        <w:pStyle w:val="a3"/>
        <w:rPr>
          <w:b/>
          <w:bCs/>
          <w:sz w:val="32"/>
          <w:szCs w:val="32"/>
          <w:u w:val="single"/>
          <w:rtl/>
        </w:rPr>
      </w:pPr>
      <w:r w:rsidRPr="00630F9D">
        <w:rPr>
          <w:b/>
          <w:bCs/>
          <w:sz w:val="32"/>
          <w:szCs w:val="32"/>
          <w:u w:val="single"/>
          <w:rtl/>
        </w:rPr>
        <w:t>המניין לבניין הבית</w:t>
      </w:r>
    </w:p>
    <w:p w14:paraId="72FE1BE6" w14:textId="2B0C5F12" w:rsidR="004F00AC" w:rsidRPr="00630F9D" w:rsidRDefault="004F00AC" w:rsidP="004F00AC">
      <w:pPr>
        <w:pStyle w:val="a8"/>
        <w:bidi/>
        <w:spacing w:line="320" w:lineRule="exact"/>
        <w:jc w:val="both"/>
        <w:rPr>
          <w:rFonts w:cs="David" w:hint="cs"/>
          <w:color w:val="000000"/>
          <w:rtl/>
          <w:lang w:eastAsia="en-US"/>
        </w:rPr>
      </w:pPr>
      <w:r w:rsidRPr="00630F9D">
        <w:rPr>
          <w:rFonts w:cs="David"/>
          <w:rtl/>
        </w:rPr>
        <w:t xml:space="preserve">מצאנו שימוש </w:t>
      </w:r>
      <w:r w:rsidRPr="00630F9D">
        <w:rPr>
          <w:rFonts w:cs="David" w:hint="cs"/>
          <w:rtl/>
        </w:rPr>
        <w:t>ב</w:t>
      </w:r>
      <w:r w:rsidRPr="00630F9D">
        <w:rPr>
          <w:rFonts w:cs="David"/>
          <w:rtl/>
        </w:rPr>
        <w:t xml:space="preserve">מניין </w:t>
      </w:r>
      <w:r w:rsidRPr="00630F9D">
        <w:rPr>
          <w:rFonts w:cs="David" w:hint="cs"/>
          <w:rtl/>
        </w:rPr>
        <w:t xml:space="preserve">הבית השני </w:t>
      </w:r>
      <w:r w:rsidRPr="00630F9D">
        <w:rPr>
          <w:rFonts w:cs="David"/>
          <w:rtl/>
        </w:rPr>
        <w:t>ב</w:t>
      </w:r>
      <w:r w:rsidRPr="00630F9D">
        <w:rPr>
          <w:rFonts w:cs="David" w:hint="cs"/>
          <w:rtl/>
        </w:rPr>
        <w:t>חיבור המכונה '</w:t>
      </w:r>
      <w:r w:rsidRPr="00630F9D">
        <w:rPr>
          <w:rFonts w:cs="David"/>
          <w:rtl/>
        </w:rPr>
        <w:t>מגילת אנטיוכוס</w:t>
      </w:r>
      <w:r w:rsidRPr="00630F9D">
        <w:rPr>
          <w:rFonts w:cs="David" w:hint="cs"/>
          <w:rtl/>
        </w:rPr>
        <w:t xml:space="preserve">'. </w:t>
      </w:r>
      <w:r>
        <w:rPr>
          <w:rFonts w:cs="David" w:hint="cs"/>
          <w:rtl/>
        </w:rPr>
        <w:t xml:space="preserve">בראשית המגילה </w:t>
      </w:r>
      <w:r w:rsidRPr="00630F9D">
        <w:rPr>
          <w:rFonts w:cs="David" w:hint="cs"/>
          <w:color w:val="000000"/>
          <w:rtl/>
          <w:lang w:eastAsia="en-US"/>
        </w:rPr>
        <w:t>נאמר על אנטיוכוס:</w:t>
      </w:r>
    </w:p>
    <w:p w14:paraId="198142A3" w14:textId="77777777" w:rsidR="004F00AC" w:rsidRPr="00630F9D" w:rsidRDefault="004F00AC" w:rsidP="004F00AC">
      <w:pPr>
        <w:pStyle w:val="a8"/>
        <w:bidi/>
        <w:spacing w:line="320" w:lineRule="exact"/>
        <w:jc w:val="both"/>
        <w:rPr>
          <w:rFonts w:cs="David"/>
          <w:b/>
          <w:bCs/>
          <w:color w:val="000000"/>
          <w:lang w:eastAsia="en-US"/>
        </w:rPr>
      </w:pPr>
      <w:r w:rsidRPr="00630F9D">
        <w:rPr>
          <w:rFonts w:cs="David"/>
          <w:b/>
          <w:bCs/>
          <w:color w:val="000000"/>
          <w:rtl/>
          <w:lang w:eastAsia="en-US"/>
        </w:rPr>
        <w:t>בשנת עשרים ושלוש שנים למלכו, היא שנת מאתים ושלוש עשרה שנים לבנין בית האלו</w:t>
      </w:r>
      <w:r>
        <w:rPr>
          <w:rFonts w:cs="David" w:hint="cs"/>
          <w:b/>
          <w:bCs/>
          <w:color w:val="000000"/>
          <w:rtl/>
          <w:lang w:eastAsia="en-US"/>
        </w:rPr>
        <w:t>ק</w:t>
      </w:r>
      <w:r w:rsidRPr="00630F9D">
        <w:rPr>
          <w:rFonts w:cs="David"/>
          <w:b/>
          <w:bCs/>
          <w:color w:val="000000"/>
          <w:rtl/>
          <w:lang w:eastAsia="en-US"/>
        </w:rPr>
        <w:t>ים</w:t>
      </w:r>
      <w:r>
        <w:rPr>
          <w:rFonts w:cs="David" w:hint="cs"/>
          <w:b/>
          <w:bCs/>
          <w:color w:val="000000"/>
          <w:rtl/>
          <w:lang w:eastAsia="en-US"/>
        </w:rPr>
        <w:t>,</w:t>
      </w:r>
      <w:r w:rsidRPr="00630F9D">
        <w:rPr>
          <w:rFonts w:cs="David"/>
          <w:b/>
          <w:bCs/>
          <w:color w:val="000000"/>
          <w:lang w:eastAsia="en-US"/>
        </w:rPr>
        <w:t xml:space="preserve"> </w:t>
      </w:r>
      <w:r w:rsidRPr="00630F9D">
        <w:rPr>
          <w:rFonts w:cs="David"/>
          <w:b/>
          <w:bCs/>
          <w:color w:val="000000"/>
          <w:rtl/>
          <w:lang w:eastAsia="en-US"/>
        </w:rPr>
        <w:t>שם פניו לעלות לירושלים</w:t>
      </w:r>
      <w:r>
        <w:rPr>
          <w:rFonts w:cs="David" w:hint="cs"/>
          <w:b/>
          <w:bCs/>
          <w:color w:val="000000"/>
          <w:rtl/>
          <w:lang w:eastAsia="en-US"/>
        </w:rPr>
        <w:t>.</w:t>
      </w:r>
    </w:p>
    <w:p w14:paraId="0EE63944" w14:textId="77777777" w:rsidR="004F00AC" w:rsidRPr="004F78EF" w:rsidRDefault="004F00AC" w:rsidP="004F00AC">
      <w:pPr>
        <w:pStyle w:val="a3"/>
        <w:spacing w:line="320" w:lineRule="exact"/>
        <w:rPr>
          <w:sz w:val="24"/>
          <w:szCs w:val="24"/>
          <w:rtl/>
        </w:rPr>
      </w:pPr>
      <w:r w:rsidRPr="004F78EF">
        <w:rPr>
          <w:sz w:val="24"/>
          <w:szCs w:val="24"/>
          <w:rtl/>
        </w:rPr>
        <w:t>אנו מוצאים לפעמים שימוש בכמה מניינים בבת אחת</w:t>
      </w:r>
      <w:r>
        <w:rPr>
          <w:rFonts w:hint="cs"/>
          <w:sz w:val="24"/>
          <w:szCs w:val="24"/>
          <w:rtl/>
        </w:rPr>
        <w:t>,</w:t>
      </w:r>
      <w:r w:rsidRPr="004F78EF">
        <w:rPr>
          <w:sz w:val="24"/>
          <w:szCs w:val="24"/>
          <w:rtl/>
        </w:rPr>
        <w:t xml:space="preserve"> ובהם המניין לבניין הבית, לדוגמא</w:t>
      </w:r>
      <w:r>
        <w:rPr>
          <w:rFonts w:hint="cs"/>
          <w:sz w:val="24"/>
          <w:szCs w:val="24"/>
          <w:rtl/>
        </w:rPr>
        <w:t xml:space="preserve">, </w:t>
      </w:r>
      <w:r w:rsidRPr="004F78EF">
        <w:rPr>
          <w:sz w:val="24"/>
          <w:szCs w:val="24"/>
          <w:rtl/>
        </w:rPr>
        <w:t>בעל ספר העיטור כותב בתחילת ספרו</w:t>
      </w:r>
      <w:r>
        <w:rPr>
          <w:rStyle w:val="a7"/>
          <w:sz w:val="24"/>
          <w:szCs w:val="24"/>
          <w:rtl/>
        </w:rPr>
        <w:footnoteReference w:id="4"/>
      </w:r>
      <w:r w:rsidRPr="004F78EF">
        <w:rPr>
          <w:sz w:val="24"/>
          <w:szCs w:val="24"/>
          <w:rtl/>
        </w:rPr>
        <w:t>:</w:t>
      </w:r>
    </w:p>
    <w:p w14:paraId="312F9535" w14:textId="77777777" w:rsidR="004F00AC" w:rsidRPr="004F78EF" w:rsidRDefault="004F00AC" w:rsidP="004F00AC">
      <w:pPr>
        <w:pStyle w:val="a3"/>
        <w:spacing w:line="320" w:lineRule="exact"/>
        <w:rPr>
          <w:sz w:val="24"/>
          <w:szCs w:val="24"/>
          <w:rtl/>
        </w:rPr>
      </w:pPr>
    </w:p>
    <w:p w14:paraId="097BF23E" w14:textId="77777777" w:rsidR="004F00AC" w:rsidRPr="00630F9D" w:rsidRDefault="004F00AC" w:rsidP="004F00AC">
      <w:pPr>
        <w:pStyle w:val="a3"/>
        <w:spacing w:line="320" w:lineRule="exact"/>
        <w:rPr>
          <w:b/>
          <w:bCs/>
          <w:sz w:val="24"/>
          <w:szCs w:val="24"/>
          <w:rtl/>
        </w:rPr>
      </w:pPr>
      <w:r w:rsidRPr="00630F9D">
        <w:rPr>
          <w:b/>
          <w:bCs/>
          <w:sz w:val="24"/>
          <w:szCs w:val="24"/>
          <w:rtl/>
        </w:rPr>
        <w:t xml:space="preserve">היום אנו מונים: </w:t>
      </w:r>
    </w:p>
    <w:p w14:paraId="7308DBC8" w14:textId="77777777" w:rsidR="004F00AC" w:rsidRPr="00630F9D" w:rsidRDefault="004F00AC" w:rsidP="004F00AC">
      <w:pPr>
        <w:pStyle w:val="a3"/>
        <w:spacing w:line="320" w:lineRule="exact"/>
        <w:rPr>
          <w:b/>
          <w:bCs/>
          <w:sz w:val="24"/>
          <w:szCs w:val="24"/>
          <w:rtl/>
        </w:rPr>
      </w:pPr>
      <w:r w:rsidRPr="00630F9D">
        <w:rPr>
          <w:b/>
          <w:bCs/>
          <w:sz w:val="24"/>
          <w:szCs w:val="24"/>
          <w:rtl/>
        </w:rPr>
        <w:t xml:space="preserve">[ד"א] תתקל"ט (4939) לבריאת עולם, </w:t>
      </w:r>
    </w:p>
    <w:p w14:paraId="35E48EC1" w14:textId="77777777" w:rsidR="004F00AC" w:rsidRPr="00630F9D" w:rsidRDefault="004F00AC" w:rsidP="004F00AC">
      <w:pPr>
        <w:pStyle w:val="a3"/>
        <w:spacing w:line="320" w:lineRule="exact"/>
        <w:rPr>
          <w:b/>
          <w:bCs/>
          <w:sz w:val="24"/>
          <w:szCs w:val="24"/>
          <w:rtl/>
        </w:rPr>
      </w:pPr>
      <w:r w:rsidRPr="00630F9D">
        <w:rPr>
          <w:b/>
          <w:bCs/>
          <w:sz w:val="24"/>
          <w:szCs w:val="24"/>
          <w:rtl/>
        </w:rPr>
        <w:t xml:space="preserve">שהיא למלכות יון אלף ותצ"א (1491) </w:t>
      </w:r>
    </w:p>
    <w:p w14:paraId="1C4548C6" w14:textId="77777777" w:rsidR="004F00AC" w:rsidRPr="00630F9D" w:rsidRDefault="004F00AC" w:rsidP="004F00AC">
      <w:pPr>
        <w:pStyle w:val="a3"/>
        <w:spacing w:line="320" w:lineRule="exact"/>
        <w:rPr>
          <w:b/>
          <w:bCs/>
          <w:sz w:val="24"/>
          <w:szCs w:val="24"/>
          <w:u w:val="single"/>
          <w:rtl/>
        </w:rPr>
      </w:pPr>
      <w:r w:rsidRPr="00630F9D">
        <w:rPr>
          <w:b/>
          <w:bCs/>
          <w:sz w:val="24"/>
          <w:szCs w:val="24"/>
          <w:u w:val="single"/>
          <w:rtl/>
        </w:rPr>
        <w:lastRenderedPageBreak/>
        <w:t xml:space="preserve">שהיא לבניין הבית אלף ותתקל"א (צ"ל תקל"א) (1531) , </w:t>
      </w:r>
    </w:p>
    <w:p w14:paraId="2905926C" w14:textId="77777777" w:rsidR="004F00AC" w:rsidRPr="00630F9D" w:rsidRDefault="004F00AC" w:rsidP="004F00AC">
      <w:pPr>
        <w:pStyle w:val="a3"/>
        <w:spacing w:line="320" w:lineRule="exact"/>
        <w:rPr>
          <w:b/>
          <w:bCs/>
          <w:sz w:val="24"/>
          <w:szCs w:val="24"/>
          <w:rtl/>
        </w:rPr>
      </w:pPr>
      <w:r w:rsidRPr="00630F9D">
        <w:rPr>
          <w:b/>
          <w:bCs/>
          <w:sz w:val="24"/>
          <w:szCs w:val="24"/>
          <w:rtl/>
        </w:rPr>
        <w:t xml:space="preserve">ואלף וקי"א (1111) לחרבן שיבנה במהרה בימינו, </w:t>
      </w:r>
    </w:p>
    <w:p w14:paraId="55CEFF71" w14:textId="77777777" w:rsidR="004F00AC" w:rsidRPr="00630F9D" w:rsidRDefault="004F00AC" w:rsidP="004F00AC">
      <w:pPr>
        <w:pStyle w:val="a3"/>
        <w:spacing w:line="320" w:lineRule="exact"/>
        <w:rPr>
          <w:b/>
          <w:bCs/>
          <w:sz w:val="24"/>
          <w:szCs w:val="24"/>
          <w:rtl/>
        </w:rPr>
      </w:pPr>
      <w:r w:rsidRPr="00630F9D">
        <w:rPr>
          <w:b/>
          <w:bCs/>
          <w:sz w:val="24"/>
          <w:szCs w:val="24"/>
          <w:rtl/>
        </w:rPr>
        <w:t>וליציאת מצרים שני אלפים ותצ"א (2491).</w:t>
      </w:r>
    </w:p>
    <w:p w14:paraId="012A7376" w14:textId="77777777" w:rsidR="004F00AC" w:rsidRDefault="004F00AC" w:rsidP="004F00AC">
      <w:pPr>
        <w:pStyle w:val="a3"/>
        <w:spacing w:line="320" w:lineRule="exact"/>
        <w:rPr>
          <w:rtl/>
        </w:rPr>
      </w:pPr>
    </w:p>
    <w:p w14:paraId="549C2E70" w14:textId="77777777" w:rsidR="004F00AC" w:rsidRDefault="004F00AC" w:rsidP="004F00AC">
      <w:pPr>
        <w:pStyle w:val="a3"/>
        <w:spacing w:line="320" w:lineRule="exact"/>
        <w:rPr>
          <w:b/>
          <w:bCs/>
          <w:szCs w:val="36"/>
          <w:u w:val="single"/>
          <w:rtl/>
        </w:rPr>
      </w:pPr>
      <w:r>
        <w:rPr>
          <w:b/>
          <w:bCs/>
          <w:szCs w:val="36"/>
          <w:u w:val="single"/>
          <w:rtl/>
        </w:rPr>
        <w:t>המניין לח</w:t>
      </w:r>
      <w:r>
        <w:rPr>
          <w:rFonts w:hint="cs"/>
          <w:b/>
          <w:bCs/>
          <w:szCs w:val="36"/>
          <w:u w:val="single"/>
          <w:rtl/>
        </w:rPr>
        <w:t>ו</w:t>
      </w:r>
      <w:r>
        <w:rPr>
          <w:b/>
          <w:bCs/>
          <w:szCs w:val="36"/>
          <w:u w:val="single"/>
          <w:rtl/>
        </w:rPr>
        <w:t>רבן הבית</w:t>
      </w:r>
    </w:p>
    <w:p w14:paraId="06AE5DDA" w14:textId="77777777" w:rsidR="004F00AC" w:rsidRDefault="004F00AC" w:rsidP="004F00AC">
      <w:pPr>
        <w:pStyle w:val="a3"/>
        <w:spacing w:line="320" w:lineRule="exact"/>
        <w:rPr>
          <w:b/>
          <w:bCs/>
          <w:szCs w:val="36"/>
          <w:u w:val="single"/>
          <w:rtl/>
        </w:rPr>
      </w:pPr>
    </w:p>
    <w:p w14:paraId="6A5326FF" w14:textId="13C9DB4E" w:rsidR="004F00AC" w:rsidRPr="004F78EF" w:rsidRDefault="004F00AC" w:rsidP="007E0A2A">
      <w:pPr>
        <w:pStyle w:val="a3"/>
        <w:spacing w:line="320" w:lineRule="exact"/>
        <w:rPr>
          <w:rFonts w:hint="cs"/>
          <w:sz w:val="24"/>
          <w:szCs w:val="24"/>
          <w:rtl/>
        </w:rPr>
      </w:pPr>
      <w:r w:rsidRPr="004F78EF">
        <w:rPr>
          <w:sz w:val="24"/>
          <w:szCs w:val="24"/>
          <w:rtl/>
        </w:rPr>
        <w:t>מניין לח</w:t>
      </w:r>
      <w:r>
        <w:rPr>
          <w:rFonts w:hint="cs"/>
          <w:sz w:val="24"/>
          <w:szCs w:val="24"/>
          <w:rtl/>
        </w:rPr>
        <w:t>ו</w:t>
      </w:r>
      <w:r w:rsidRPr="004F78EF">
        <w:rPr>
          <w:sz w:val="24"/>
          <w:szCs w:val="24"/>
          <w:rtl/>
        </w:rPr>
        <w:t xml:space="preserve">רבן הבית </w:t>
      </w:r>
      <w:r w:rsidRPr="008C5D6F">
        <w:rPr>
          <w:b/>
          <w:bCs/>
          <w:sz w:val="24"/>
          <w:szCs w:val="24"/>
          <w:rtl/>
        </w:rPr>
        <w:t>הראשון</w:t>
      </w:r>
      <w:r w:rsidRPr="004F78EF">
        <w:rPr>
          <w:sz w:val="24"/>
          <w:szCs w:val="24"/>
          <w:rtl/>
        </w:rPr>
        <w:t xml:space="preserve"> מופיע פעם אחת ביחזקאל</w:t>
      </w:r>
      <w:r w:rsidR="00F42864">
        <w:rPr>
          <w:rFonts w:hint="cs"/>
          <w:sz w:val="24"/>
          <w:szCs w:val="24"/>
          <w:rtl/>
        </w:rPr>
        <w:t xml:space="preserve"> מ, א</w:t>
      </w:r>
      <w:r w:rsidRPr="004F78EF">
        <w:rPr>
          <w:sz w:val="24"/>
          <w:szCs w:val="24"/>
          <w:rtl/>
        </w:rPr>
        <w:t xml:space="preserve"> (</w:t>
      </w:r>
      <w:r>
        <w:rPr>
          <w:rFonts w:hint="cs"/>
          <w:sz w:val="24"/>
          <w:szCs w:val="24"/>
          <w:rtl/>
        </w:rPr>
        <w:t>"</w:t>
      </w:r>
      <w:r w:rsidR="00F42864">
        <w:rPr>
          <w:rFonts w:hint="cs"/>
          <w:sz w:val="24"/>
          <w:szCs w:val="24"/>
          <w:rtl/>
        </w:rPr>
        <w:t xml:space="preserve">אחר </w:t>
      </w:r>
      <w:r w:rsidRPr="004F78EF">
        <w:rPr>
          <w:sz w:val="24"/>
          <w:szCs w:val="24"/>
          <w:rtl/>
        </w:rPr>
        <w:t>אשר הוכתה העיר</w:t>
      </w:r>
      <w:r>
        <w:rPr>
          <w:rFonts w:hint="cs"/>
          <w:sz w:val="24"/>
          <w:szCs w:val="24"/>
          <w:rtl/>
        </w:rPr>
        <w:t>"</w:t>
      </w:r>
      <w:r w:rsidRPr="004F78EF">
        <w:rPr>
          <w:sz w:val="24"/>
          <w:szCs w:val="24"/>
          <w:rtl/>
        </w:rPr>
        <w:t>).</w:t>
      </w:r>
      <w:r>
        <w:rPr>
          <w:rFonts w:hint="cs"/>
          <w:sz w:val="24"/>
          <w:szCs w:val="24"/>
          <w:rtl/>
        </w:rPr>
        <w:t xml:space="preserve"> </w:t>
      </w:r>
      <w:r w:rsidRPr="004F78EF">
        <w:rPr>
          <w:sz w:val="24"/>
          <w:szCs w:val="24"/>
          <w:rtl/>
        </w:rPr>
        <w:t>המניין לח</w:t>
      </w:r>
      <w:r>
        <w:rPr>
          <w:rFonts w:hint="cs"/>
          <w:sz w:val="24"/>
          <w:szCs w:val="24"/>
          <w:rtl/>
        </w:rPr>
        <w:t>ו</w:t>
      </w:r>
      <w:r w:rsidRPr="004F78EF">
        <w:rPr>
          <w:sz w:val="24"/>
          <w:szCs w:val="24"/>
          <w:rtl/>
        </w:rPr>
        <w:t xml:space="preserve">רבן הבית </w:t>
      </w:r>
      <w:r w:rsidRPr="008C5D6F">
        <w:rPr>
          <w:b/>
          <w:bCs/>
          <w:sz w:val="24"/>
          <w:szCs w:val="24"/>
          <w:rtl/>
        </w:rPr>
        <w:t>השני</w:t>
      </w:r>
      <w:r w:rsidRPr="004F78EF">
        <w:rPr>
          <w:sz w:val="24"/>
          <w:szCs w:val="24"/>
          <w:rtl/>
        </w:rPr>
        <w:t xml:space="preserve"> מופיע פעמים רבות כמניין רציף שנהג מאות שנים אחר </w:t>
      </w:r>
      <w:r>
        <w:rPr>
          <w:sz w:val="24"/>
          <w:szCs w:val="24"/>
          <w:rtl/>
        </w:rPr>
        <w:t>חורבן</w:t>
      </w:r>
      <w:r w:rsidRPr="004F78EF">
        <w:rPr>
          <w:sz w:val="24"/>
          <w:szCs w:val="24"/>
          <w:rtl/>
        </w:rPr>
        <w:t xml:space="preserve"> הבית בפועל, ועד היום היה מניין זה יכול להמשיך אלמלא דחק המניין לבריאת העולם את מקומו. </w:t>
      </w:r>
      <w:r>
        <w:rPr>
          <w:rFonts w:hint="cs"/>
          <w:sz w:val="24"/>
          <w:szCs w:val="24"/>
          <w:rtl/>
        </w:rPr>
        <w:t xml:space="preserve">ישנם </w:t>
      </w:r>
      <w:r w:rsidRPr="004F78EF">
        <w:rPr>
          <w:sz w:val="24"/>
          <w:szCs w:val="24"/>
          <w:rtl/>
        </w:rPr>
        <w:t>מקורות רבים בהם מופיע המניין לח</w:t>
      </w:r>
      <w:r>
        <w:rPr>
          <w:rFonts w:hint="cs"/>
          <w:sz w:val="24"/>
          <w:szCs w:val="24"/>
          <w:rtl/>
        </w:rPr>
        <w:t>ו</w:t>
      </w:r>
      <w:r w:rsidRPr="004F78EF">
        <w:rPr>
          <w:sz w:val="24"/>
          <w:szCs w:val="24"/>
          <w:rtl/>
        </w:rPr>
        <w:t>רבן הבית, דבר המעיד כי היה בשימוש.</w:t>
      </w:r>
      <w:r>
        <w:rPr>
          <w:rFonts w:hint="cs"/>
          <w:sz w:val="24"/>
          <w:szCs w:val="24"/>
          <w:rtl/>
        </w:rPr>
        <w:t xml:space="preserve"> </w:t>
      </w:r>
    </w:p>
    <w:p w14:paraId="54741FD2" w14:textId="77777777" w:rsidR="000E1D41" w:rsidRDefault="000E1D41"/>
    <w:sectPr w:rsidR="000E1D41" w:rsidSect="00ED234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7A2B" w14:textId="77777777" w:rsidR="00C45A55" w:rsidRDefault="00C45A55" w:rsidP="004F00AC">
      <w:r>
        <w:separator/>
      </w:r>
    </w:p>
  </w:endnote>
  <w:endnote w:type="continuationSeparator" w:id="0">
    <w:p w14:paraId="27BB166B" w14:textId="77777777" w:rsidR="00C45A55" w:rsidRDefault="00C45A55" w:rsidP="004F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Dbs-Torah">
    <w:altName w:val="Arial"/>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3D48" w14:textId="77777777" w:rsidR="00C45A55" w:rsidRDefault="00C45A55" w:rsidP="004F00AC">
      <w:r>
        <w:separator/>
      </w:r>
    </w:p>
  </w:footnote>
  <w:footnote w:type="continuationSeparator" w:id="0">
    <w:p w14:paraId="1EA433C6" w14:textId="77777777" w:rsidR="00C45A55" w:rsidRDefault="00C45A55" w:rsidP="004F00AC">
      <w:r>
        <w:continuationSeparator/>
      </w:r>
    </w:p>
  </w:footnote>
  <w:footnote w:id="1">
    <w:p w14:paraId="130BE453" w14:textId="77777777" w:rsidR="004F00AC" w:rsidRPr="00A05114" w:rsidRDefault="004F00AC" w:rsidP="004F00AC">
      <w:pPr>
        <w:pStyle w:val="a5"/>
        <w:jc w:val="both"/>
        <w:rPr>
          <w:rFonts w:cs="David" w:hint="cs"/>
          <w:rtl/>
        </w:rPr>
      </w:pPr>
      <w:r w:rsidRPr="00A05114">
        <w:rPr>
          <w:rStyle w:val="a7"/>
          <w:rFonts w:cs="David"/>
        </w:rPr>
        <w:footnoteRef/>
      </w:r>
      <w:r w:rsidRPr="00A05114">
        <w:rPr>
          <w:rFonts w:cs="David"/>
          <w:rtl/>
        </w:rPr>
        <w:t xml:space="preserve"> למעשה</w:t>
      </w:r>
      <w:r w:rsidRPr="00A05114">
        <w:rPr>
          <w:rFonts w:cs="David" w:hint="cs"/>
          <w:rtl/>
        </w:rPr>
        <w:t>,</w:t>
      </w:r>
      <w:r w:rsidRPr="00A05114">
        <w:rPr>
          <w:rFonts w:cs="David"/>
          <w:rtl/>
        </w:rPr>
        <w:t xml:space="preserve"> מעולם לא היתה ספירה רציפה מייסוד העיר רומי, ורק בתקופה הרבה יותר מאוחרת, חישבו למפרע על סמך רשימות כרונולוגיות והגיעו למסקנה שרומי נבנתה נבנתה בשנה זו</w:t>
      </w:r>
      <w:r w:rsidRPr="00A05114">
        <w:rPr>
          <w:rFonts w:cs="David" w:hint="cs"/>
          <w:rtl/>
        </w:rPr>
        <w:t>.</w:t>
      </w:r>
    </w:p>
  </w:footnote>
  <w:footnote w:id="2">
    <w:p w14:paraId="4A42F5E8" w14:textId="77777777" w:rsidR="004F00AC" w:rsidRPr="00A05114" w:rsidRDefault="004F00AC" w:rsidP="004F00AC">
      <w:pPr>
        <w:pStyle w:val="a5"/>
        <w:jc w:val="both"/>
        <w:rPr>
          <w:rFonts w:cs="David" w:hint="cs"/>
          <w:rtl/>
        </w:rPr>
      </w:pPr>
      <w:r w:rsidRPr="00A05114">
        <w:rPr>
          <w:rStyle w:val="a7"/>
          <w:rFonts w:cs="David"/>
        </w:rPr>
        <w:footnoteRef/>
      </w:r>
      <w:r w:rsidRPr="00A05114">
        <w:rPr>
          <w:rFonts w:cs="David"/>
          <w:rtl/>
        </w:rPr>
        <w:t xml:space="preserve"> </w:t>
      </w:r>
      <w:r w:rsidRPr="00A05114">
        <w:rPr>
          <w:rFonts w:cs="David" w:hint="cs"/>
          <w:rtl/>
        </w:rPr>
        <w:t xml:space="preserve">יש ההוגים שם זה סֵלֵאוּקוׂס. באנגלית </w:t>
      </w:r>
      <w:r w:rsidRPr="00A05114">
        <w:rPr>
          <w:rFonts w:cs="David" w:hint="cs"/>
        </w:rPr>
        <w:t>S</w:t>
      </w:r>
      <w:r w:rsidRPr="00A05114">
        <w:rPr>
          <w:rFonts w:cs="David"/>
        </w:rPr>
        <w:t>eleucus</w:t>
      </w:r>
      <w:r w:rsidRPr="00A05114">
        <w:rPr>
          <w:rFonts w:cs="David" w:hint="cs"/>
          <w:rtl/>
        </w:rPr>
        <w:t>.</w:t>
      </w:r>
    </w:p>
  </w:footnote>
  <w:footnote w:id="3">
    <w:p w14:paraId="05E09023" w14:textId="77777777" w:rsidR="004F00AC" w:rsidRPr="00A05114" w:rsidRDefault="004F00AC" w:rsidP="004F00AC">
      <w:pPr>
        <w:pStyle w:val="a5"/>
        <w:jc w:val="both"/>
        <w:rPr>
          <w:rFonts w:cs="David" w:hint="cs"/>
          <w:rtl/>
        </w:rPr>
      </w:pPr>
      <w:r w:rsidRPr="00A05114">
        <w:rPr>
          <w:rStyle w:val="a7"/>
          <w:rFonts w:cs="David"/>
        </w:rPr>
        <w:footnoteRef/>
      </w:r>
      <w:r w:rsidRPr="00A05114">
        <w:rPr>
          <w:rFonts w:cs="David"/>
          <w:rtl/>
        </w:rPr>
        <w:t xml:space="preserve"> זה</w:t>
      </w:r>
      <w:r w:rsidRPr="00A05114">
        <w:rPr>
          <w:rFonts w:cs="David" w:hint="cs"/>
          <w:rtl/>
        </w:rPr>
        <w:t>ו אנטיוכוס הראשון,</w:t>
      </w:r>
      <w:r w:rsidRPr="00A05114">
        <w:rPr>
          <w:rFonts w:cs="David"/>
          <w:rtl/>
        </w:rPr>
        <w:t xml:space="preserve"> </w:t>
      </w:r>
      <w:r w:rsidRPr="00A05114">
        <w:rPr>
          <w:rFonts w:cs="David" w:hint="cs"/>
          <w:rtl/>
        </w:rPr>
        <w:t>אחד מאבות אבותיו של</w:t>
      </w:r>
      <w:r w:rsidRPr="00A05114">
        <w:rPr>
          <w:rFonts w:cs="David"/>
          <w:rtl/>
        </w:rPr>
        <w:t xml:space="preserve"> אנטיוכוס אפיפנס </w:t>
      </w:r>
      <w:r w:rsidRPr="00A05114">
        <w:rPr>
          <w:rFonts w:cs="David" w:hint="cs"/>
          <w:rtl/>
        </w:rPr>
        <w:t xml:space="preserve">הרשע (אנטיוכוס הרביעי) </w:t>
      </w:r>
      <w:r w:rsidRPr="00A05114">
        <w:rPr>
          <w:rFonts w:cs="David"/>
          <w:rtl/>
        </w:rPr>
        <w:t>שט</w:t>
      </w:r>
      <w:r w:rsidRPr="00A05114">
        <w:rPr>
          <w:rFonts w:cs="David" w:hint="cs"/>
          <w:rtl/>
        </w:rPr>
        <w:t>י</w:t>
      </w:r>
      <w:r w:rsidRPr="00A05114">
        <w:rPr>
          <w:rFonts w:cs="David"/>
          <w:rtl/>
        </w:rPr>
        <w:t>מא את המקדש</w:t>
      </w:r>
      <w:r w:rsidRPr="00A05114">
        <w:rPr>
          <w:rFonts w:cs="David" w:hint="cs"/>
          <w:rtl/>
        </w:rPr>
        <w:t>.</w:t>
      </w:r>
    </w:p>
  </w:footnote>
  <w:footnote w:id="4">
    <w:p w14:paraId="130653CD" w14:textId="77777777" w:rsidR="004F00AC" w:rsidRPr="00A05114" w:rsidRDefault="004F00AC" w:rsidP="004F00AC">
      <w:pPr>
        <w:autoSpaceDE w:val="0"/>
        <w:autoSpaceDN w:val="0"/>
        <w:adjustRightInd w:val="0"/>
        <w:jc w:val="both"/>
        <w:rPr>
          <w:rFonts w:ascii="Arial" w:hAnsi="Arial" w:cs="David" w:hint="cs"/>
          <w:rtl/>
        </w:rPr>
      </w:pPr>
      <w:r w:rsidRPr="00A05114">
        <w:rPr>
          <w:rStyle w:val="a7"/>
          <w:rFonts w:cs="David"/>
        </w:rPr>
        <w:footnoteRef/>
      </w:r>
      <w:r w:rsidRPr="00A05114">
        <w:rPr>
          <w:rFonts w:cs="David"/>
          <w:rtl/>
        </w:rPr>
        <w:t xml:space="preserve"> </w:t>
      </w:r>
      <w:r w:rsidRPr="00A05114">
        <w:rPr>
          <w:rFonts w:ascii="Arial" w:hAnsi="Arial" w:cs="David" w:hint="cs"/>
          <w:rtl/>
        </w:rPr>
        <w:t xml:space="preserve">ספר העיטור לר' יצחק בן אבא מרי, חלק א', מהדורת ווארשא תרמ"ג, מאמר ראשון - זמן, עמ' 12. </w:t>
      </w:r>
    </w:p>
    <w:p w14:paraId="74C9A514" w14:textId="77777777" w:rsidR="004F00AC" w:rsidRPr="00A05114" w:rsidRDefault="004F00AC" w:rsidP="004F00AC">
      <w:pPr>
        <w:pStyle w:val="a5"/>
        <w:jc w:val="both"/>
        <w:rPr>
          <w:rFonts w:cs="David" w:hint="cs"/>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AC"/>
    <w:rsid w:val="000E1D41"/>
    <w:rsid w:val="004F00AC"/>
    <w:rsid w:val="005A6F4D"/>
    <w:rsid w:val="00660A00"/>
    <w:rsid w:val="007E0A2A"/>
    <w:rsid w:val="00843AD4"/>
    <w:rsid w:val="00C45A55"/>
    <w:rsid w:val="00ED2343"/>
    <w:rsid w:val="00F428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9D3E"/>
  <w15:chartTrackingRefBased/>
  <w15:docId w15:val="{C78B9859-A402-481E-B0DC-D17F75A0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0AC"/>
    <w:pPr>
      <w:bidi/>
      <w:spacing w:after="0" w:line="240" w:lineRule="auto"/>
    </w:pPr>
    <w:rPr>
      <w:rFonts w:ascii="Times New Roman" w:eastAsia="Times New Roman" w:hAnsi="Times New Roman" w:cs="Miriam"/>
      <w:kern w:val="0"/>
      <w:sz w:val="20"/>
      <w:szCs w:val="20"/>
      <w:lang w:eastAsia="he-IL"/>
      <w14:ligatures w14:val="none"/>
    </w:rPr>
  </w:style>
  <w:style w:type="paragraph" w:styleId="2">
    <w:name w:val="heading 2"/>
    <w:basedOn w:val="a"/>
    <w:next w:val="a"/>
    <w:link w:val="20"/>
    <w:qFormat/>
    <w:rsid w:val="004F00AC"/>
    <w:pPr>
      <w:keepNext/>
      <w:outlineLvl w:val="1"/>
    </w:pPr>
    <w:rPr>
      <w:rFonts w:cs="David"/>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4F00AC"/>
    <w:rPr>
      <w:rFonts w:ascii="Times New Roman" w:eastAsia="Times New Roman" w:hAnsi="Times New Roman" w:cs="David"/>
      <w:kern w:val="0"/>
      <w:sz w:val="20"/>
      <w:szCs w:val="28"/>
      <w:lang w:eastAsia="he-IL"/>
      <w14:ligatures w14:val="none"/>
    </w:rPr>
  </w:style>
  <w:style w:type="paragraph" w:styleId="a3">
    <w:name w:val="Body Text"/>
    <w:basedOn w:val="a"/>
    <w:link w:val="a4"/>
    <w:semiHidden/>
    <w:rsid w:val="004F00AC"/>
    <w:pPr>
      <w:jc w:val="both"/>
    </w:pPr>
    <w:rPr>
      <w:rFonts w:cs="David"/>
      <w:szCs w:val="28"/>
    </w:rPr>
  </w:style>
  <w:style w:type="character" w:customStyle="1" w:styleId="a4">
    <w:name w:val="גוף טקסט תו"/>
    <w:basedOn w:val="a0"/>
    <w:link w:val="a3"/>
    <w:semiHidden/>
    <w:rsid w:val="004F00AC"/>
    <w:rPr>
      <w:rFonts w:ascii="Times New Roman" w:eastAsia="Times New Roman" w:hAnsi="Times New Roman" w:cs="David"/>
      <w:kern w:val="0"/>
      <w:sz w:val="20"/>
      <w:szCs w:val="28"/>
      <w:lang w:eastAsia="he-IL"/>
      <w14:ligatures w14:val="none"/>
    </w:rPr>
  </w:style>
  <w:style w:type="paragraph" w:styleId="3">
    <w:name w:val="Body Text 3"/>
    <w:basedOn w:val="a"/>
    <w:link w:val="30"/>
    <w:semiHidden/>
    <w:rsid w:val="004F00AC"/>
    <w:rPr>
      <w:rFonts w:cs="Dbs-Torah"/>
      <w:szCs w:val="28"/>
    </w:rPr>
  </w:style>
  <w:style w:type="character" w:customStyle="1" w:styleId="30">
    <w:name w:val="גוף טקסט 3 תו"/>
    <w:basedOn w:val="a0"/>
    <w:link w:val="3"/>
    <w:semiHidden/>
    <w:rsid w:val="004F00AC"/>
    <w:rPr>
      <w:rFonts w:ascii="Times New Roman" w:eastAsia="Times New Roman" w:hAnsi="Times New Roman" w:cs="Dbs-Torah"/>
      <w:kern w:val="0"/>
      <w:sz w:val="20"/>
      <w:szCs w:val="28"/>
      <w:lang w:eastAsia="he-IL"/>
      <w14:ligatures w14:val="none"/>
    </w:rPr>
  </w:style>
  <w:style w:type="paragraph" w:styleId="a5">
    <w:name w:val="footnote text"/>
    <w:basedOn w:val="a"/>
    <w:link w:val="a6"/>
    <w:semiHidden/>
    <w:rsid w:val="004F00AC"/>
  </w:style>
  <w:style w:type="character" w:customStyle="1" w:styleId="a6">
    <w:name w:val="טקסט הערת שוליים תו"/>
    <w:basedOn w:val="a0"/>
    <w:link w:val="a5"/>
    <w:semiHidden/>
    <w:rsid w:val="004F00AC"/>
    <w:rPr>
      <w:rFonts w:ascii="Times New Roman" w:eastAsia="Times New Roman" w:hAnsi="Times New Roman" w:cs="Miriam"/>
      <w:kern w:val="0"/>
      <w:sz w:val="20"/>
      <w:szCs w:val="20"/>
      <w:lang w:eastAsia="he-IL"/>
      <w14:ligatures w14:val="none"/>
    </w:rPr>
  </w:style>
  <w:style w:type="character" w:styleId="a7">
    <w:name w:val="footnote reference"/>
    <w:semiHidden/>
    <w:rsid w:val="004F00AC"/>
    <w:rPr>
      <w:vertAlign w:val="superscript"/>
    </w:rPr>
  </w:style>
  <w:style w:type="paragraph" w:styleId="a8">
    <w:basedOn w:val="a"/>
    <w:next w:val="NormalWeb"/>
    <w:rsid w:val="004F00AC"/>
    <w:pPr>
      <w:bidi w:val="0"/>
      <w:spacing w:before="100" w:beforeAutospacing="1" w:after="100" w:afterAutospacing="1"/>
    </w:pPr>
    <w:rPr>
      <w:rFonts w:cs="Times New Roman"/>
      <w:sz w:val="24"/>
      <w:szCs w:val="24"/>
    </w:rPr>
  </w:style>
  <w:style w:type="paragraph" w:styleId="NormalWeb">
    <w:name w:val="Normal (Web)"/>
    <w:basedOn w:val="a"/>
    <w:uiPriority w:val="99"/>
    <w:semiHidden/>
    <w:unhideWhenUsed/>
    <w:rsid w:val="004F00A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1073</Words>
  <Characters>5366</Characters>
  <Application>Microsoft Office Word</Application>
  <DocSecurity>0</DocSecurity>
  <Lines>44</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 ואלטר</dc:creator>
  <cp:keywords/>
  <dc:description/>
  <cp:lastModifiedBy>שי ואלטר</cp:lastModifiedBy>
  <cp:revision>3</cp:revision>
  <dcterms:created xsi:type="dcterms:W3CDTF">2023-08-04T10:20:00Z</dcterms:created>
  <dcterms:modified xsi:type="dcterms:W3CDTF">2023-08-04T11:00:00Z</dcterms:modified>
</cp:coreProperties>
</file>