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176" w:rsidRPr="008A643F" w:rsidRDefault="00FA6176" w:rsidP="00FA6176">
      <w:pPr>
        <w:tabs>
          <w:tab w:val="left" w:pos="425"/>
        </w:tabs>
        <w:rPr>
          <w:b/>
          <w:bCs/>
          <w:sz w:val="24"/>
          <w:szCs w:val="24"/>
          <w:rtl/>
        </w:rPr>
      </w:pPr>
      <w:r w:rsidRPr="008A643F">
        <w:rPr>
          <w:rFonts w:hint="cs"/>
          <w:b/>
          <w:bCs/>
          <w:sz w:val="24"/>
          <w:szCs w:val="24"/>
          <w:rtl/>
        </w:rPr>
        <w:t>פרק ואלו מגלחין</w:t>
      </w:r>
    </w:p>
    <w:p w:rsidR="00FA6176" w:rsidRDefault="00FA6176" w:rsidP="00FA6176">
      <w:pPr>
        <w:tabs>
          <w:tab w:val="left" w:pos="425"/>
        </w:tabs>
        <w:rPr>
          <w:rtl/>
        </w:rPr>
      </w:pPr>
      <w:r w:rsidRPr="008A643F">
        <w:rPr>
          <w:rFonts w:hint="cs"/>
          <w:b/>
          <w:bCs/>
          <w:i/>
          <w:iCs/>
          <w:rtl/>
        </w:rPr>
        <w:t>יד.</w:t>
      </w:r>
      <w:r w:rsidRPr="008A643F">
        <w:rPr>
          <w:rFonts w:hint="cs"/>
          <w:b/>
          <w:bCs/>
          <w:i/>
          <w:iCs/>
          <w:rtl/>
        </w:rPr>
        <w:br/>
      </w:r>
      <w:r w:rsidRPr="008A643F">
        <w:rPr>
          <w:rFonts w:hint="cs"/>
          <w:b/>
          <w:bCs/>
          <w:rtl/>
        </w:rPr>
        <w:t>תגלחת במועד</w:t>
      </w:r>
      <w:r>
        <w:rPr>
          <w:rFonts w:hint="cs"/>
          <w:rtl/>
        </w:rPr>
        <w:t xml:space="preserve"> </w:t>
      </w:r>
      <w:r>
        <w:rPr>
          <w:rtl/>
        </w:rPr>
        <w:t>–</w:t>
      </w:r>
      <w:r>
        <w:rPr>
          <w:rFonts w:hint="cs"/>
          <w:rtl/>
        </w:rPr>
        <w:t xml:space="preserve"> אסורה, כדי שלא ייכנסו לרגל כשהן מנוולין.</w:t>
      </w:r>
      <w:r>
        <w:rPr>
          <w:rStyle w:val="a5"/>
          <w:rtl/>
        </w:rPr>
        <w:footnoteReference w:id="1"/>
      </w:r>
      <w:r>
        <w:rPr>
          <w:rFonts w:hint="cs"/>
          <w:rtl/>
        </w:rPr>
        <w:br/>
        <w:t>ואלו מגלחין במועד;</w:t>
      </w:r>
      <w:r>
        <w:rPr>
          <w:rtl/>
        </w:rPr>
        <w:br/>
      </w:r>
      <w:r>
        <w:rPr>
          <w:rFonts w:hint="cs"/>
          <w:rtl/>
        </w:rPr>
        <w:t>הבא במועד ממדינת הים ומבית השביה, והיוצא מבית האסורין</w:t>
      </w:r>
      <w:r>
        <w:rPr>
          <w:rStyle w:val="a5"/>
          <w:rtl/>
        </w:rPr>
        <w:footnoteReference w:id="2"/>
      </w:r>
      <w:r>
        <w:rPr>
          <w:rFonts w:hint="cs"/>
          <w:rtl/>
        </w:rPr>
        <w:t>, ומנודה שהותר במועד,</w:t>
      </w:r>
      <w:r>
        <w:rPr>
          <w:rStyle w:val="a5"/>
          <w:rtl/>
        </w:rPr>
        <w:footnoteReference w:id="3"/>
      </w:r>
      <w:r>
        <w:rPr>
          <w:rFonts w:hint="cs"/>
          <w:rtl/>
        </w:rPr>
        <w:t xml:space="preserve"> </w:t>
      </w:r>
      <w:r>
        <w:rPr>
          <w:rFonts w:hint="cs"/>
          <w:rtl/>
        </w:rPr>
        <w:br/>
        <w:t>הנודר שלא להתגלח והותר נדרו במועד, הנזיר</w:t>
      </w:r>
      <w:r>
        <w:rPr>
          <w:rStyle w:val="a5"/>
          <w:rtl/>
        </w:rPr>
        <w:footnoteReference w:id="4"/>
      </w:r>
      <w:r>
        <w:rPr>
          <w:rFonts w:hint="cs"/>
          <w:rtl/>
        </w:rPr>
        <w:t xml:space="preserve"> והמצורע העולה מטומאתו לטהרתו.</w:t>
      </w:r>
      <w:r>
        <w:rPr>
          <w:rStyle w:val="a5"/>
          <w:rtl/>
        </w:rPr>
        <w:footnoteReference w:id="5"/>
      </w:r>
    </w:p>
    <w:p w:rsidR="00FA6176" w:rsidRDefault="00FA6176" w:rsidP="00FA6176">
      <w:pPr>
        <w:tabs>
          <w:tab w:val="left" w:pos="425"/>
        </w:tabs>
        <w:rPr>
          <w:rtl/>
        </w:rPr>
      </w:pPr>
      <w:r w:rsidRPr="008A643F">
        <w:rPr>
          <w:rFonts w:hint="cs"/>
          <w:b/>
          <w:bCs/>
          <w:rtl/>
        </w:rPr>
        <w:t>כיבוס במועד</w:t>
      </w:r>
      <w:r>
        <w:rPr>
          <w:rFonts w:hint="cs"/>
          <w:rtl/>
        </w:rPr>
        <w:t xml:space="preserve"> </w:t>
      </w:r>
      <w:r>
        <w:rPr>
          <w:rtl/>
        </w:rPr>
        <w:t>–</w:t>
      </w:r>
      <w:r>
        <w:rPr>
          <w:rFonts w:hint="cs"/>
          <w:rtl/>
        </w:rPr>
        <w:t xml:space="preserve"> אסור, מטעם הנ"ל.</w:t>
      </w:r>
      <w:r>
        <w:rPr>
          <w:rtl/>
        </w:rPr>
        <w:br/>
      </w:r>
      <w:r>
        <w:rPr>
          <w:rFonts w:hint="cs"/>
          <w:rtl/>
        </w:rPr>
        <w:t>ואלו מכבסים במועד;</w:t>
      </w:r>
      <w:r>
        <w:rPr>
          <w:rtl/>
        </w:rPr>
        <w:br/>
      </w:r>
      <w:r>
        <w:rPr>
          <w:rFonts w:hint="cs"/>
          <w:rtl/>
        </w:rPr>
        <w:t>מדינת הים, שביה, אסורין, מנודה, נודר.</w:t>
      </w:r>
      <w:r>
        <w:rPr>
          <w:rStyle w:val="a5"/>
          <w:rtl/>
        </w:rPr>
        <w:footnoteReference w:id="6"/>
      </w:r>
      <w:r>
        <w:rPr>
          <w:rFonts w:hint="cs"/>
          <w:rtl/>
        </w:rPr>
        <w:br/>
        <w:t>מטפחות הידים, מטפחות הספרים, מטפחות הספג.</w:t>
      </w:r>
      <w:r>
        <w:rPr>
          <w:rtl/>
        </w:rPr>
        <w:br/>
      </w:r>
      <w:r>
        <w:rPr>
          <w:rFonts w:hint="cs"/>
          <w:rtl/>
        </w:rPr>
        <w:t>זבין וזבות, נדות ויולדות, וכל העולים מטומאה לטהרה.</w:t>
      </w:r>
      <w:r>
        <w:rPr>
          <w:rtl/>
        </w:rPr>
        <w:br/>
      </w:r>
      <w:r>
        <w:rPr>
          <w:rFonts w:hint="cs"/>
          <w:rtl/>
        </w:rPr>
        <w:t>מי שאין לו אלא חלוק אחד, דאיזורו מוכיח עליו.</w:t>
      </w:r>
      <w:r>
        <w:rPr>
          <w:rStyle w:val="a5"/>
          <w:rtl/>
        </w:rPr>
        <w:footnoteReference w:id="7"/>
      </w:r>
    </w:p>
    <w:p w:rsidR="00FA6176" w:rsidRDefault="00FA6176" w:rsidP="00FA6176">
      <w:pPr>
        <w:tabs>
          <w:tab w:val="left" w:pos="425"/>
        </w:tabs>
        <w:rPr>
          <w:rtl/>
        </w:rPr>
      </w:pPr>
      <w:r w:rsidRPr="008A643F">
        <w:rPr>
          <w:rFonts w:hint="cs"/>
          <w:b/>
          <w:bCs/>
          <w:rtl/>
        </w:rPr>
        <w:t>אנשי משמר ואנשי מעמד</w:t>
      </w:r>
      <w:r>
        <w:rPr>
          <w:rFonts w:hint="cs"/>
          <w:rtl/>
        </w:rPr>
        <w:t xml:space="preserve"> </w:t>
      </w:r>
      <w:r>
        <w:rPr>
          <w:rtl/>
        </w:rPr>
        <w:t>–</w:t>
      </w:r>
      <w:r>
        <w:rPr>
          <w:rFonts w:hint="cs"/>
          <w:rtl/>
        </w:rPr>
        <w:t xml:space="preserve"> אסורים לספר ולכבס. בחמישי מותרין.</w:t>
      </w:r>
      <w:r>
        <w:rPr>
          <w:rtl/>
        </w:rPr>
        <w:br/>
      </w:r>
      <w:r w:rsidRPr="008A643F">
        <w:rPr>
          <w:rFonts w:hint="cs"/>
          <w:b/>
          <w:bCs/>
          <w:rtl/>
        </w:rPr>
        <w:t>לעשות ציורים במצה</w:t>
      </w:r>
      <w:r>
        <w:rPr>
          <w:rFonts w:hint="cs"/>
          <w:rtl/>
        </w:rPr>
        <w:t xml:space="preserve"> </w:t>
      </w:r>
      <w:r>
        <w:rPr>
          <w:rtl/>
        </w:rPr>
        <w:t>–</w:t>
      </w:r>
      <w:r>
        <w:rPr>
          <w:rFonts w:hint="cs"/>
          <w:rtl/>
        </w:rPr>
        <w:t xml:space="preserve"> אסור שמא יחמיץ, ואף למי שיש תבניות מוכנות, דלא פלוג.</w:t>
      </w:r>
    </w:p>
    <w:p w:rsidR="00FA6176" w:rsidRDefault="00FA6176" w:rsidP="00FA6176">
      <w:pPr>
        <w:tabs>
          <w:tab w:val="left" w:pos="425"/>
        </w:tabs>
        <w:rPr>
          <w:rtl/>
        </w:rPr>
      </w:pPr>
      <w:r w:rsidRPr="008A643F">
        <w:rPr>
          <w:rFonts w:hint="cs"/>
          <w:b/>
          <w:bCs/>
          <w:rtl/>
        </w:rPr>
        <w:t>אבדה לו אבידה לסתם אדם ערב הרגל</w:t>
      </w:r>
      <w:r>
        <w:rPr>
          <w:rFonts w:hint="cs"/>
          <w:rtl/>
        </w:rPr>
        <w:t xml:space="preserve"> </w:t>
      </w:r>
      <w:r>
        <w:rPr>
          <w:rtl/>
        </w:rPr>
        <w:t>–</w:t>
      </w:r>
      <w:r>
        <w:rPr>
          <w:rFonts w:hint="cs"/>
          <w:rtl/>
        </w:rPr>
        <w:t xml:space="preserve"> אסור לכבס ולספר.</w:t>
      </w:r>
      <w:r>
        <w:rPr>
          <w:rtl/>
        </w:rPr>
        <w:br/>
      </w:r>
      <w:r w:rsidRPr="008A643F">
        <w:rPr>
          <w:rFonts w:hint="cs"/>
          <w:b/>
          <w:bCs/>
          <w:rtl/>
        </w:rPr>
        <w:t>אבדה לאומן</w:t>
      </w:r>
      <w:r>
        <w:rPr>
          <w:rFonts w:hint="cs"/>
          <w:rtl/>
        </w:rPr>
        <w:t xml:space="preserve"> </w:t>
      </w:r>
      <w:r>
        <w:rPr>
          <w:rtl/>
        </w:rPr>
        <w:t>–</w:t>
      </w:r>
      <w:r>
        <w:rPr>
          <w:rFonts w:hint="cs"/>
          <w:rtl/>
        </w:rPr>
        <w:t xml:space="preserve"> תיקו.</w:t>
      </w:r>
      <w:r>
        <w:rPr>
          <w:rStyle w:val="a5"/>
          <w:rtl/>
        </w:rPr>
        <w:footnoteReference w:id="8"/>
      </w:r>
    </w:p>
    <w:p w:rsidR="00FA6176" w:rsidRDefault="00FA6176" w:rsidP="00FA6176">
      <w:pPr>
        <w:tabs>
          <w:tab w:val="left" w:pos="425"/>
        </w:tabs>
        <w:rPr>
          <w:rtl/>
        </w:rPr>
      </w:pPr>
      <w:r w:rsidRPr="008A643F">
        <w:rPr>
          <w:rFonts w:hint="cs"/>
          <w:b/>
          <w:bCs/>
          <w:rtl/>
        </w:rPr>
        <w:t>הבא ממדינת הים;</w:t>
      </w:r>
      <w:r w:rsidRPr="008A643F">
        <w:rPr>
          <w:b/>
          <w:bCs/>
          <w:rtl/>
        </w:rPr>
        <w:br/>
      </w:r>
      <w:r>
        <w:rPr>
          <w:rFonts w:hint="cs"/>
          <w:rtl/>
        </w:rPr>
        <w:t>יצא לשוט בעלמא, אסור לכו"ע לגלח ולכבס.</w:t>
      </w:r>
      <w:r>
        <w:rPr>
          <w:rStyle w:val="a5"/>
          <w:rtl/>
        </w:rPr>
        <w:footnoteReference w:id="9"/>
      </w:r>
      <w:r>
        <w:rPr>
          <w:rtl/>
        </w:rPr>
        <w:br/>
      </w:r>
      <w:r>
        <w:rPr>
          <w:rFonts w:hint="cs"/>
          <w:rtl/>
        </w:rPr>
        <w:t>יצא למזונות, מותר לכו"ע.</w:t>
      </w:r>
      <w:r>
        <w:rPr>
          <w:rtl/>
        </w:rPr>
        <w:br/>
      </w:r>
      <w:r>
        <w:rPr>
          <w:rFonts w:hint="cs"/>
          <w:rtl/>
        </w:rPr>
        <w:t>יצא להרווחה, לת"ק ולמתני' מותר, לר' יהודה אסור.</w:t>
      </w:r>
    </w:p>
    <w:p w:rsidR="00FA6176" w:rsidRDefault="00FA6176" w:rsidP="00FA6176">
      <w:pPr>
        <w:tabs>
          <w:tab w:val="left" w:pos="425"/>
        </w:tabs>
        <w:rPr>
          <w:rtl/>
        </w:rPr>
      </w:pPr>
      <w:r w:rsidRPr="008A643F">
        <w:rPr>
          <w:rFonts w:hint="cs"/>
          <w:b/>
          <w:bCs/>
          <w:rtl/>
        </w:rPr>
        <w:t>קטן הנולד במועד</w:t>
      </w:r>
      <w:r>
        <w:rPr>
          <w:rFonts w:hint="cs"/>
          <w:rtl/>
        </w:rPr>
        <w:t xml:space="preserve"> </w:t>
      </w:r>
      <w:r>
        <w:rPr>
          <w:rtl/>
        </w:rPr>
        <w:t>–</w:t>
      </w:r>
      <w:r>
        <w:rPr>
          <w:rFonts w:hint="cs"/>
          <w:rtl/>
        </w:rPr>
        <w:t xml:space="preserve"> מותר לגלחו.</w:t>
      </w:r>
      <w:r>
        <w:rPr>
          <w:rtl/>
        </w:rPr>
        <w:br/>
      </w:r>
      <w:r w:rsidRPr="008A643F">
        <w:rPr>
          <w:rFonts w:hint="cs"/>
          <w:b/>
          <w:bCs/>
          <w:rtl/>
        </w:rPr>
        <w:t>סתם קטן</w:t>
      </w:r>
      <w:r>
        <w:rPr>
          <w:rFonts w:hint="cs"/>
          <w:rtl/>
        </w:rPr>
        <w:t xml:space="preserve"> </w:t>
      </w:r>
      <w:r>
        <w:rPr>
          <w:rtl/>
        </w:rPr>
        <w:t>–</w:t>
      </w:r>
      <w:r>
        <w:rPr>
          <w:rFonts w:hint="cs"/>
          <w:rtl/>
        </w:rPr>
        <w:t xml:space="preserve"> לל"ק דשמואל אסור לגלחו, לל"ב מותר.</w:t>
      </w:r>
    </w:p>
    <w:p w:rsidR="00FA6176" w:rsidRDefault="00FA6176" w:rsidP="00FA6176">
      <w:pPr>
        <w:tabs>
          <w:tab w:val="left" w:pos="425"/>
        </w:tabs>
        <w:rPr>
          <w:rtl/>
        </w:rPr>
      </w:pPr>
      <w:r w:rsidRPr="008A643F">
        <w:rPr>
          <w:rFonts w:hint="cs"/>
          <w:b/>
          <w:bCs/>
          <w:rtl/>
        </w:rPr>
        <w:t>אבל</w:t>
      </w:r>
      <w:r>
        <w:rPr>
          <w:rFonts w:hint="cs"/>
          <w:rtl/>
        </w:rPr>
        <w:t xml:space="preserve"> </w:t>
      </w:r>
      <w:r>
        <w:rPr>
          <w:rtl/>
        </w:rPr>
        <w:t>–</w:t>
      </w:r>
      <w:r>
        <w:rPr>
          <w:rFonts w:hint="cs"/>
          <w:rtl/>
        </w:rPr>
        <w:t xml:space="preserve"> אסור בגילוח, וכדלהלן בארוכה. וכל מי שהותר לו במועד מותר בימי אבלו.</w:t>
      </w:r>
      <w:r>
        <w:rPr>
          <w:rFonts w:hint="cs"/>
          <w:rtl/>
        </w:rPr>
        <w:br/>
      </w:r>
      <w:r w:rsidRPr="008A643F">
        <w:rPr>
          <w:rFonts w:hint="cs"/>
          <w:b/>
          <w:bCs/>
          <w:rtl/>
        </w:rPr>
        <w:t>קטן</w:t>
      </w:r>
      <w:r>
        <w:rPr>
          <w:rFonts w:hint="cs"/>
          <w:rtl/>
        </w:rPr>
        <w:t xml:space="preserve"> </w:t>
      </w:r>
      <w:r>
        <w:rPr>
          <w:rtl/>
        </w:rPr>
        <w:t>–</w:t>
      </w:r>
      <w:r>
        <w:rPr>
          <w:rFonts w:hint="cs"/>
          <w:rtl/>
        </w:rPr>
        <w:t xml:space="preserve"> אין בו דיני אבילות, כגון שמותר לגלח. ומ"מ מקרעין בגדיו מפני עגמת נפש.</w:t>
      </w:r>
    </w:p>
    <w:p w:rsidR="00FA6176" w:rsidRDefault="00FA6176" w:rsidP="00FA6176">
      <w:pPr>
        <w:tabs>
          <w:tab w:val="left" w:pos="425"/>
        </w:tabs>
        <w:rPr>
          <w:b/>
          <w:bCs/>
          <w:i/>
          <w:iCs/>
          <w:rtl/>
        </w:rPr>
      </w:pPr>
      <w:r w:rsidRPr="008A643F">
        <w:rPr>
          <w:rFonts w:hint="cs"/>
          <w:b/>
          <w:bCs/>
          <w:i/>
          <w:iCs/>
          <w:rtl/>
        </w:rPr>
        <w:t>יד:</w:t>
      </w:r>
    </w:p>
    <w:p w:rsidR="00FA6176" w:rsidRPr="008A643F" w:rsidRDefault="00FA6176" w:rsidP="00FA6176">
      <w:pPr>
        <w:tabs>
          <w:tab w:val="left" w:pos="425"/>
        </w:tabs>
        <w:jc w:val="center"/>
        <w:rPr>
          <w:b/>
          <w:bCs/>
          <w:rtl/>
        </w:rPr>
      </w:pPr>
      <w:r w:rsidRPr="008A643F">
        <w:rPr>
          <w:rFonts w:hint="cs"/>
          <w:b/>
          <w:bCs/>
          <w:rtl/>
        </w:rPr>
        <w:lastRenderedPageBreak/>
        <w:t>דיני אבל מנודה</w:t>
      </w:r>
      <w:r w:rsidRPr="008A643F">
        <w:rPr>
          <w:rStyle w:val="a5"/>
          <w:b/>
          <w:bCs/>
          <w:rtl/>
        </w:rPr>
        <w:footnoteReference w:id="10"/>
      </w:r>
      <w:r w:rsidRPr="008A643F">
        <w:rPr>
          <w:rFonts w:hint="cs"/>
          <w:b/>
          <w:bCs/>
          <w:rtl/>
        </w:rPr>
        <w:t xml:space="preserve"> ומצורע</w:t>
      </w:r>
      <w:r w:rsidRPr="008A643F">
        <w:rPr>
          <w:rStyle w:val="a5"/>
          <w:b/>
          <w:bCs/>
          <w:rtl/>
        </w:rPr>
        <w:footnoteReference w:id="11"/>
      </w:r>
    </w:p>
    <w:p w:rsidR="00FA6176" w:rsidRDefault="00FA6176" w:rsidP="00FA6176">
      <w:pPr>
        <w:tabs>
          <w:tab w:val="left" w:pos="425"/>
        </w:tabs>
        <w:rPr>
          <w:rtl/>
        </w:rPr>
      </w:pPr>
      <w:r w:rsidRPr="008A643F">
        <w:rPr>
          <w:rFonts w:hint="cs"/>
          <w:b/>
          <w:bCs/>
          <w:rtl/>
        </w:rPr>
        <w:t>ניהוג במועד</w:t>
      </w:r>
      <w:r>
        <w:rPr>
          <w:rFonts w:hint="cs"/>
          <w:rtl/>
        </w:rPr>
        <w:t xml:space="preserve"> </w:t>
      </w:r>
      <w:r>
        <w:rPr>
          <w:rtl/>
        </w:rPr>
        <w:t>–</w:t>
      </w:r>
      <w:r>
        <w:rPr>
          <w:rFonts w:hint="cs"/>
          <w:rtl/>
        </w:rPr>
        <w:t xml:space="preserve"> אבל</w:t>
      </w:r>
      <w:r>
        <w:rPr>
          <w:rStyle w:val="a5"/>
          <w:rtl/>
        </w:rPr>
        <w:footnoteReference w:id="12"/>
      </w:r>
      <w:r>
        <w:rPr>
          <w:rFonts w:hint="cs"/>
          <w:rtl/>
        </w:rPr>
        <w:t xml:space="preserve"> אינו נוהג. מנודה אין הכרעה.</w:t>
      </w:r>
      <w:r>
        <w:rPr>
          <w:rStyle w:val="a5"/>
          <w:rtl/>
        </w:rPr>
        <w:footnoteReference w:id="13"/>
      </w:r>
      <w:r>
        <w:rPr>
          <w:rFonts w:hint="cs"/>
          <w:rtl/>
        </w:rPr>
        <w:t xml:space="preserve"> מצורע נוהג</w:t>
      </w:r>
      <w:r>
        <w:rPr>
          <w:rStyle w:val="a5"/>
          <w:rtl/>
        </w:rPr>
        <w:footnoteReference w:id="14"/>
      </w:r>
      <w:r>
        <w:rPr>
          <w:rFonts w:hint="cs"/>
          <w:rtl/>
        </w:rPr>
        <w:t>.</w:t>
      </w:r>
      <w:r>
        <w:rPr>
          <w:rtl/>
        </w:rPr>
        <w:br/>
      </w:r>
      <w:r w:rsidRPr="008A643F">
        <w:rPr>
          <w:rFonts w:hint="cs"/>
          <w:b/>
          <w:bCs/>
          <w:rtl/>
        </w:rPr>
        <w:t xml:space="preserve">תספורת </w:t>
      </w:r>
      <w:r>
        <w:rPr>
          <w:rtl/>
        </w:rPr>
        <w:t>–</w:t>
      </w:r>
      <w:r>
        <w:rPr>
          <w:rFonts w:hint="cs"/>
          <w:rtl/>
        </w:rPr>
        <w:t xml:space="preserve"> אבל אסור, מנודה אסור, מצורע אסור.</w:t>
      </w:r>
    </w:p>
    <w:p w:rsidR="00FA6176" w:rsidRPr="008A643F" w:rsidRDefault="00FA6176" w:rsidP="00FA6176">
      <w:pPr>
        <w:tabs>
          <w:tab w:val="left" w:pos="425"/>
        </w:tabs>
        <w:rPr>
          <w:b/>
          <w:bCs/>
          <w:rtl/>
        </w:rPr>
      </w:pPr>
      <w:r w:rsidRPr="008A643F">
        <w:rPr>
          <w:rFonts w:hint="cs"/>
          <w:b/>
          <w:bCs/>
          <w:rtl/>
        </w:rPr>
        <w:t>[דינים צדדיים שעלו בסוגיא;</w:t>
      </w:r>
    </w:p>
    <w:p w:rsidR="00FA6176" w:rsidRDefault="00FA6176" w:rsidP="00FA6176">
      <w:pPr>
        <w:tabs>
          <w:tab w:val="left" w:pos="425"/>
        </w:tabs>
        <w:rPr>
          <w:rtl/>
        </w:rPr>
      </w:pPr>
      <w:r>
        <w:rPr>
          <w:rFonts w:hint="cs"/>
          <w:rtl/>
        </w:rPr>
        <w:t>סנהדרין שהרגו נפש, אין טועמים כל אותו יום.</w:t>
      </w:r>
      <w:r>
        <w:rPr>
          <w:rtl/>
        </w:rPr>
        <w:br/>
      </w:r>
      <w:r>
        <w:rPr>
          <w:rFonts w:hint="cs"/>
          <w:rtl/>
        </w:rPr>
        <w:t>דנים דיני נפשות במועד.</w:t>
      </w:r>
      <w:r>
        <w:rPr>
          <w:rStyle w:val="a5"/>
          <w:rtl/>
        </w:rPr>
        <w:footnoteReference w:id="15"/>
      </w:r>
      <w:r>
        <w:rPr>
          <w:rtl/>
        </w:rPr>
        <w:br/>
      </w:r>
      <w:r>
        <w:rPr>
          <w:rFonts w:hint="cs"/>
          <w:rtl/>
        </w:rPr>
        <w:t>אם גמרו דינו, אסור לענות הדין ולא להודיעו ולהורגו.</w:t>
      </w:r>
      <w:r>
        <w:rPr>
          <w:rtl/>
        </w:rPr>
        <w:br/>
      </w:r>
      <w:r>
        <w:rPr>
          <w:rFonts w:hint="cs"/>
          <w:rtl/>
        </w:rPr>
        <w:t>להורגו שחרית אי אפשר במועד, דאסורין לאכול ומבטלין שמחת המועד.</w:t>
      </w:r>
      <w:r>
        <w:rPr>
          <w:rFonts w:hint="cs"/>
          <w:rtl/>
        </w:rPr>
        <w:br/>
        <w:t>אלא בבוקר מעיינים בדינו, וכל היום אוכלין, ולעת ערב גומרין דינו והורגים בעוד יום.</w:t>
      </w:r>
    </w:p>
    <w:p w:rsidR="00FA6176" w:rsidRDefault="00FA6176" w:rsidP="00FA6176">
      <w:pPr>
        <w:tabs>
          <w:tab w:val="left" w:pos="425"/>
        </w:tabs>
        <w:rPr>
          <w:rtl/>
        </w:rPr>
      </w:pPr>
      <w:r>
        <w:rPr>
          <w:rFonts w:hint="cs"/>
          <w:rtl/>
        </w:rPr>
        <w:t>דנים דיני מכות</w:t>
      </w:r>
      <w:r w:rsidR="002D047E">
        <w:rPr>
          <w:rFonts w:hint="cs"/>
          <w:rtl/>
        </w:rPr>
        <w:t xml:space="preserve"> במועד.</w:t>
      </w:r>
      <w:r>
        <w:rPr>
          <w:rtl/>
        </w:rPr>
        <w:br/>
      </w:r>
      <w:r>
        <w:rPr>
          <w:rFonts w:hint="cs"/>
          <w:rtl/>
        </w:rPr>
        <w:t>דנים דיני ממונות</w:t>
      </w:r>
      <w:r w:rsidR="002D047E">
        <w:rPr>
          <w:rFonts w:hint="cs"/>
          <w:rtl/>
        </w:rPr>
        <w:t xml:space="preserve"> במועד</w:t>
      </w:r>
      <w:r>
        <w:rPr>
          <w:rFonts w:hint="cs"/>
          <w:rtl/>
        </w:rPr>
        <w:t>. אם מנודה נוהג במועד, מותר לגמור הדין, ואם לא יציית ינדוהו.</w:t>
      </w:r>
      <w:r>
        <w:rPr>
          <w:rtl/>
        </w:rPr>
        <w:br/>
      </w:r>
      <w:r>
        <w:rPr>
          <w:rFonts w:hint="cs"/>
          <w:rtl/>
        </w:rPr>
        <w:tab/>
        <w:t>אם מנודה לא נוהג, ע"כ רק יעיינו ולא יגמרו דינו עד אחר המועד שיוכלו לנדותו.</w:t>
      </w:r>
      <w:r>
        <w:rPr>
          <w:rStyle w:val="a5"/>
          <w:rtl/>
        </w:rPr>
        <w:footnoteReference w:id="16"/>
      </w:r>
    </w:p>
    <w:p w:rsidR="00FA6176" w:rsidRDefault="00FA6176" w:rsidP="00FA6176">
      <w:pPr>
        <w:tabs>
          <w:tab w:val="left" w:pos="425"/>
        </w:tabs>
      </w:pPr>
      <w:r>
        <w:rPr>
          <w:rFonts w:hint="cs"/>
          <w:rtl/>
        </w:rPr>
        <w:t xml:space="preserve">כהן גדול </w:t>
      </w:r>
      <w:r>
        <w:rPr>
          <w:rtl/>
        </w:rPr>
        <w:t>–</w:t>
      </w:r>
      <w:r>
        <w:rPr>
          <w:rFonts w:hint="cs"/>
          <w:rtl/>
        </w:rPr>
        <w:t xml:space="preserve"> מקריב אונן כרגל, ואינו אוכל, ונוהג צרעת.</w:t>
      </w:r>
      <w:r>
        <w:rPr>
          <w:rStyle w:val="a5"/>
          <w:rtl/>
        </w:rPr>
        <w:footnoteReference w:id="17"/>
      </w:r>
      <w:r>
        <w:rPr>
          <w:rFonts w:hint="cs"/>
          <w:rtl/>
        </w:rPr>
        <w:br/>
        <w:t xml:space="preserve">אונן בעלמא </w:t>
      </w:r>
      <w:r>
        <w:rPr>
          <w:rtl/>
        </w:rPr>
        <w:t>–</w:t>
      </w:r>
      <w:r>
        <w:rPr>
          <w:rFonts w:hint="cs"/>
          <w:rtl/>
        </w:rPr>
        <w:t xml:space="preserve"> אינו משלח קרבנותיו, וברגל משלח].</w:t>
      </w:r>
    </w:p>
    <w:p w:rsidR="006129BE" w:rsidRPr="00FA6176" w:rsidRDefault="006129BE"/>
    <w:sectPr w:rsidR="006129BE" w:rsidRPr="00FA6176" w:rsidSect="001D13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47E" w:rsidRDefault="0075647E" w:rsidP="00FA6176">
      <w:pPr>
        <w:spacing w:after="0" w:line="240" w:lineRule="auto"/>
      </w:pPr>
      <w:r>
        <w:separator/>
      </w:r>
    </w:p>
  </w:endnote>
  <w:endnote w:type="continuationSeparator" w:id="0">
    <w:p w:rsidR="0075647E" w:rsidRDefault="0075647E" w:rsidP="00FA6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47E" w:rsidRDefault="0075647E" w:rsidP="00FA6176">
      <w:pPr>
        <w:spacing w:after="0" w:line="240" w:lineRule="auto"/>
      </w:pPr>
      <w:r>
        <w:separator/>
      </w:r>
    </w:p>
  </w:footnote>
  <w:footnote w:type="continuationSeparator" w:id="0">
    <w:p w:rsidR="0075647E" w:rsidRDefault="0075647E" w:rsidP="00FA6176">
      <w:pPr>
        <w:spacing w:after="0" w:line="240" w:lineRule="auto"/>
      </w:pPr>
      <w:r>
        <w:continuationSeparator/>
      </w:r>
    </w:p>
  </w:footnote>
  <w:footnote w:id="1">
    <w:p w:rsidR="00FA6176" w:rsidRDefault="00FA6176" w:rsidP="00FA6176">
      <w:pPr>
        <w:pStyle w:val="a3"/>
      </w:pPr>
      <w:r>
        <w:rPr>
          <w:rStyle w:val="a5"/>
        </w:rPr>
        <w:footnoteRef/>
      </w:r>
      <w:r>
        <w:rPr>
          <w:rtl/>
        </w:rPr>
        <w:t xml:space="preserve"> </w:t>
      </w:r>
      <w:r>
        <w:rPr>
          <w:rFonts w:hint="cs"/>
          <w:rtl/>
        </w:rPr>
        <w:t>התוס' דנו דאולי היינו גילוח של יופי שנאסר רק מפני שלא ייכנס מנוול ובאונס שרי, אבל גילוח הראש אסור משום מלאכה ממש ואף באונס.</w:t>
      </w:r>
    </w:p>
  </w:footnote>
  <w:footnote w:id="2">
    <w:p w:rsidR="00FA6176" w:rsidRDefault="00FA6176" w:rsidP="00FA6176">
      <w:pPr>
        <w:pStyle w:val="a3"/>
        <w:rPr>
          <w:rtl/>
        </w:rPr>
      </w:pPr>
      <w:r>
        <w:rPr>
          <w:rStyle w:val="a5"/>
        </w:rPr>
        <w:footnoteRef/>
      </w:r>
      <w:r>
        <w:rPr>
          <w:rtl/>
        </w:rPr>
        <w:t xml:space="preserve"> </w:t>
      </w:r>
      <w:r>
        <w:rPr>
          <w:rFonts w:hint="cs"/>
          <w:rtl/>
        </w:rPr>
        <w:t>בתוס' מבואר</w:t>
      </w:r>
      <w:r w:rsidR="002D047E">
        <w:rPr>
          <w:rFonts w:hint="cs"/>
          <w:rtl/>
        </w:rPr>
        <w:t>,</w:t>
      </w:r>
      <w:r>
        <w:rPr>
          <w:rFonts w:hint="cs"/>
          <w:rtl/>
        </w:rPr>
        <w:t xml:space="preserve"> ומקורו מירושלמי</w:t>
      </w:r>
      <w:r w:rsidR="002D047E">
        <w:rPr>
          <w:rFonts w:hint="cs"/>
          <w:rtl/>
        </w:rPr>
        <w:t>,</w:t>
      </w:r>
      <w:r>
        <w:rPr>
          <w:rFonts w:hint="cs"/>
          <w:rtl/>
        </w:rPr>
        <w:t xml:space="preserve"> דאע"פ שמניחין לו להסתפר בבית האסורין, מ"מ שרי.</w:t>
      </w:r>
    </w:p>
  </w:footnote>
  <w:footnote w:id="3">
    <w:p w:rsidR="00FA6176" w:rsidRDefault="00FA6176" w:rsidP="00FA6176">
      <w:pPr>
        <w:pStyle w:val="a3"/>
        <w:rPr>
          <w:rtl/>
        </w:rPr>
      </w:pPr>
      <w:r>
        <w:rPr>
          <w:rStyle w:val="a5"/>
        </w:rPr>
        <w:footnoteRef/>
      </w:r>
      <w:r>
        <w:rPr>
          <w:rtl/>
        </w:rPr>
        <w:t xml:space="preserve"> </w:t>
      </w:r>
      <w:r>
        <w:rPr>
          <w:rFonts w:hint="cs"/>
          <w:rtl/>
        </w:rPr>
        <w:t>עי' תוס' שכלו ימי נידויו במועד ולא היה יכול להתיר קודם, וכעי"ז נדר לא היתה אפשרות להתיר קודם המועד. וקצ"ב דלהדיא איתא בעמ' ב' דפייס לבעל דינו במועד ואז התירו נידויו, ומשמע אף שהיה יכול לפייס קודם המועד.</w:t>
      </w:r>
    </w:p>
  </w:footnote>
  <w:footnote w:id="4">
    <w:p w:rsidR="00FA6176" w:rsidRDefault="00FA6176" w:rsidP="00FA6176">
      <w:pPr>
        <w:pStyle w:val="a3"/>
      </w:pPr>
      <w:r>
        <w:rPr>
          <w:rStyle w:val="a5"/>
        </w:rPr>
        <w:footnoteRef/>
      </w:r>
      <w:r>
        <w:rPr>
          <w:rtl/>
        </w:rPr>
        <w:t xml:space="preserve"> </w:t>
      </w:r>
      <w:r>
        <w:rPr>
          <w:rFonts w:hint="cs"/>
          <w:rtl/>
        </w:rPr>
        <w:t>לכ' יש לפרש כשמסיים נזירותו במועד, ורש"י פי' דעולה מטומאה קאי גם על נזיר וצ"ב.</w:t>
      </w:r>
      <w:r w:rsidR="002D047E">
        <w:rPr>
          <w:rFonts w:hint="cs"/>
          <w:rtl/>
        </w:rPr>
        <w:t xml:space="preserve"> </w:t>
      </w:r>
      <w:r>
        <w:rPr>
          <w:rFonts w:hint="cs"/>
          <w:rtl/>
        </w:rPr>
        <w:t>ועי' היטב בעמ' א' בתוד"ה ומנודה דאפשר דזה משום המצוה לגלח, יעוי"ש.</w:t>
      </w:r>
    </w:p>
  </w:footnote>
  <w:footnote w:id="5">
    <w:p w:rsidR="00FA6176" w:rsidRDefault="00FA6176" w:rsidP="00FA6176">
      <w:pPr>
        <w:pStyle w:val="a3"/>
        <w:rPr>
          <w:rtl/>
        </w:rPr>
      </w:pPr>
      <w:r>
        <w:rPr>
          <w:rStyle w:val="a5"/>
        </w:rPr>
        <w:footnoteRef/>
      </w:r>
      <w:r>
        <w:rPr>
          <w:rtl/>
        </w:rPr>
        <w:t xml:space="preserve"> </w:t>
      </w:r>
      <w:r>
        <w:rPr>
          <w:rFonts w:hint="cs"/>
          <w:rtl/>
        </w:rPr>
        <w:t xml:space="preserve">עי' עמ' ב' דיש בזה חידוש דל"ח שישהה קרבנותיו, עי"ש ברש"י דהיינו ליו"ט אחרון דאין מקריבין ליחיד, וצ"ב ואכ"מ. </w:t>
      </w:r>
      <w:r>
        <w:rPr>
          <w:rtl/>
        </w:rPr>
        <w:br/>
      </w:r>
      <w:r>
        <w:rPr>
          <w:rFonts w:hint="cs"/>
          <w:rtl/>
        </w:rPr>
        <w:t>ועי' תוד"ה שאין, שנסתפקו בחלה ונתרפא אי מותר לגלח.</w:t>
      </w:r>
    </w:p>
  </w:footnote>
  <w:footnote w:id="6">
    <w:p w:rsidR="00FA6176" w:rsidRDefault="00FA6176" w:rsidP="00FA6176">
      <w:pPr>
        <w:pStyle w:val="a3"/>
      </w:pPr>
      <w:r>
        <w:rPr>
          <w:rStyle w:val="a5"/>
        </w:rPr>
        <w:footnoteRef/>
      </w:r>
      <w:r>
        <w:rPr>
          <w:rtl/>
        </w:rPr>
        <w:t xml:space="preserve"> </w:t>
      </w:r>
      <w:r>
        <w:rPr>
          <w:rFonts w:hint="cs"/>
          <w:rtl/>
        </w:rPr>
        <w:t>נזיר לא שייך בבבא זו דאינו אסור בכיבוס. אמנם מצורע קי"ל להלן דאסור, וצ"ל דהוא כלול בכל הטמאין.</w:t>
      </w:r>
    </w:p>
  </w:footnote>
  <w:footnote w:id="7">
    <w:p w:rsidR="00FA6176" w:rsidRDefault="00FA6176" w:rsidP="00FA6176">
      <w:pPr>
        <w:pStyle w:val="a3"/>
        <w:rPr>
          <w:rtl/>
        </w:rPr>
      </w:pPr>
      <w:r>
        <w:rPr>
          <w:rStyle w:val="a5"/>
        </w:rPr>
        <w:footnoteRef/>
      </w:r>
      <w:r>
        <w:rPr>
          <w:rtl/>
        </w:rPr>
        <w:t xml:space="preserve"> </w:t>
      </w:r>
      <w:r>
        <w:rPr>
          <w:rFonts w:hint="cs"/>
          <w:rtl/>
        </w:rPr>
        <w:t>וכ' תוס' דמיירי שכיבס בערב החג, ומ"מ מי שיש לו שנים וכיבסן אסור. ועוד הביאו להתיר בגדי קטנים.</w:t>
      </w:r>
    </w:p>
  </w:footnote>
  <w:footnote w:id="8">
    <w:p w:rsidR="00FA6176" w:rsidRDefault="00FA6176" w:rsidP="00FA6176">
      <w:pPr>
        <w:pStyle w:val="a3"/>
      </w:pPr>
      <w:r>
        <w:rPr>
          <w:rStyle w:val="a5"/>
        </w:rPr>
        <w:footnoteRef/>
      </w:r>
      <w:r>
        <w:rPr>
          <w:rtl/>
        </w:rPr>
        <w:t xml:space="preserve"> </w:t>
      </w:r>
      <w:r>
        <w:rPr>
          <w:rFonts w:hint="cs"/>
          <w:rtl/>
        </w:rPr>
        <w:t>הדין הראשון הוא ל"ק דר' זירא ואיפשטא שלא יאמרו סריקי בייתוס וכו'. הדין השני הוא ל"ב. ועי' תוס' דכל הנידון לגבי האומן עצמו, אבל בני העיר, אף אם הספר היחיד היה טרוד באבידתו ולא יכול היה לספרם, אסורין (משום דלגבייהו לא מוכחא).</w:t>
      </w:r>
    </w:p>
  </w:footnote>
  <w:footnote w:id="9">
    <w:p w:rsidR="00FA6176" w:rsidRDefault="00FA6176" w:rsidP="00FA6176">
      <w:pPr>
        <w:pStyle w:val="a3"/>
        <w:rPr>
          <w:rtl/>
        </w:rPr>
      </w:pPr>
      <w:r>
        <w:rPr>
          <w:rStyle w:val="a5"/>
        </w:rPr>
        <w:footnoteRef/>
      </w:r>
      <w:r>
        <w:rPr>
          <w:rtl/>
        </w:rPr>
        <w:t xml:space="preserve"> </w:t>
      </w:r>
      <w:r>
        <w:rPr>
          <w:rFonts w:hint="cs"/>
          <w:rtl/>
        </w:rPr>
        <w:t>עי' רש"י שטרח לפרש שלא ברשות, כלומר ברצונו, ולא איירי כאן כלל באיסור יציאה לחו"ל.</w:t>
      </w:r>
    </w:p>
  </w:footnote>
  <w:footnote w:id="10">
    <w:p w:rsidR="00FA6176" w:rsidRDefault="00FA6176" w:rsidP="00FA6176">
      <w:pPr>
        <w:pStyle w:val="a3"/>
      </w:pPr>
      <w:r>
        <w:rPr>
          <w:rStyle w:val="a5"/>
        </w:rPr>
        <w:footnoteRef/>
      </w:r>
      <w:r>
        <w:rPr>
          <w:rtl/>
        </w:rPr>
        <w:t xml:space="preserve"> </w:t>
      </w:r>
      <w:r>
        <w:rPr>
          <w:rFonts w:hint="cs"/>
          <w:rtl/>
        </w:rPr>
        <w:t>עי' תוד"ה מהו דכל נידוי ע"כ דוחה לאו דמקלל חבירו בשם.</w:t>
      </w:r>
    </w:p>
  </w:footnote>
  <w:footnote w:id="11">
    <w:p w:rsidR="00FA6176" w:rsidRDefault="00FA6176" w:rsidP="00FA6176">
      <w:pPr>
        <w:pStyle w:val="a3"/>
      </w:pPr>
      <w:r>
        <w:rPr>
          <w:rStyle w:val="a5"/>
        </w:rPr>
        <w:footnoteRef/>
      </w:r>
      <w:r>
        <w:rPr>
          <w:rtl/>
        </w:rPr>
        <w:t xml:space="preserve"> </w:t>
      </w:r>
      <w:r>
        <w:rPr>
          <w:rFonts w:hint="cs"/>
          <w:rtl/>
        </w:rPr>
        <w:t>ראה בס"ד בסוף הסוגיא (טו:) סיכום דיני אבל לחוד ומנודה לחוד ומצורע לחוד.</w:t>
      </w:r>
    </w:p>
  </w:footnote>
  <w:footnote w:id="12">
    <w:p w:rsidR="00FA6176" w:rsidRDefault="00FA6176" w:rsidP="00FA6176">
      <w:pPr>
        <w:pStyle w:val="a3"/>
      </w:pPr>
      <w:r>
        <w:rPr>
          <w:rStyle w:val="a5"/>
        </w:rPr>
        <w:footnoteRef/>
      </w:r>
      <w:r>
        <w:rPr>
          <w:rtl/>
        </w:rPr>
        <w:t xml:space="preserve"> </w:t>
      </w:r>
      <w:r>
        <w:rPr>
          <w:rFonts w:hint="cs"/>
          <w:rtl/>
        </w:rPr>
        <w:t xml:space="preserve">בין חל קודם הרגל ובין מת לו ברגל. ועי' </w:t>
      </w:r>
      <w:r w:rsidR="002D047E">
        <w:rPr>
          <w:rFonts w:hint="cs"/>
          <w:rtl/>
        </w:rPr>
        <w:t>תוס' דעצם האבילות מה"ת, ואיסור מלאכה מדרבנ</w:t>
      </w:r>
      <w:r>
        <w:rPr>
          <w:rFonts w:hint="cs"/>
          <w:rtl/>
        </w:rPr>
        <w:t>ן. ושמחת מועד דרבנן, ושלמי שמחה מה"ת.</w:t>
      </w:r>
    </w:p>
  </w:footnote>
  <w:footnote w:id="13">
    <w:p w:rsidR="00FA6176" w:rsidRDefault="00FA6176" w:rsidP="00FA6176">
      <w:pPr>
        <w:pStyle w:val="a3"/>
      </w:pPr>
      <w:r>
        <w:rPr>
          <w:rStyle w:val="a5"/>
        </w:rPr>
        <w:footnoteRef/>
      </w:r>
      <w:r>
        <w:rPr>
          <w:rtl/>
        </w:rPr>
        <w:t xml:space="preserve"> </w:t>
      </w:r>
      <w:r>
        <w:rPr>
          <w:rFonts w:hint="cs"/>
          <w:rtl/>
        </w:rPr>
        <w:t>רב יוסף פשט דנוהג ודחה אביי ראייתו, וכן בכמה עניינים להלן, ולכ' אי"ז בגדר פלוגתא לדינא.</w:t>
      </w:r>
    </w:p>
  </w:footnote>
  <w:footnote w:id="14">
    <w:p w:rsidR="00FA6176" w:rsidRDefault="00FA6176" w:rsidP="00FA6176">
      <w:pPr>
        <w:pStyle w:val="a3"/>
        <w:rPr>
          <w:rtl/>
        </w:rPr>
      </w:pPr>
      <w:r>
        <w:rPr>
          <w:rStyle w:val="a5"/>
        </w:rPr>
        <w:footnoteRef/>
      </w:r>
      <w:r>
        <w:rPr>
          <w:rtl/>
        </w:rPr>
        <w:t xml:space="preserve"> </w:t>
      </w:r>
      <w:r>
        <w:rPr>
          <w:rFonts w:hint="cs"/>
          <w:rtl/>
        </w:rPr>
        <w:t>שלא יבוא למחנה ולא יגלח. רש"י.</w:t>
      </w:r>
    </w:p>
  </w:footnote>
  <w:footnote w:id="15">
    <w:p w:rsidR="00FA6176" w:rsidRDefault="00FA6176" w:rsidP="00FA6176">
      <w:pPr>
        <w:pStyle w:val="a3"/>
        <w:rPr>
          <w:rtl/>
        </w:rPr>
      </w:pPr>
      <w:r>
        <w:rPr>
          <w:rStyle w:val="a5"/>
        </w:rPr>
        <w:footnoteRef/>
      </w:r>
      <w:r>
        <w:rPr>
          <w:rtl/>
        </w:rPr>
        <w:t xml:space="preserve"> </w:t>
      </w:r>
      <w:r>
        <w:rPr>
          <w:rFonts w:hint="cs"/>
          <w:rtl/>
        </w:rPr>
        <w:t>אבל ביו"ט אסור משום שבות. רש"י.</w:t>
      </w:r>
    </w:p>
  </w:footnote>
  <w:footnote w:id="16">
    <w:p w:rsidR="00FA6176" w:rsidRDefault="00FA6176" w:rsidP="00FA6176">
      <w:pPr>
        <w:pStyle w:val="a3"/>
        <w:rPr>
          <w:rtl/>
        </w:rPr>
      </w:pPr>
      <w:r>
        <w:rPr>
          <w:rStyle w:val="a5"/>
        </w:rPr>
        <w:footnoteRef/>
      </w:r>
      <w:r>
        <w:rPr>
          <w:rtl/>
        </w:rPr>
        <w:t xml:space="preserve"> </w:t>
      </w:r>
      <w:r>
        <w:rPr>
          <w:rFonts w:hint="cs"/>
          <w:rtl/>
        </w:rPr>
        <w:t>עי' תוס' שדנו דלכאורה אפשר לרדת לנכסיו.</w:t>
      </w:r>
    </w:p>
  </w:footnote>
  <w:footnote w:id="17">
    <w:p w:rsidR="00FA6176" w:rsidRDefault="00FA6176" w:rsidP="00FA6176">
      <w:pPr>
        <w:pStyle w:val="a3"/>
        <w:rPr>
          <w:rtl/>
        </w:rPr>
      </w:pPr>
      <w:r>
        <w:rPr>
          <w:rStyle w:val="a5"/>
        </w:rPr>
        <w:footnoteRef/>
      </w:r>
      <w:r>
        <w:rPr>
          <w:rtl/>
        </w:rPr>
        <w:t xml:space="preserve"> </w:t>
      </w:r>
      <w:r>
        <w:rPr>
          <w:rFonts w:hint="cs"/>
          <w:rtl/>
        </w:rPr>
        <w:t>עי' תוד"ה והא דלהצד דאין נוהג נידוי במועד אין מנדין כה"ג, וכשלא ציית דינא יורדין לנכסיו.</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FA6176"/>
    <w:rsid w:val="000451A8"/>
    <w:rsid w:val="000507CA"/>
    <w:rsid w:val="001D1307"/>
    <w:rsid w:val="002D047E"/>
    <w:rsid w:val="006129BE"/>
    <w:rsid w:val="006A1766"/>
    <w:rsid w:val="0075647E"/>
    <w:rsid w:val="00AA505C"/>
    <w:rsid w:val="00FA617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17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A6176"/>
    <w:pPr>
      <w:spacing w:after="0" w:line="240" w:lineRule="auto"/>
    </w:pPr>
    <w:rPr>
      <w:sz w:val="20"/>
      <w:szCs w:val="20"/>
    </w:rPr>
  </w:style>
  <w:style w:type="character" w:customStyle="1" w:styleId="a4">
    <w:name w:val="טקסט הערת שוליים תו"/>
    <w:basedOn w:val="a0"/>
    <w:link w:val="a3"/>
    <w:uiPriority w:val="99"/>
    <w:semiHidden/>
    <w:rsid w:val="00FA6176"/>
    <w:rPr>
      <w:sz w:val="20"/>
      <w:szCs w:val="20"/>
    </w:rPr>
  </w:style>
  <w:style w:type="character" w:styleId="a5">
    <w:name w:val="footnote reference"/>
    <w:basedOn w:val="a0"/>
    <w:uiPriority w:val="99"/>
    <w:semiHidden/>
    <w:unhideWhenUsed/>
    <w:rsid w:val="00FA617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1442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2</cp:revision>
  <dcterms:created xsi:type="dcterms:W3CDTF">2014-08-26T21:28:00Z</dcterms:created>
  <dcterms:modified xsi:type="dcterms:W3CDTF">2014-08-27T13:04:00Z</dcterms:modified>
</cp:coreProperties>
</file>