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B0" w:rsidRDefault="009970B0" w:rsidP="009970B0">
      <w:pPr>
        <w:tabs>
          <w:tab w:val="left" w:pos="425"/>
        </w:tabs>
        <w:rPr>
          <w:b/>
          <w:bCs/>
          <w:i/>
          <w:iCs/>
        </w:rPr>
      </w:pPr>
      <w:r>
        <w:rPr>
          <w:b/>
          <w:bCs/>
          <w:i/>
          <w:iCs/>
          <w:rtl/>
        </w:rPr>
        <w:t>טז.</w:t>
      </w:r>
    </w:p>
    <w:p w:rsidR="009970B0" w:rsidRDefault="009970B0" w:rsidP="009970B0">
      <w:pPr>
        <w:tabs>
          <w:tab w:val="left" w:pos="425"/>
        </w:tabs>
        <w:rPr>
          <w:rtl/>
        </w:rPr>
      </w:pPr>
      <w:r>
        <w:rPr>
          <w:b/>
          <w:bCs/>
          <w:rtl/>
        </w:rPr>
        <w:t>סדר הזמנה לדין והטלת נידוי</w:t>
      </w:r>
      <w:r>
        <w:rPr>
          <w:rtl/>
        </w:rPr>
        <w:t xml:space="preserve"> </w:t>
      </w:r>
      <w:r>
        <w:rPr>
          <w:rStyle w:val="a5"/>
          <w:rtl/>
        </w:rPr>
        <w:footnoteReference w:id="1"/>
      </w:r>
      <w:r>
        <w:rPr>
          <w:rtl/>
        </w:rPr>
        <w:t>;</w:t>
      </w:r>
      <w:r>
        <w:rPr>
          <w:rtl/>
        </w:rPr>
        <w:br/>
        <w:t>משלחין שליח ב"ד, מזמינין אותו לדין, לפני אדם גדול, "אותך ואת בעל דינך", בזמן פלוני, לא בא -  מזמינין פעם שניה, אם ביזה את שליח הב"ד מותר לשליח לספר, משמתים על פי סברת אדם גדול, ומחרימין את מי שאוכל ושותה איתו ויושב בד' אמותיו, ומפרטים את עוונו בציבור, מפקירין נכסיו, רבים ומקללים ומכים ותולשים שער ומשביעים, קושרים ואוסרים</w:t>
      </w:r>
      <w:r>
        <w:rPr>
          <w:rStyle w:val="a5"/>
          <w:rtl/>
        </w:rPr>
        <w:footnoteReference w:id="2"/>
      </w:r>
      <w:r>
        <w:rPr>
          <w:rtl/>
        </w:rPr>
        <w:t>.</w:t>
      </w:r>
      <w:r>
        <w:rPr>
          <w:rtl/>
        </w:rPr>
        <w:br/>
        <w:t>לממון מתרין שני וחמישי ושני טרם שמנדים</w:t>
      </w:r>
      <w:r>
        <w:rPr>
          <w:rStyle w:val="a5"/>
          <w:rtl/>
        </w:rPr>
        <w:footnoteReference w:id="3"/>
      </w:r>
      <w:r>
        <w:rPr>
          <w:rtl/>
        </w:rPr>
        <w:t xml:space="preserve">. אבל למחציף כלפי ב"ד מנדין מיד. </w:t>
      </w:r>
      <w:r>
        <w:rPr>
          <w:rtl/>
        </w:rPr>
        <w:br/>
        <w:t>לאחר ל' יום שבים ומנדים, לאחר ל' יום נוספים מחרימין.</w:t>
      </w:r>
    </w:p>
    <w:p w:rsidR="009970B0" w:rsidRDefault="009970B0" w:rsidP="009970B0">
      <w:pPr>
        <w:tabs>
          <w:tab w:val="left" w:pos="425"/>
        </w:tabs>
        <w:rPr>
          <w:rtl/>
        </w:rPr>
      </w:pPr>
      <w:r>
        <w:rPr>
          <w:b/>
          <w:bCs/>
          <w:rtl/>
        </w:rPr>
        <w:t>נידו לממון</w:t>
      </w:r>
      <w:r>
        <w:rPr>
          <w:rtl/>
        </w:rPr>
        <w:t xml:space="preserve"> – המנדה מתיר קודם ל'. </w:t>
      </w:r>
      <w:r>
        <w:rPr>
          <w:b/>
          <w:bCs/>
          <w:rtl/>
        </w:rPr>
        <w:t>נידו לחוצפה</w:t>
      </w:r>
      <w:r>
        <w:rPr>
          <w:rtl/>
        </w:rPr>
        <w:t xml:space="preserve"> – צריך שיחול ל' יום.</w:t>
      </w:r>
      <w:r>
        <w:rPr>
          <w:rtl/>
        </w:rPr>
        <w:br/>
      </w:r>
      <w:r>
        <w:rPr>
          <w:b/>
          <w:bCs/>
          <w:rtl/>
        </w:rPr>
        <w:t>נידוהו שלשה ובאים אחרים להתיר</w:t>
      </w:r>
      <w:r>
        <w:rPr>
          <w:rtl/>
        </w:rPr>
        <w:t xml:space="preserve"> – לאביי אי אפשר, לאמימר אפשר.</w:t>
      </w:r>
      <w:r>
        <w:rPr>
          <w:rtl/>
        </w:rPr>
        <w:br/>
      </w:r>
      <w:r>
        <w:rPr>
          <w:b/>
          <w:bCs/>
          <w:rtl/>
        </w:rPr>
        <w:t>מנודה לרב</w:t>
      </w:r>
      <w:r>
        <w:rPr>
          <w:rStyle w:val="a5"/>
          <w:rtl/>
        </w:rPr>
        <w:footnoteReference w:id="4"/>
      </w:r>
      <w:r>
        <w:rPr>
          <w:rtl/>
        </w:rPr>
        <w:t xml:space="preserve">, מנודה לתלמיד. </w:t>
      </w:r>
      <w:r>
        <w:rPr>
          <w:rtl/>
        </w:rPr>
        <w:br/>
      </w:r>
      <w:r>
        <w:rPr>
          <w:b/>
          <w:bCs/>
          <w:rtl/>
        </w:rPr>
        <w:t>מנודה לתלמיד לכבוד עצמו</w:t>
      </w:r>
      <w:r>
        <w:rPr>
          <w:rtl/>
        </w:rPr>
        <w:t>, אינו מנודה לרב.</w:t>
      </w:r>
      <w:r>
        <w:rPr>
          <w:rStyle w:val="a5"/>
        </w:rPr>
        <w:footnoteReference w:id="5"/>
      </w:r>
      <w:r>
        <w:rPr>
          <w:rtl/>
        </w:rPr>
        <w:br/>
      </w:r>
      <w:r>
        <w:rPr>
          <w:b/>
          <w:bCs/>
          <w:rtl/>
        </w:rPr>
        <w:t>נידה התלמיד לכבוד שמים</w:t>
      </w:r>
      <w:r>
        <w:rPr>
          <w:rtl/>
        </w:rPr>
        <w:t>, מנודה אף לרב.</w:t>
      </w:r>
      <w:r>
        <w:rPr>
          <w:rtl/>
        </w:rPr>
        <w:br/>
      </w:r>
      <w:r>
        <w:rPr>
          <w:b/>
          <w:bCs/>
          <w:rtl/>
        </w:rPr>
        <w:t>מנודה לנשיא</w:t>
      </w:r>
      <w:r>
        <w:rPr>
          <w:rtl/>
        </w:rPr>
        <w:t xml:space="preserve">, מנודה לכל ישראל. </w:t>
      </w:r>
      <w:r>
        <w:rPr>
          <w:b/>
          <w:bCs/>
          <w:rtl/>
        </w:rPr>
        <w:t>מנודה לכל ישראל</w:t>
      </w:r>
      <w:r>
        <w:rPr>
          <w:rtl/>
        </w:rPr>
        <w:t>, אינו מנודה לנשיא.</w:t>
      </w:r>
      <w:r>
        <w:rPr>
          <w:rtl/>
        </w:rPr>
        <w:br/>
      </w:r>
      <w:r>
        <w:rPr>
          <w:b/>
          <w:bCs/>
          <w:rtl/>
        </w:rPr>
        <w:t>א' מהתלמידים שנידה ומת</w:t>
      </w:r>
      <w:r>
        <w:rPr>
          <w:rtl/>
        </w:rPr>
        <w:t xml:space="preserve"> - חלקו אינו מופר. לאביי לעולם, לאמימר עד שיתירו אחרים.</w:t>
      </w:r>
      <w:r>
        <w:rPr>
          <w:rtl/>
        </w:rPr>
        <w:br/>
        <w:t>כל אחד מהמנדים מיפר חלקו.</w:t>
      </w:r>
      <w:r>
        <w:rPr>
          <w:rStyle w:val="a5"/>
          <w:rtl/>
        </w:rPr>
        <w:footnoteReference w:id="6"/>
      </w:r>
    </w:p>
    <w:p w:rsidR="009970B0" w:rsidRDefault="009970B0" w:rsidP="009970B0">
      <w:pPr>
        <w:tabs>
          <w:tab w:val="left" w:pos="425"/>
        </w:tabs>
        <w:rPr>
          <w:rtl/>
        </w:rPr>
      </w:pPr>
      <w:r>
        <w:rPr>
          <w:b/>
          <w:bCs/>
          <w:rtl/>
        </w:rPr>
        <w:t>משך הנידוי</w:t>
      </w:r>
      <w:r>
        <w:rPr>
          <w:rtl/>
        </w:rPr>
        <w:t xml:space="preserve"> – בא"י, לא פחות מל' יום. בבבל, ז' ימים.</w:t>
      </w:r>
      <w:r>
        <w:rPr>
          <w:rtl/>
        </w:rPr>
        <w:br/>
      </w:r>
      <w:r>
        <w:rPr>
          <w:b/>
          <w:bCs/>
          <w:rtl/>
        </w:rPr>
        <w:t>משך הנזיפה</w:t>
      </w:r>
      <w:r>
        <w:rPr>
          <w:rStyle w:val="a5"/>
          <w:rtl/>
        </w:rPr>
        <w:footnoteReference w:id="7"/>
      </w:r>
      <w:r>
        <w:rPr>
          <w:rtl/>
        </w:rPr>
        <w:t xml:space="preserve"> – בא"י, ז' ימים. בבבל, יום אחד. נזיפת נשיא, ל' יום. </w:t>
      </w:r>
      <w:r>
        <w:rPr>
          <w:rtl/>
        </w:rPr>
        <w:br/>
      </w:r>
      <w:r>
        <w:rPr>
          <w:b/>
          <w:bCs/>
          <w:rtl/>
        </w:rPr>
        <w:t>ביום ל' עצמו</w:t>
      </w:r>
      <w:r>
        <w:rPr>
          <w:rStyle w:val="a5"/>
          <w:rtl/>
        </w:rPr>
        <w:footnoteReference w:id="8"/>
      </w:r>
      <w:r>
        <w:rPr>
          <w:rtl/>
        </w:rPr>
        <w:t xml:space="preserve"> – מעיקרא סבר רבי מקצתו ככולו, ולבסוף סבר בעינן כולו.</w:t>
      </w:r>
    </w:p>
    <w:p w:rsidR="009970B0" w:rsidRDefault="009970B0" w:rsidP="009970B0">
      <w:pPr>
        <w:tabs>
          <w:tab w:val="left" w:pos="425"/>
        </w:tabs>
        <w:rPr>
          <w:b/>
          <w:bCs/>
          <w:i/>
          <w:iCs/>
          <w:rtl/>
        </w:rPr>
      </w:pPr>
      <w:r>
        <w:rPr>
          <w:b/>
          <w:bCs/>
          <w:i/>
          <w:iCs/>
          <w:rtl/>
        </w:rPr>
        <w:t>טז:</w:t>
      </w:r>
    </w:p>
    <w:p w:rsidR="009970B0" w:rsidRDefault="009970B0" w:rsidP="009970B0">
      <w:pPr>
        <w:tabs>
          <w:tab w:val="left" w:pos="425"/>
        </w:tabs>
        <w:rPr>
          <w:rtl/>
        </w:rPr>
      </w:pPr>
      <w:r>
        <w:rPr>
          <w:b/>
          <w:bCs/>
          <w:rtl/>
        </w:rPr>
        <w:t>לשנות לתלמידים בשוק</w:t>
      </w:r>
      <w:r>
        <w:rPr>
          <w:rtl/>
        </w:rPr>
        <w:t xml:space="preserve"> – לרבי אסור, לס"ד דר' חייא מותר.</w:t>
      </w:r>
      <w:r>
        <w:rPr>
          <w:rtl/>
        </w:rPr>
        <w:br/>
      </w:r>
      <w:r>
        <w:rPr>
          <w:b/>
          <w:bCs/>
          <w:rtl/>
        </w:rPr>
        <w:t>כל העוסק בתורהבפנים</w:t>
      </w:r>
      <w:r>
        <w:rPr>
          <w:rtl/>
        </w:rPr>
        <w:t>, תורתו מכרזת עליו בחוץ.</w:t>
      </w:r>
      <w:r>
        <w:rPr>
          <w:rStyle w:val="a5"/>
          <w:rtl/>
        </w:rPr>
        <w:footnoteReference w:id="9"/>
      </w:r>
      <w:r>
        <w:rPr>
          <w:rtl/>
        </w:rPr>
        <w:br/>
      </w:r>
      <w:r>
        <w:rPr>
          <w:b/>
          <w:bCs/>
          <w:rtl/>
        </w:rPr>
        <w:t>ביומי דכלה</w:t>
      </w:r>
      <w:r>
        <w:rPr>
          <w:rtl/>
        </w:rPr>
        <w:t xml:space="preserve"> – לכו"ע הדרשה בפרהסיא. </w:t>
      </w:r>
      <w:r>
        <w:rPr>
          <w:b/>
          <w:bCs/>
          <w:rtl/>
        </w:rPr>
        <w:t>צדקה וגמ"ח</w:t>
      </w:r>
      <w:r>
        <w:rPr>
          <w:rtl/>
        </w:rPr>
        <w:t xml:space="preserve"> – לכו"ע בסתר.</w:t>
      </w:r>
    </w:p>
    <w:p w:rsidR="009970B0" w:rsidRDefault="009970B0" w:rsidP="009970B0">
      <w:pPr>
        <w:bidi w:val="0"/>
        <w:spacing w:after="0"/>
        <w:jc w:val="right"/>
        <w:rPr>
          <w:rFonts w:ascii="Times New Roman" w:hAnsi="Times New Roman" w:cs="Times New Roman"/>
          <w:sz w:val="24"/>
          <w:szCs w:val="24"/>
          <w:rtl/>
        </w:rPr>
      </w:pPr>
      <w:r>
        <w:rPr>
          <w:b/>
          <w:bCs/>
          <w:rtl/>
        </w:rPr>
        <w:t>ת"ח שאמר כמה חצוף פלוני</w:t>
      </w:r>
      <w:r>
        <w:rPr>
          <w:rtl/>
        </w:rPr>
        <w:t xml:space="preserve"> – אינו בנידוי אם לא הזכיר להדיא לשון נידוי.</w:t>
      </w:r>
      <w:r>
        <w:rPr>
          <w:rtl/>
        </w:rPr>
        <w:br/>
      </w:r>
      <w:r>
        <w:rPr>
          <w:rtl/>
        </w:rPr>
        <w:tab/>
        <w:t>וראוי לנהוג בעצמו נזיפה יום א'.</w:t>
      </w:r>
      <w:r>
        <w:rPr>
          <w:rtl/>
        </w:rPr>
        <w:br/>
      </w:r>
      <w:r>
        <w:rPr>
          <w:b/>
          <w:bCs/>
          <w:rtl/>
        </w:rPr>
        <w:t>כשיושב ושונה לתלמידים</w:t>
      </w:r>
      <w:r>
        <w:rPr>
          <w:rtl/>
        </w:rPr>
        <w:t xml:space="preserve"> – הרב ע"ג כרים וכסתות והתלמידים ע"ג קרקע.</w:t>
      </w:r>
      <w:r>
        <w:rPr>
          <w:rtl/>
        </w:rPr>
        <w:br/>
      </w:r>
      <w:r>
        <w:rPr>
          <w:rtl/>
        </w:rPr>
        <w:tab/>
        <w:t>דוד נהג בעצמו כשלימד לישב ע"ג קרקע.</w:t>
      </w:r>
      <w:r>
        <w:rPr>
          <w:rStyle w:val="a5"/>
          <w:rtl/>
        </w:rPr>
        <w:footnoteReference w:id="10"/>
      </w:r>
      <w:r>
        <w:rPr>
          <w:rtl/>
        </w:rPr>
        <w:br/>
      </w:r>
    </w:p>
    <w:p w:rsidR="006129BE" w:rsidRDefault="006129BE"/>
    <w:sectPr w:rsidR="006129BE" w:rsidSect="001D130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0F4" w:rsidRDefault="005910F4" w:rsidP="009970B0">
      <w:pPr>
        <w:spacing w:after="0" w:line="240" w:lineRule="auto"/>
      </w:pPr>
      <w:r>
        <w:separator/>
      </w:r>
    </w:p>
  </w:endnote>
  <w:endnote w:type="continuationSeparator" w:id="0">
    <w:p w:rsidR="005910F4" w:rsidRDefault="005910F4" w:rsidP="00997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0F4" w:rsidRDefault="005910F4" w:rsidP="009970B0">
      <w:pPr>
        <w:spacing w:after="0" w:line="240" w:lineRule="auto"/>
      </w:pPr>
      <w:r>
        <w:separator/>
      </w:r>
    </w:p>
  </w:footnote>
  <w:footnote w:type="continuationSeparator" w:id="0">
    <w:p w:rsidR="005910F4" w:rsidRDefault="005910F4" w:rsidP="009970B0">
      <w:pPr>
        <w:spacing w:after="0" w:line="240" w:lineRule="auto"/>
      </w:pPr>
      <w:r>
        <w:continuationSeparator/>
      </w:r>
    </w:p>
  </w:footnote>
  <w:footnote w:id="1">
    <w:p w:rsidR="009970B0" w:rsidRDefault="009970B0" w:rsidP="009970B0">
      <w:pPr>
        <w:pStyle w:val="a3"/>
      </w:pPr>
      <w:r>
        <w:rPr>
          <w:rStyle w:val="a5"/>
        </w:rPr>
        <w:footnoteRef/>
      </w:r>
      <w:r>
        <w:rPr>
          <w:rtl/>
        </w:rPr>
        <w:t xml:space="preserve"> </w:t>
      </w:r>
      <w:r>
        <w:rPr>
          <w:rFonts w:hint="cs"/>
          <w:rtl/>
        </w:rPr>
        <w:t>נראה מהסוגיא דהיינו למאן דלא ציית דינא. או שאינו בא כלל או לא מקבל הפסק.</w:t>
      </w:r>
    </w:p>
  </w:footnote>
  <w:footnote w:id="2">
    <w:p w:rsidR="009970B0" w:rsidRDefault="009970B0" w:rsidP="009970B0">
      <w:pPr>
        <w:pStyle w:val="a3"/>
        <w:rPr>
          <w:rtl/>
        </w:rPr>
      </w:pPr>
      <w:r>
        <w:rPr>
          <w:rStyle w:val="a5"/>
        </w:rPr>
        <w:footnoteRef/>
      </w:r>
      <w:r>
        <w:rPr>
          <w:rtl/>
        </w:rPr>
        <w:t xml:space="preserve"> </w:t>
      </w:r>
      <w:r>
        <w:rPr>
          <w:rFonts w:hint="cs"/>
          <w:rtl/>
        </w:rPr>
        <w:t>רש"י פי' כופתים ידיו ורגליו וקושרים לעמוד להלקותו.</w:t>
      </w:r>
    </w:p>
  </w:footnote>
  <w:footnote w:id="3">
    <w:p w:rsidR="009970B0" w:rsidRDefault="009970B0" w:rsidP="009970B0">
      <w:pPr>
        <w:pStyle w:val="a3"/>
        <w:rPr>
          <w:rtl/>
        </w:rPr>
      </w:pPr>
      <w:r>
        <w:rPr>
          <w:rStyle w:val="a5"/>
        </w:rPr>
        <w:footnoteRef/>
      </w:r>
      <w:r>
        <w:rPr>
          <w:rtl/>
        </w:rPr>
        <w:t xml:space="preserve"> </w:t>
      </w:r>
      <w:r>
        <w:rPr>
          <w:rFonts w:hint="cs"/>
          <w:rtl/>
        </w:rPr>
        <w:t>כן פירשו תוס', והיינו דבאו להקל בממון להוסיף התראות, ואז צריך ל' כמו באפקירותא. אבל הביאו בשם רש"י שאינו לפנינו דלממון מתרין ומיד מנדין בשני ומתרין ומנדין שוב בחמישי ומחרימין בשני, ובאו להחמיר בממון יותר מאפקירותא דבעינן ל' לכל שלב. מלבד דבאפקירותא א"צ להתרות כלל.</w:t>
      </w:r>
    </w:p>
  </w:footnote>
  <w:footnote w:id="4">
    <w:p w:rsidR="009970B0" w:rsidRDefault="009970B0" w:rsidP="009970B0">
      <w:pPr>
        <w:pStyle w:val="a3"/>
        <w:rPr>
          <w:rtl/>
        </w:rPr>
      </w:pPr>
      <w:r>
        <w:rPr>
          <w:rStyle w:val="a5"/>
        </w:rPr>
        <w:footnoteRef/>
      </w:r>
      <w:r>
        <w:rPr>
          <w:rtl/>
        </w:rPr>
        <w:t xml:space="preserve"> </w:t>
      </w:r>
      <w:r>
        <w:rPr>
          <w:rFonts w:hint="cs"/>
          <w:rtl/>
        </w:rPr>
        <w:t>אפילו לכבוד עצמו בלבד.</w:t>
      </w:r>
    </w:p>
  </w:footnote>
  <w:footnote w:id="5">
    <w:p w:rsidR="009970B0" w:rsidRDefault="009970B0" w:rsidP="009970B0">
      <w:pPr>
        <w:pStyle w:val="a3"/>
        <w:rPr>
          <w:rtl/>
        </w:rPr>
      </w:pPr>
      <w:r>
        <w:rPr>
          <w:rStyle w:val="a5"/>
        </w:rPr>
        <w:footnoteRef/>
      </w:r>
      <w:r>
        <w:rPr>
          <w:rtl/>
        </w:rPr>
        <w:t xml:space="preserve"> </w:t>
      </w:r>
      <w:r>
        <w:rPr>
          <w:rFonts w:hint="cs"/>
          <w:rtl/>
        </w:rPr>
        <w:t>אבל חוץ מהרב מצווין הכל לנהוג בו נידוי, כן הוא להדיא להלן יז.</w:t>
      </w:r>
    </w:p>
  </w:footnote>
  <w:footnote w:id="6">
    <w:p w:rsidR="009970B0" w:rsidRDefault="009970B0" w:rsidP="009970B0">
      <w:pPr>
        <w:pStyle w:val="a3"/>
        <w:rPr>
          <w:rFonts w:hint="cs"/>
          <w:rtl/>
        </w:rPr>
      </w:pPr>
      <w:r>
        <w:rPr>
          <w:rStyle w:val="a5"/>
        </w:rPr>
        <w:footnoteRef/>
      </w:r>
      <w:r>
        <w:rPr>
          <w:rtl/>
        </w:rPr>
        <w:t xml:space="preserve"> </w:t>
      </w:r>
      <w:r>
        <w:rPr>
          <w:rFonts w:hint="cs"/>
          <w:rtl/>
        </w:rPr>
        <w:t>לכאורה הכוונה שאם נידוהו כמה, צריך התרה של כל המנדים.</w:t>
      </w:r>
    </w:p>
  </w:footnote>
  <w:footnote w:id="7">
    <w:p w:rsidR="009970B0" w:rsidRDefault="009970B0" w:rsidP="009970B0">
      <w:pPr>
        <w:pStyle w:val="a3"/>
        <w:rPr>
          <w:rtl/>
        </w:rPr>
      </w:pPr>
      <w:r>
        <w:rPr>
          <w:rStyle w:val="a5"/>
        </w:rPr>
        <w:footnoteRef/>
      </w:r>
      <w:r>
        <w:rPr>
          <w:rtl/>
        </w:rPr>
        <w:t xml:space="preserve"> </w:t>
      </w:r>
      <w:r>
        <w:rPr>
          <w:rFonts w:hint="cs"/>
          <w:rtl/>
        </w:rPr>
        <w:t>עי' ריטב"א דאין הלכות לנזוף, אלא הוא עצמו נוהג בעצמו הכנעה והתבודדות, יעוי"ש.</w:t>
      </w:r>
    </w:p>
  </w:footnote>
  <w:footnote w:id="8">
    <w:p w:rsidR="009970B0" w:rsidRDefault="009970B0" w:rsidP="009970B0">
      <w:pPr>
        <w:pStyle w:val="a3"/>
        <w:rPr>
          <w:rFonts w:hint="cs"/>
          <w:rtl/>
        </w:rPr>
      </w:pPr>
      <w:r>
        <w:rPr>
          <w:rStyle w:val="a5"/>
        </w:rPr>
        <w:footnoteRef/>
      </w:r>
      <w:r>
        <w:rPr>
          <w:rtl/>
        </w:rPr>
        <w:t xml:space="preserve"> </w:t>
      </w:r>
      <w:r>
        <w:rPr>
          <w:rFonts w:hint="cs"/>
          <w:rtl/>
        </w:rPr>
        <w:t>בעמ' ב' זה מובא לגבי נזיפת הנשיא. אמנם לכ' ה"ה יום ל' לנידוי בא"י, ויום ז' לנזיפה דא"י ונידוי דבבל. אמנם יום א' דנזיפת בבל קצת מסתברא דלא סגי בזה מקצת היום, ויל"ע.</w:t>
      </w:r>
    </w:p>
  </w:footnote>
  <w:footnote w:id="9">
    <w:p w:rsidR="009970B0" w:rsidRDefault="009970B0" w:rsidP="009970B0">
      <w:pPr>
        <w:pStyle w:val="a3"/>
        <w:rPr>
          <w:rFonts w:hint="cs"/>
          <w:rtl/>
        </w:rPr>
      </w:pPr>
      <w:r>
        <w:rPr>
          <w:rStyle w:val="a5"/>
        </w:rPr>
        <w:footnoteRef/>
      </w:r>
      <w:r>
        <w:rPr>
          <w:rtl/>
        </w:rPr>
        <w:t xml:space="preserve"> </w:t>
      </w:r>
      <w:r>
        <w:rPr>
          <w:rFonts w:hint="cs"/>
          <w:rtl/>
        </w:rPr>
        <w:t>יתכן דר"ח לא סבירא ליה האי דרשא.</w:t>
      </w:r>
    </w:p>
  </w:footnote>
  <w:footnote w:id="10">
    <w:p w:rsidR="009970B0" w:rsidRDefault="009970B0" w:rsidP="009970B0">
      <w:pPr>
        <w:pStyle w:val="a3"/>
        <w:rPr>
          <w:rFonts w:hint="cs"/>
          <w:rtl/>
        </w:rPr>
      </w:pPr>
      <w:r>
        <w:rPr>
          <w:rStyle w:val="a5"/>
        </w:rPr>
        <w:footnoteRef/>
      </w:r>
      <w:r>
        <w:rPr>
          <w:rtl/>
        </w:rPr>
        <w:t xml:space="preserve"> </w:t>
      </w:r>
      <w:r>
        <w:rPr>
          <w:rFonts w:hint="cs"/>
          <w:rtl/>
        </w:rPr>
        <w:t>וזכה הרבה משום הנהגה זו כדאיתא בגמרא.</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9970B0"/>
    <w:rsid w:val="001D1307"/>
    <w:rsid w:val="005910F4"/>
    <w:rsid w:val="006129BE"/>
    <w:rsid w:val="00886BAD"/>
    <w:rsid w:val="009970B0"/>
    <w:rsid w:val="00AA505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0B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970B0"/>
    <w:pPr>
      <w:spacing w:after="0" w:line="240" w:lineRule="auto"/>
    </w:pPr>
    <w:rPr>
      <w:sz w:val="20"/>
      <w:szCs w:val="20"/>
    </w:rPr>
  </w:style>
  <w:style w:type="character" w:customStyle="1" w:styleId="a4">
    <w:name w:val="טקסט הערת שוליים תו"/>
    <w:basedOn w:val="a0"/>
    <w:link w:val="a3"/>
    <w:uiPriority w:val="99"/>
    <w:semiHidden/>
    <w:rsid w:val="009970B0"/>
    <w:rPr>
      <w:sz w:val="20"/>
      <w:szCs w:val="20"/>
    </w:rPr>
  </w:style>
  <w:style w:type="character" w:styleId="a5">
    <w:name w:val="footnote reference"/>
    <w:basedOn w:val="a0"/>
    <w:uiPriority w:val="99"/>
    <w:semiHidden/>
    <w:unhideWhenUsed/>
    <w:rsid w:val="009970B0"/>
    <w:rPr>
      <w:vertAlign w:val="superscript"/>
    </w:rPr>
  </w:style>
</w:styles>
</file>

<file path=word/webSettings.xml><?xml version="1.0" encoding="utf-8"?>
<w:webSettings xmlns:r="http://schemas.openxmlformats.org/officeDocument/2006/relationships" xmlns:w="http://schemas.openxmlformats.org/wordprocessingml/2006/main">
  <w:divs>
    <w:div w:id="12454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1198</Characters>
  <Application>Microsoft Office Word</Application>
  <DocSecurity>0</DocSecurity>
  <Lines>9</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2014-08-28T20:40:00Z</dcterms:created>
  <dcterms:modified xsi:type="dcterms:W3CDTF">2014-08-28T20:41:00Z</dcterms:modified>
</cp:coreProperties>
</file>