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09" w:rsidRPr="004D1507" w:rsidRDefault="00742109" w:rsidP="00742109">
      <w:pPr>
        <w:rPr>
          <w:b/>
          <w:bCs/>
          <w:i/>
          <w:iCs/>
          <w:rtl/>
        </w:rPr>
      </w:pPr>
      <w:r w:rsidRPr="004D1507">
        <w:rPr>
          <w:rFonts w:hint="cs"/>
          <w:b/>
          <w:bCs/>
          <w:i/>
          <w:iCs/>
          <w:rtl/>
        </w:rPr>
        <w:t>טז.</w:t>
      </w:r>
    </w:p>
    <w:p w:rsidR="00742109" w:rsidRDefault="00742109" w:rsidP="00742109">
      <w:pPr>
        <w:rPr>
          <w:rtl/>
        </w:rPr>
      </w:pPr>
      <w:r w:rsidRPr="004D1507">
        <w:rPr>
          <w:rFonts w:hint="cs"/>
          <w:b/>
          <w:bCs/>
          <w:rtl/>
        </w:rPr>
        <w:t>שדים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שלשה דברים כמלאכי השרת ושלשה כבני אדם.</w:t>
      </w:r>
      <w:r>
        <w:rPr>
          <w:rtl/>
        </w:rPr>
        <w:br/>
      </w:r>
      <w:r w:rsidRPr="004D1507">
        <w:rPr>
          <w:rFonts w:hint="cs"/>
          <w:b/>
          <w:bCs/>
          <w:rtl/>
        </w:rPr>
        <w:t>בני אדם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ג' כמלאכי השרת וג' כבהמה.</w:t>
      </w:r>
    </w:p>
    <w:p w:rsidR="00742109" w:rsidRDefault="00742109" w:rsidP="00742109">
      <w:pPr>
        <w:rPr>
          <w:rtl/>
        </w:rPr>
      </w:pPr>
      <w:r w:rsidRPr="004D1507">
        <w:rPr>
          <w:rFonts w:hint="cs"/>
          <w:b/>
          <w:bCs/>
          <w:rtl/>
        </w:rPr>
        <w:t>המסתכל מה לפנים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ראוי לו שלא נולד, שאין רצונו של מלך שיזכירו את האשפה (שקדמה לעולם).</w:t>
      </w:r>
    </w:p>
    <w:p w:rsidR="00742109" w:rsidRDefault="00742109" w:rsidP="00742109">
      <w:pPr>
        <w:rPr>
          <w:rtl/>
        </w:rPr>
      </w:pPr>
      <w:r w:rsidRPr="004D1507">
        <w:rPr>
          <w:rFonts w:hint="cs"/>
          <w:b/>
          <w:bCs/>
          <w:rtl/>
        </w:rPr>
        <w:t>לא חס על כבוד קונו</w:t>
      </w:r>
      <w:r>
        <w:rPr>
          <w:rStyle w:val="a5"/>
          <w:rtl/>
        </w:rPr>
        <w:footnoteReference w:id="1"/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לר' אבא המסתכל בקשת. לר' יוסף העובר עבירה בסתר.</w:t>
      </w:r>
      <w:r>
        <w:rPr>
          <w:rFonts w:hint="cs"/>
          <w:rtl/>
        </w:rPr>
        <w:br/>
      </w:r>
      <w:r w:rsidRPr="004D1507">
        <w:rPr>
          <w:rFonts w:hint="cs"/>
          <w:b/>
          <w:bCs/>
          <w:rtl/>
        </w:rPr>
        <w:t>העובר בסתר עבירה שמצי כייף ליצריה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כאילו דוחק רגלי שכינה וראוי וכו'.</w:t>
      </w:r>
      <w:r>
        <w:rPr>
          <w:rtl/>
        </w:rPr>
        <w:br/>
      </w:r>
      <w:r>
        <w:rPr>
          <w:rFonts w:hint="cs"/>
          <w:rtl/>
        </w:rPr>
        <w:tab/>
        <w:t>ואם לא מצי, ילבש ויתעטף שחורים וילך למקום שאין מכירין אותו.</w:t>
      </w:r>
      <w:r>
        <w:rPr>
          <w:rStyle w:val="a5"/>
          <w:rtl/>
        </w:rPr>
        <w:footnoteReference w:id="2"/>
      </w:r>
      <w:r>
        <w:rPr>
          <w:rFonts w:hint="cs"/>
          <w:rtl/>
        </w:rPr>
        <w:t xml:space="preserve"> </w:t>
      </w:r>
    </w:p>
    <w:p w:rsidR="00742109" w:rsidRDefault="00742109" w:rsidP="00742109">
      <w:pPr>
        <w:rPr>
          <w:rtl/>
        </w:rPr>
      </w:pPr>
      <w:r w:rsidRPr="004D1507">
        <w:rPr>
          <w:rFonts w:hint="cs"/>
          <w:b/>
          <w:bCs/>
          <w:rtl/>
        </w:rPr>
        <w:t>המסתכל בקשת, בנשיא ובכהנים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עיניו כהות.</w:t>
      </w:r>
      <w:r>
        <w:rPr>
          <w:rtl/>
        </w:rPr>
        <w:br/>
      </w:r>
      <w:r>
        <w:rPr>
          <w:rFonts w:hint="cs"/>
          <w:rtl/>
        </w:rPr>
        <w:t>בכהנים, היינו בשעה שנושאין את ידיהם ובזמן שבית המקדש קיים.</w:t>
      </w:r>
      <w:r>
        <w:rPr>
          <w:rStyle w:val="a5"/>
        </w:rPr>
        <w:footnoteReference w:id="3"/>
      </w:r>
    </w:p>
    <w:p w:rsidR="00742109" w:rsidRDefault="00742109" w:rsidP="00742109">
      <w:pPr>
        <w:rPr>
          <w:rtl/>
        </w:rPr>
      </w:pPr>
      <w:r w:rsidRPr="004D1507">
        <w:rPr>
          <w:rFonts w:hint="cs"/>
          <w:b/>
          <w:bCs/>
          <w:rtl/>
        </w:rPr>
        <w:t>אם יאמר לך יצה"ר חטוא והקב"ה מוחל</w:t>
      </w:r>
      <w:r>
        <w:rPr>
          <w:rFonts w:hint="cs"/>
          <w:rtl/>
        </w:rPr>
        <w:t xml:space="preserve"> - אל תאמין.</w:t>
      </w:r>
      <w:r>
        <w:rPr>
          <w:rtl/>
        </w:rPr>
        <w:br/>
      </w:r>
      <w:r w:rsidRPr="004D1507">
        <w:rPr>
          <w:rFonts w:hint="cs"/>
          <w:b/>
          <w:bCs/>
          <w:rtl/>
        </w:rPr>
        <w:t>מי מעיד בו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י"א אבני וקורות ביתו, וי"א נשמתו, וי"א מלאכים, וי"א אבריו.</w:t>
      </w:r>
    </w:p>
    <w:p w:rsidR="00742109" w:rsidRDefault="00742109" w:rsidP="00742109">
      <w:pPr>
        <w:rPr>
          <w:rtl/>
        </w:rPr>
      </w:pPr>
      <w:r w:rsidRPr="004D1507">
        <w:rPr>
          <w:rFonts w:hint="cs"/>
          <w:b/>
          <w:bCs/>
          <w:rtl/>
        </w:rPr>
        <w:t>סמיכה בשלמי חגיגה ביו"ט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חמישה חכמים אמרו לסמוך וחמישה שלא לסמוך.</w:t>
      </w:r>
      <w:r>
        <w:rPr>
          <w:rFonts w:hint="cs"/>
          <w:rtl/>
        </w:rPr>
        <w:br/>
        <w:t>יוסי בן יועזר נשיא ויוסי בן יוחנן אב"ד. יהושע ב"פ נשיא וניתאי הארבלי אב"ד.</w:t>
      </w:r>
      <w:r>
        <w:rPr>
          <w:rtl/>
        </w:rPr>
        <w:br/>
      </w:r>
      <w:r>
        <w:rPr>
          <w:rFonts w:hint="cs"/>
          <w:rtl/>
        </w:rPr>
        <w:t>לר"מ; יהודה בן טבאי נשיא ור' שמעון בן שטח אב"ד, ולחכמים להיפך.</w:t>
      </w:r>
      <w:r>
        <w:rPr>
          <w:rFonts w:hint="cs"/>
          <w:rtl/>
        </w:rPr>
        <w:br/>
        <w:t>שמעיה נשיא ואבטליון אב"ד. הלל נשיא. שמאי נכנס להיות אב"ד במקום מנחם.</w:t>
      </w:r>
    </w:p>
    <w:p w:rsidR="00742109" w:rsidRPr="004D1507" w:rsidRDefault="00742109" w:rsidP="00742109">
      <w:pPr>
        <w:rPr>
          <w:b/>
          <w:bCs/>
          <w:i/>
          <w:iCs/>
          <w:rtl/>
        </w:rPr>
      </w:pPr>
      <w:r w:rsidRPr="004D1507">
        <w:rPr>
          <w:rFonts w:hint="cs"/>
          <w:b/>
          <w:bCs/>
          <w:i/>
          <w:iCs/>
          <w:rtl/>
        </w:rPr>
        <w:t>טז:</w:t>
      </w:r>
    </w:p>
    <w:p w:rsidR="00742109" w:rsidRDefault="00742109" w:rsidP="00742109">
      <w:pPr>
        <w:rPr>
          <w:rtl/>
        </w:rPr>
      </w:pPr>
      <w:r w:rsidRPr="004D1507">
        <w:rPr>
          <w:rFonts w:hint="cs"/>
          <w:b/>
          <w:bCs/>
          <w:rtl/>
        </w:rPr>
        <w:t>עד שהוזם קודם שנהרג הנידון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לצדוקים אין נהרג, והלכה שנהרג.</w:t>
      </w:r>
      <w:r>
        <w:rPr>
          <w:rtl/>
        </w:rPr>
        <w:br/>
      </w:r>
      <w:r>
        <w:rPr>
          <w:rFonts w:hint="cs"/>
          <w:rtl/>
        </w:rPr>
        <w:t>אין נהרגין או לוקין או משלמין ממון עד שיזומו שניהם.</w:t>
      </w:r>
    </w:p>
    <w:p w:rsidR="00742109" w:rsidRDefault="00742109" w:rsidP="00742109">
      <w:pPr>
        <w:rPr>
          <w:rtl/>
        </w:rPr>
      </w:pPr>
      <w:r w:rsidRPr="004D1507">
        <w:rPr>
          <w:rFonts w:hint="cs"/>
          <w:b/>
          <w:bCs/>
          <w:rtl/>
        </w:rPr>
        <w:t>מנחם יצא</w:t>
      </w:r>
      <w:r>
        <w:rPr>
          <w:rFonts w:hint="cs"/>
          <w:rtl/>
        </w:rPr>
        <w:t>, לאביי לתרבות רעה, לרבא ותניא כוותיה לעבודת המלך.</w:t>
      </w:r>
    </w:p>
    <w:p w:rsidR="00742109" w:rsidRDefault="00742109" w:rsidP="00742109">
      <w:pPr>
        <w:rPr>
          <w:rtl/>
        </w:rPr>
      </w:pPr>
      <w:r w:rsidRPr="004D1507">
        <w:rPr>
          <w:rFonts w:hint="cs"/>
          <w:b/>
          <w:bCs/>
          <w:rtl/>
        </w:rPr>
        <w:t>טעם המחלוקת הנ"ל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י"א האם שלמי חובה</w:t>
      </w:r>
      <w:r>
        <w:rPr>
          <w:rStyle w:val="a5"/>
          <w:rtl/>
        </w:rPr>
        <w:footnoteReference w:id="4"/>
      </w:r>
      <w:r>
        <w:rPr>
          <w:rFonts w:hint="cs"/>
          <w:rtl/>
        </w:rPr>
        <w:t xml:space="preserve"> חייבין סמיכה.</w:t>
      </w:r>
      <w:r>
        <w:rPr>
          <w:rFonts w:hint="cs"/>
          <w:rtl/>
        </w:rPr>
        <w:br/>
        <w:t>וריו"ח אמר דשלמי חובה חייבין, ורק הנידון אם חיוב זה דוחה שבות דמשתמש בבעלי חיים.</w:t>
      </w:r>
      <w:r>
        <w:rPr>
          <w:rtl/>
        </w:rPr>
        <w:br/>
      </w:r>
      <w:r w:rsidRPr="004D1507">
        <w:rPr>
          <w:rFonts w:hint="cs"/>
          <w:b/>
          <w:bCs/>
          <w:rtl/>
        </w:rPr>
        <w:t>סמיכה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בכל כוחו, ולכן ביו"ט הוי שבות.</w:t>
      </w:r>
      <w:r>
        <w:rPr>
          <w:rFonts w:hint="cs"/>
          <w:rtl/>
        </w:rPr>
        <w:br/>
      </w:r>
      <w:r w:rsidRPr="004D1507">
        <w:rPr>
          <w:rFonts w:hint="cs"/>
          <w:b/>
          <w:bCs/>
          <w:rtl/>
        </w:rPr>
        <w:t>שבות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 יהא קלה בעיניך, שהרי אפילו שבות במקום מצוה נחלקו אבות העולם אם נדחה.</w:t>
      </w:r>
    </w:p>
    <w:p w:rsidR="00742109" w:rsidRDefault="00742109" w:rsidP="00742109">
      <w:pPr>
        <w:rPr>
          <w:rtl/>
        </w:rPr>
      </w:pPr>
      <w:r w:rsidRPr="004D1507">
        <w:rPr>
          <w:rFonts w:hint="cs"/>
          <w:b/>
          <w:bCs/>
          <w:rtl/>
        </w:rPr>
        <w:t>סמיכה בבנות ישראל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לת"ק אין סומכות, לר"י ור"ש סומכות רשות.</w:t>
      </w:r>
      <w:r>
        <w:rPr>
          <w:rStyle w:val="a5"/>
          <w:rtl/>
        </w:rPr>
        <w:footnoteReference w:id="5"/>
      </w:r>
      <w:r>
        <w:rPr>
          <w:rFonts w:hint="cs"/>
          <w:rtl/>
        </w:rPr>
        <w:br/>
        <w:t>כשסומכות, אומרים להן להציף ידיהן כדי שלא להשתמש בקדשים שלא במקום חובה.</w:t>
      </w:r>
    </w:p>
    <w:p w:rsidR="00742109" w:rsidRDefault="00742109" w:rsidP="00742109">
      <w:pPr>
        <w:rPr>
          <w:rFonts w:hint="cs"/>
          <w:rtl/>
        </w:rPr>
      </w:pPr>
      <w:r w:rsidRPr="004D1507">
        <w:rPr>
          <w:rFonts w:hint="cs"/>
          <w:b/>
          <w:bCs/>
          <w:rtl/>
        </w:rPr>
        <w:t>השתמשות באילן ובהמה מהצדדים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לר"פ מוכח מדברי תנאים דאסור, לרב אשי לא מוכח.</w:t>
      </w:r>
      <w:r>
        <w:rPr>
          <w:rStyle w:val="a5"/>
          <w:rtl/>
        </w:rPr>
        <w:footnoteReference w:id="6"/>
      </w:r>
      <w:r>
        <w:rPr>
          <w:rFonts w:hint="cs"/>
          <w:rtl/>
        </w:rPr>
        <w:br/>
      </w:r>
      <w:r w:rsidRPr="004D1507">
        <w:rPr>
          <w:rFonts w:hint="cs"/>
          <w:b/>
          <w:bCs/>
          <w:rtl/>
        </w:rPr>
        <w:t>על ראש הבהמה</w:t>
      </w:r>
      <w:r>
        <w:rPr>
          <w:rFonts w:hint="cs"/>
          <w:rtl/>
        </w:rPr>
        <w:t xml:space="preserve"> - לכו"ע אסור להשתמש.</w:t>
      </w:r>
    </w:p>
    <w:p w:rsidR="00CC6452" w:rsidRDefault="00CC6452"/>
    <w:sectPr w:rsidR="00CC6452" w:rsidSect="005A5BA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7B" w:rsidRDefault="00BA667B" w:rsidP="00742109">
      <w:pPr>
        <w:spacing w:after="0" w:line="240" w:lineRule="auto"/>
      </w:pPr>
      <w:r>
        <w:separator/>
      </w:r>
    </w:p>
  </w:endnote>
  <w:endnote w:type="continuationSeparator" w:id="0">
    <w:p w:rsidR="00BA667B" w:rsidRDefault="00BA667B" w:rsidP="0074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7B" w:rsidRDefault="00BA667B" w:rsidP="00742109">
      <w:pPr>
        <w:spacing w:after="0" w:line="240" w:lineRule="auto"/>
      </w:pPr>
      <w:r>
        <w:separator/>
      </w:r>
    </w:p>
  </w:footnote>
  <w:footnote w:type="continuationSeparator" w:id="0">
    <w:p w:rsidR="00BA667B" w:rsidRDefault="00BA667B" w:rsidP="00742109">
      <w:pPr>
        <w:spacing w:after="0" w:line="240" w:lineRule="auto"/>
      </w:pPr>
      <w:r>
        <w:continuationSeparator/>
      </w:r>
    </w:p>
  </w:footnote>
  <w:footnote w:id="1">
    <w:p w:rsidR="00742109" w:rsidRDefault="00742109" w:rsidP="00742109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שראוי לו שלא בא לעולם</w:t>
      </w:r>
    </w:p>
  </w:footnote>
  <w:footnote w:id="2">
    <w:p w:rsidR="00742109" w:rsidRDefault="00742109" w:rsidP="00742109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ר"ח פי' שלא יחטא עי"ז ורש"י ותוס' פי' דאף אם יחטא עדיף למעט חילול שם שמים.</w:t>
      </w:r>
    </w:p>
  </w:footnote>
  <w:footnote w:id="3">
    <w:p w:rsidR="00742109" w:rsidRDefault="00742109" w:rsidP="00742109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עי' תוס' שגם בזמן הזה אסור להביט משום היסח הדעת.</w:t>
      </w:r>
    </w:p>
  </w:footnote>
  <w:footnote w:id="4">
    <w:p w:rsidR="00742109" w:rsidRDefault="00742109" w:rsidP="00742109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דשלמי נדבה ודאי שחייבין.</w:t>
      </w:r>
    </w:p>
  </w:footnote>
  <w:footnote w:id="5">
    <w:p w:rsidR="00742109" w:rsidRDefault="00742109" w:rsidP="00742109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עי' תוס' דשוחטות, ועי' עוד דלר"י יכולות לברך על מצוות שהזמן גרמן.</w:t>
      </w:r>
    </w:p>
  </w:footnote>
  <w:footnote w:id="6">
    <w:p w:rsidR="00742109" w:rsidRDefault="00742109" w:rsidP="00742109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וכ' תוס' דמ"מ רב אשי עצמו ס"ל במק"א דאסור.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109"/>
    <w:rsid w:val="001568A3"/>
    <w:rsid w:val="005A5BAA"/>
    <w:rsid w:val="00742109"/>
    <w:rsid w:val="00AF7868"/>
    <w:rsid w:val="00BA667B"/>
    <w:rsid w:val="00CC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210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74210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21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יעקב</dc:creator>
  <cp:lastModifiedBy>יעקב</cp:lastModifiedBy>
  <cp:revision>1</cp:revision>
  <dcterms:created xsi:type="dcterms:W3CDTF">2014-09-28T22:39:00Z</dcterms:created>
  <dcterms:modified xsi:type="dcterms:W3CDTF">2014-09-28T22:39:00Z</dcterms:modified>
</cp:coreProperties>
</file>