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74" w:rsidRPr="00DF10BA" w:rsidRDefault="00962974" w:rsidP="00962974">
      <w:pPr>
        <w:jc w:val="center"/>
        <w:rPr>
          <w:rFonts w:hint="cs"/>
          <w:b/>
          <w:bCs/>
          <w:sz w:val="24"/>
          <w:szCs w:val="24"/>
          <w:rtl/>
        </w:rPr>
      </w:pPr>
      <w:r w:rsidRPr="00DF10BA">
        <w:rPr>
          <w:rFonts w:hint="cs"/>
          <w:b/>
          <w:bCs/>
          <w:sz w:val="24"/>
          <w:szCs w:val="24"/>
          <w:rtl/>
        </w:rPr>
        <w:t>פרק קונם יין</w:t>
      </w:r>
    </w:p>
    <w:p w:rsidR="00962974" w:rsidRPr="002B0885" w:rsidRDefault="00962974" w:rsidP="00962974">
      <w:pPr>
        <w:rPr>
          <w:rFonts w:hint="cs"/>
          <w:b/>
          <w:bCs/>
          <w:i/>
          <w:iCs/>
          <w:rtl/>
        </w:rPr>
      </w:pPr>
      <w:r w:rsidRPr="002B0885">
        <w:rPr>
          <w:rFonts w:hint="cs"/>
          <w:b/>
          <w:bCs/>
          <w:i/>
          <w:iCs/>
          <w:rtl/>
        </w:rPr>
        <w:t>ס.</w:t>
      </w:r>
    </w:p>
    <w:p w:rsidR="00962974" w:rsidRDefault="00962974" w:rsidP="00962974">
      <w:pPr>
        <w:rPr>
          <w:rFonts w:hint="cs"/>
          <w:rtl/>
        </w:rPr>
      </w:pPr>
      <w:r w:rsidRPr="002B0885">
        <w:rPr>
          <w:rFonts w:hint="cs"/>
          <w:b/>
          <w:bCs/>
          <w:rtl/>
        </w:rPr>
        <w:t>קונם יין שאני טועם היום</w:t>
      </w:r>
      <w:r>
        <w:rPr>
          <w:rFonts w:hint="cs"/>
          <w:rtl/>
        </w:rPr>
        <w:t xml:space="preserve">  - אינו אסור אלא עד שתחשך.</w:t>
      </w:r>
      <w:r>
        <w:rPr>
          <w:rStyle w:val="a5"/>
          <w:rtl/>
        </w:rPr>
        <w:footnoteReference w:id="1"/>
      </w:r>
      <w:r>
        <w:rPr>
          <w:rFonts w:hint="cs"/>
          <w:rtl/>
        </w:rPr>
        <w:br/>
      </w:r>
      <w:r w:rsidRPr="002B0885">
        <w:rPr>
          <w:rFonts w:hint="cs"/>
          <w:b/>
          <w:bCs/>
          <w:rtl/>
        </w:rPr>
        <w:t>שבת זו</w:t>
      </w:r>
      <w:r>
        <w:rPr>
          <w:rFonts w:hint="cs"/>
          <w:rtl/>
        </w:rPr>
        <w:t xml:space="preserve"> </w:t>
      </w:r>
      <w:r>
        <w:rPr>
          <w:rtl/>
        </w:rPr>
        <w:t>–</w:t>
      </w:r>
      <w:r>
        <w:rPr>
          <w:rFonts w:hint="cs"/>
          <w:rtl/>
        </w:rPr>
        <w:t xml:space="preserve"> אסור בכל השבת</w:t>
      </w:r>
      <w:r>
        <w:rPr>
          <w:rStyle w:val="a5"/>
          <w:rtl/>
        </w:rPr>
        <w:footnoteReference w:id="2"/>
      </w:r>
      <w:r>
        <w:rPr>
          <w:rFonts w:hint="cs"/>
          <w:rtl/>
        </w:rPr>
        <w:t>, וכולל השבת עצמה.</w:t>
      </w:r>
      <w:r>
        <w:rPr>
          <w:rStyle w:val="a5"/>
          <w:rtl/>
        </w:rPr>
        <w:footnoteReference w:id="3"/>
      </w:r>
      <w:r>
        <w:rPr>
          <w:rtl/>
        </w:rPr>
        <w:br/>
      </w:r>
      <w:r w:rsidRPr="002B0885">
        <w:rPr>
          <w:rFonts w:hint="cs"/>
          <w:b/>
          <w:bCs/>
          <w:rtl/>
        </w:rPr>
        <w:t>נדר ביום השבת עצמו</w:t>
      </w:r>
      <w:r>
        <w:rPr>
          <w:rFonts w:hint="cs"/>
          <w:rtl/>
        </w:rPr>
        <w:t xml:space="preserve"> </w:t>
      </w:r>
      <w:r>
        <w:rPr>
          <w:rtl/>
        </w:rPr>
        <w:t>–</w:t>
      </w:r>
      <w:r>
        <w:rPr>
          <w:rFonts w:hint="cs"/>
          <w:rtl/>
        </w:rPr>
        <w:t xml:space="preserve"> י"א שאסור כל השבוע הבא מלבד אותה שבת שעומד בה,</w:t>
      </w:r>
      <w:r>
        <w:rPr>
          <w:rtl/>
        </w:rPr>
        <w:br/>
      </w:r>
      <w:r>
        <w:rPr>
          <w:rFonts w:hint="cs"/>
          <w:rtl/>
        </w:rPr>
        <w:t>אבל הכרעת הר"ן שבאופן זה אסור רק באותה שבת עצמה עד שתחשך.</w:t>
      </w:r>
      <w:r>
        <w:rPr>
          <w:rtl/>
        </w:rPr>
        <w:br/>
      </w:r>
      <w:r w:rsidRPr="002B0885">
        <w:rPr>
          <w:rFonts w:hint="cs"/>
          <w:b/>
          <w:bCs/>
          <w:rtl/>
        </w:rPr>
        <w:t>חודש זה</w:t>
      </w:r>
      <w:r>
        <w:rPr>
          <w:rFonts w:hint="cs"/>
          <w:rtl/>
        </w:rPr>
        <w:t xml:space="preserve"> </w:t>
      </w:r>
      <w:r>
        <w:rPr>
          <w:rtl/>
        </w:rPr>
        <w:t>–</w:t>
      </w:r>
      <w:r>
        <w:rPr>
          <w:rFonts w:hint="cs"/>
          <w:rtl/>
        </w:rPr>
        <w:t xml:space="preserve"> אסור בכל החודש, וראש חודש שאחר החודש אינו בכלל האיסור.</w:t>
      </w:r>
      <w:r>
        <w:rPr>
          <w:rStyle w:val="a5"/>
          <w:rtl/>
        </w:rPr>
        <w:footnoteReference w:id="4"/>
      </w:r>
      <w:r>
        <w:rPr>
          <w:rFonts w:hint="cs"/>
          <w:rtl/>
        </w:rPr>
        <w:br/>
      </w:r>
      <w:r w:rsidRPr="002B0885">
        <w:rPr>
          <w:rFonts w:hint="cs"/>
          <w:b/>
          <w:bCs/>
          <w:rtl/>
        </w:rPr>
        <w:t>שנה זו</w:t>
      </w:r>
      <w:r>
        <w:rPr>
          <w:rFonts w:hint="cs"/>
          <w:rtl/>
        </w:rPr>
        <w:t xml:space="preserve"> </w:t>
      </w:r>
      <w:r>
        <w:rPr>
          <w:rtl/>
        </w:rPr>
        <w:t>–</w:t>
      </w:r>
      <w:r>
        <w:rPr>
          <w:rFonts w:hint="cs"/>
          <w:rtl/>
        </w:rPr>
        <w:t xml:space="preserve"> אסור בכל השנה, וראש השנה שאחרי שנה זו אינו בכלל האיסור.</w:t>
      </w:r>
      <w:r>
        <w:rPr>
          <w:rStyle w:val="a5"/>
          <w:rtl/>
        </w:rPr>
        <w:footnoteReference w:id="5"/>
      </w:r>
      <w:r>
        <w:rPr>
          <w:rtl/>
        </w:rPr>
        <w:br/>
      </w:r>
      <w:r w:rsidRPr="002B0885">
        <w:rPr>
          <w:rFonts w:hint="cs"/>
          <w:b/>
          <w:bCs/>
          <w:rtl/>
        </w:rPr>
        <w:t>שבוע זה</w:t>
      </w:r>
      <w:r>
        <w:rPr>
          <w:rStyle w:val="a5"/>
          <w:rtl/>
        </w:rPr>
        <w:footnoteReference w:id="6"/>
      </w:r>
      <w:r>
        <w:rPr>
          <w:rFonts w:hint="cs"/>
          <w:rtl/>
        </w:rPr>
        <w:t xml:space="preserve"> </w:t>
      </w:r>
      <w:r>
        <w:rPr>
          <w:rtl/>
        </w:rPr>
        <w:t>–</w:t>
      </w:r>
      <w:r>
        <w:rPr>
          <w:rFonts w:hint="cs"/>
          <w:rtl/>
        </w:rPr>
        <w:t xml:space="preserve"> אסור בכל השנים של אותו שבוע, כולל שנת השביעית.  </w:t>
      </w:r>
      <w:r>
        <w:rPr>
          <w:rtl/>
        </w:rPr>
        <w:br/>
      </w:r>
      <w:r w:rsidRPr="002B0885">
        <w:rPr>
          <w:rFonts w:hint="cs"/>
          <w:b/>
          <w:bCs/>
          <w:rtl/>
        </w:rPr>
        <w:t>נדר בשנת השביעית</w:t>
      </w:r>
      <w:r>
        <w:rPr>
          <w:rFonts w:hint="cs"/>
          <w:rtl/>
        </w:rPr>
        <w:t xml:space="preserve"> </w:t>
      </w:r>
      <w:r>
        <w:rPr>
          <w:rtl/>
        </w:rPr>
        <w:t>–</w:t>
      </w:r>
      <w:r>
        <w:rPr>
          <w:rFonts w:hint="cs"/>
          <w:rtl/>
        </w:rPr>
        <w:t xml:space="preserve"> י"א דאסור גם בה וגם בכל השבוע שאחריה, אבל להר"ן אסור רק בה.</w:t>
      </w:r>
      <w:r>
        <w:rPr>
          <w:rtl/>
        </w:rPr>
        <w:br/>
      </w:r>
      <w:r w:rsidRPr="002B0885">
        <w:rPr>
          <w:rFonts w:hint="cs"/>
          <w:b/>
          <w:bCs/>
          <w:rtl/>
        </w:rPr>
        <w:t>המודר הנאה מחבירו לשנה</w:t>
      </w:r>
      <w:r>
        <w:rPr>
          <w:rFonts w:hint="cs"/>
          <w:rtl/>
        </w:rPr>
        <w:t xml:space="preserve"> </w:t>
      </w:r>
      <w:r>
        <w:rPr>
          <w:rtl/>
        </w:rPr>
        <w:t>–</w:t>
      </w:r>
      <w:r>
        <w:rPr>
          <w:rFonts w:hint="cs"/>
          <w:rtl/>
        </w:rPr>
        <w:t xml:space="preserve"> אפי' עמד בכט אלול, הגיע א' תשרי עלתה לו שנה.</w:t>
      </w:r>
      <w:r>
        <w:rPr>
          <w:rStyle w:val="a5"/>
          <w:rtl/>
        </w:rPr>
        <w:footnoteReference w:id="7"/>
      </w:r>
    </w:p>
    <w:p w:rsidR="00962974" w:rsidRDefault="00962974" w:rsidP="00962974">
      <w:pPr>
        <w:rPr>
          <w:rFonts w:hint="cs"/>
          <w:rtl/>
        </w:rPr>
      </w:pPr>
      <w:r w:rsidRPr="002B0885">
        <w:rPr>
          <w:rFonts w:hint="cs"/>
          <w:b/>
          <w:bCs/>
          <w:rtl/>
        </w:rPr>
        <w:t>אמר יום אחד</w:t>
      </w:r>
      <w:r>
        <w:rPr>
          <w:rFonts w:hint="cs"/>
          <w:rtl/>
        </w:rPr>
        <w:t xml:space="preserve"> </w:t>
      </w:r>
      <w:r>
        <w:rPr>
          <w:rtl/>
        </w:rPr>
        <w:t>–</w:t>
      </w:r>
      <w:r>
        <w:rPr>
          <w:rFonts w:hint="cs"/>
          <w:rtl/>
        </w:rPr>
        <w:t xml:space="preserve"> אסור מעת לעת.</w:t>
      </w:r>
      <w:r>
        <w:rPr>
          <w:rtl/>
        </w:rPr>
        <w:br/>
      </w:r>
      <w:r w:rsidRPr="002B0885">
        <w:rPr>
          <w:rFonts w:hint="cs"/>
          <w:b/>
          <w:bCs/>
          <w:rtl/>
        </w:rPr>
        <w:t>שבת אחד</w:t>
      </w:r>
      <w:r>
        <w:rPr>
          <w:rFonts w:hint="cs"/>
          <w:rtl/>
        </w:rPr>
        <w:t xml:space="preserve"> </w:t>
      </w:r>
      <w:r>
        <w:rPr>
          <w:rtl/>
        </w:rPr>
        <w:t>–</w:t>
      </w:r>
      <w:r>
        <w:rPr>
          <w:rFonts w:hint="cs"/>
          <w:rtl/>
        </w:rPr>
        <w:t xml:space="preserve"> מיום ליום. וכן חודש אחד, שנה אחת, שבוע אחד.</w:t>
      </w:r>
      <w:r>
        <w:rPr>
          <w:rStyle w:val="a5"/>
          <w:rtl/>
        </w:rPr>
        <w:footnoteReference w:id="8"/>
      </w:r>
    </w:p>
    <w:p w:rsidR="00962974" w:rsidRDefault="00962974" w:rsidP="00962974">
      <w:pPr>
        <w:rPr>
          <w:rFonts w:hint="cs"/>
          <w:rtl/>
        </w:rPr>
      </w:pPr>
      <w:r w:rsidRPr="002B0885">
        <w:rPr>
          <w:rFonts w:hint="cs"/>
          <w:b/>
          <w:bCs/>
          <w:rtl/>
        </w:rPr>
        <w:t>עד הפסח</w:t>
      </w:r>
      <w:r>
        <w:rPr>
          <w:rFonts w:hint="cs"/>
          <w:rtl/>
        </w:rPr>
        <w:t xml:space="preserve"> </w:t>
      </w:r>
      <w:r>
        <w:rPr>
          <w:rtl/>
        </w:rPr>
        <w:t>–</w:t>
      </w:r>
      <w:r>
        <w:rPr>
          <w:rFonts w:hint="cs"/>
          <w:rtl/>
        </w:rPr>
        <w:t xml:space="preserve"> אסור עד שיגיע.</w:t>
      </w:r>
      <w:r>
        <w:rPr>
          <w:rtl/>
        </w:rPr>
        <w:br/>
      </w:r>
      <w:r w:rsidRPr="002B0885">
        <w:rPr>
          <w:rFonts w:hint="cs"/>
          <w:b/>
          <w:bCs/>
          <w:rtl/>
        </w:rPr>
        <w:t>עד שיהא</w:t>
      </w:r>
      <w:r>
        <w:rPr>
          <w:rFonts w:hint="cs"/>
          <w:rtl/>
        </w:rPr>
        <w:t xml:space="preserve"> </w:t>
      </w:r>
      <w:r>
        <w:rPr>
          <w:rtl/>
        </w:rPr>
        <w:t>–</w:t>
      </w:r>
      <w:r>
        <w:rPr>
          <w:rFonts w:hint="cs"/>
          <w:rtl/>
        </w:rPr>
        <w:t xml:space="preserve"> אסור עד שייצא.</w:t>
      </w:r>
      <w:r>
        <w:rPr>
          <w:rStyle w:val="a5"/>
          <w:rtl/>
        </w:rPr>
        <w:footnoteReference w:id="9"/>
      </w:r>
      <w:r>
        <w:rPr>
          <w:rtl/>
        </w:rPr>
        <w:br/>
      </w:r>
      <w:r w:rsidRPr="002B0885">
        <w:rPr>
          <w:rFonts w:hint="cs"/>
          <w:b/>
          <w:bCs/>
          <w:rtl/>
        </w:rPr>
        <w:t>עד פני הפסח</w:t>
      </w:r>
      <w:r>
        <w:rPr>
          <w:rFonts w:hint="cs"/>
          <w:rtl/>
        </w:rPr>
        <w:t xml:space="preserve"> </w:t>
      </w:r>
      <w:r>
        <w:rPr>
          <w:rtl/>
        </w:rPr>
        <w:t>–</w:t>
      </w:r>
      <w:r>
        <w:rPr>
          <w:rFonts w:hint="cs"/>
          <w:rtl/>
        </w:rPr>
        <w:t xml:space="preserve"> לר"מ אסור עד שיגיע לר"י עד שייצא.</w:t>
      </w:r>
      <w:r>
        <w:rPr>
          <w:rStyle w:val="a5"/>
          <w:rtl/>
        </w:rPr>
        <w:footnoteReference w:id="10"/>
      </w:r>
    </w:p>
    <w:p w:rsidR="00962974" w:rsidRDefault="00962974" w:rsidP="00962974">
      <w:pPr>
        <w:rPr>
          <w:rFonts w:hint="cs"/>
          <w:rtl/>
        </w:rPr>
      </w:pPr>
      <w:r w:rsidRPr="002B0885">
        <w:rPr>
          <w:rFonts w:hint="cs"/>
          <w:b/>
          <w:bCs/>
          <w:rtl/>
        </w:rPr>
        <w:t>קונם יין שאני טועם היום</w:t>
      </w:r>
      <w:r>
        <w:rPr>
          <w:rFonts w:hint="cs"/>
          <w:rtl/>
        </w:rPr>
        <w:t xml:space="preserve"> </w:t>
      </w:r>
      <w:r>
        <w:rPr>
          <w:rtl/>
        </w:rPr>
        <w:t>–</w:t>
      </w:r>
      <w:r>
        <w:rPr>
          <w:rFonts w:hint="cs"/>
          <w:rtl/>
        </w:rPr>
        <w:t xml:space="preserve"> מדינא מותר כשתחשך, וגזרו שצריך שאלה לחכם.</w:t>
      </w:r>
      <w:r>
        <w:rPr>
          <w:rStyle w:val="a5"/>
          <w:rtl/>
        </w:rPr>
        <w:footnoteReference w:id="11"/>
      </w:r>
      <w:r>
        <w:rPr>
          <w:rtl/>
        </w:rPr>
        <w:br/>
      </w:r>
      <w:r>
        <w:rPr>
          <w:rFonts w:hint="cs"/>
          <w:rtl/>
        </w:rPr>
        <w:t>וה"ה כל נדר שנדר לאותו יום.</w:t>
      </w:r>
      <w:r>
        <w:rPr>
          <w:rStyle w:val="a5"/>
          <w:rtl/>
        </w:rPr>
        <w:footnoteReference w:id="12"/>
      </w:r>
    </w:p>
    <w:p w:rsidR="00962974" w:rsidRPr="002B0885" w:rsidRDefault="00962974" w:rsidP="00962974">
      <w:pPr>
        <w:rPr>
          <w:rFonts w:hint="cs"/>
          <w:b/>
          <w:bCs/>
          <w:i/>
          <w:iCs/>
          <w:rtl/>
        </w:rPr>
      </w:pPr>
      <w:r w:rsidRPr="002B0885">
        <w:rPr>
          <w:rFonts w:hint="cs"/>
          <w:b/>
          <w:bCs/>
          <w:i/>
          <w:iCs/>
          <w:rtl/>
        </w:rPr>
        <w:t>ס:</w:t>
      </w:r>
    </w:p>
    <w:p w:rsidR="00962974" w:rsidRDefault="00962974" w:rsidP="00962974">
      <w:pPr>
        <w:rPr>
          <w:rFonts w:hint="cs"/>
          <w:rtl/>
        </w:rPr>
      </w:pPr>
      <w:r w:rsidRPr="002B0885">
        <w:rPr>
          <w:rFonts w:hint="cs"/>
          <w:b/>
          <w:bCs/>
          <w:rtl/>
        </w:rPr>
        <w:t>הנודר</w:t>
      </w:r>
      <w:r>
        <w:rPr>
          <w:rFonts w:hint="cs"/>
          <w:rtl/>
        </w:rPr>
        <w:t xml:space="preserve"> </w:t>
      </w:r>
      <w:r>
        <w:rPr>
          <w:rtl/>
        </w:rPr>
        <w:t>–</w:t>
      </w:r>
      <w:r>
        <w:rPr>
          <w:rFonts w:hint="cs"/>
          <w:rtl/>
        </w:rPr>
        <w:t xml:space="preserve"> כאילו בנה במה. </w:t>
      </w:r>
      <w:r w:rsidRPr="002B0885">
        <w:rPr>
          <w:rFonts w:hint="cs"/>
          <w:b/>
          <w:bCs/>
          <w:rtl/>
        </w:rPr>
        <w:t>המקיימו</w:t>
      </w:r>
      <w:r>
        <w:rPr>
          <w:rFonts w:hint="cs"/>
          <w:rtl/>
        </w:rPr>
        <w:t xml:space="preserve"> </w:t>
      </w:r>
      <w:r>
        <w:rPr>
          <w:rtl/>
        </w:rPr>
        <w:t>–</w:t>
      </w:r>
      <w:r>
        <w:rPr>
          <w:rFonts w:hint="cs"/>
          <w:rtl/>
        </w:rPr>
        <w:t xml:space="preserve"> כאילו הקריב עליה קרבן.</w:t>
      </w:r>
      <w:r>
        <w:rPr>
          <w:rStyle w:val="a5"/>
          <w:rtl/>
        </w:rPr>
        <w:footnoteReference w:id="13"/>
      </w:r>
      <w:r>
        <w:rPr>
          <w:rtl/>
        </w:rPr>
        <w:br/>
      </w:r>
      <w:r w:rsidRPr="002B0885">
        <w:rPr>
          <w:rFonts w:hint="cs"/>
          <w:b/>
          <w:bCs/>
          <w:rtl/>
        </w:rPr>
        <w:t>המקבל עליו תענית יחיד</w:t>
      </w:r>
      <w:r>
        <w:rPr>
          <w:rFonts w:hint="cs"/>
          <w:rtl/>
        </w:rPr>
        <w:t xml:space="preserve"> </w:t>
      </w:r>
      <w:r>
        <w:rPr>
          <w:rtl/>
        </w:rPr>
        <w:t>–</w:t>
      </w:r>
      <w:r>
        <w:rPr>
          <w:rFonts w:hint="cs"/>
          <w:rtl/>
        </w:rPr>
        <w:t xml:space="preserve"> אסור לאכול עד שתחשך ואין צריך שאלה לחכם.</w:t>
      </w:r>
      <w:r>
        <w:rPr>
          <w:rtl/>
        </w:rPr>
        <w:br/>
      </w:r>
      <w:r>
        <w:rPr>
          <w:rFonts w:hint="cs"/>
          <w:rtl/>
        </w:rPr>
        <w:t>להר"ן הוא דין מיוחד בתענית. ולהרשב"א בכל נדר שמתחיל מעלות השחר.</w:t>
      </w:r>
      <w:r>
        <w:rPr>
          <w:rtl/>
        </w:rPr>
        <w:br/>
      </w:r>
      <w:r w:rsidRPr="002B0885">
        <w:rPr>
          <w:rFonts w:hint="cs"/>
          <w:b/>
          <w:bCs/>
          <w:rtl/>
        </w:rPr>
        <w:t>המקבל עליו להתענות יום אחד</w:t>
      </w:r>
      <w:r>
        <w:rPr>
          <w:rFonts w:hint="cs"/>
          <w:rtl/>
        </w:rPr>
        <w:t xml:space="preserve"> </w:t>
      </w:r>
      <w:r>
        <w:rPr>
          <w:rtl/>
        </w:rPr>
        <w:t>–</w:t>
      </w:r>
      <w:r>
        <w:rPr>
          <w:rFonts w:hint="cs"/>
          <w:rtl/>
        </w:rPr>
        <w:t xml:space="preserve"> היינו מעלות השחר, וא"צ מעת לעת.</w:t>
      </w:r>
      <w:r>
        <w:rPr>
          <w:rStyle w:val="a5"/>
          <w:rtl/>
        </w:rPr>
        <w:footnoteReference w:id="14"/>
      </w:r>
      <w:r>
        <w:rPr>
          <w:rtl/>
        </w:rPr>
        <w:br/>
      </w:r>
      <w:r w:rsidRPr="002B0885">
        <w:rPr>
          <w:rFonts w:hint="cs"/>
          <w:b/>
          <w:bCs/>
          <w:rtl/>
        </w:rPr>
        <w:t>הנודר ללמוד או לקיים מצוה היום</w:t>
      </w:r>
      <w:r>
        <w:rPr>
          <w:rFonts w:hint="cs"/>
          <w:rtl/>
        </w:rPr>
        <w:t xml:space="preserve"> </w:t>
      </w:r>
      <w:r>
        <w:rPr>
          <w:rtl/>
        </w:rPr>
        <w:t>–</w:t>
      </w:r>
      <w:r>
        <w:rPr>
          <w:rFonts w:hint="cs"/>
          <w:rtl/>
        </w:rPr>
        <w:t xml:space="preserve"> אינו צריך שאלה.</w:t>
      </w:r>
    </w:p>
    <w:p w:rsidR="00962974" w:rsidRDefault="00962974" w:rsidP="00962974">
      <w:pPr>
        <w:rPr>
          <w:rFonts w:hint="cs"/>
          <w:rtl/>
        </w:rPr>
      </w:pPr>
      <w:r w:rsidRPr="002B0885">
        <w:rPr>
          <w:rFonts w:hint="cs"/>
          <w:b/>
          <w:bCs/>
          <w:rtl/>
        </w:rPr>
        <w:lastRenderedPageBreak/>
        <w:t>חודש זה</w:t>
      </w:r>
      <w:r>
        <w:rPr>
          <w:rFonts w:hint="cs"/>
          <w:rtl/>
        </w:rPr>
        <w:t xml:space="preserve"> </w:t>
      </w:r>
      <w:r>
        <w:rPr>
          <w:rtl/>
        </w:rPr>
        <w:t>–</w:t>
      </w:r>
      <w:r>
        <w:rPr>
          <w:rFonts w:hint="cs"/>
          <w:rtl/>
        </w:rPr>
        <w:t xml:space="preserve"> מותר בראש חודש שלאחריו אפילו בא' דראש חודש.</w:t>
      </w:r>
      <w:r>
        <w:rPr>
          <w:rStyle w:val="a5"/>
          <w:rtl/>
        </w:rPr>
        <w:footnoteReference w:id="15"/>
      </w:r>
      <w:r>
        <w:rPr>
          <w:rtl/>
        </w:rPr>
        <w:br/>
      </w:r>
      <w:r w:rsidRPr="002B0885">
        <w:rPr>
          <w:rFonts w:hint="cs"/>
          <w:b/>
          <w:bCs/>
          <w:rtl/>
        </w:rPr>
        <w:t>הכותב שטר בא' דראש חודש</w:t>
      </w:r>
      <w:r>
        <w:rPr>
          <w:rFonts w:hint="cs"/>
          <w:rtl/>
        </w:rPr>
        <w:t xml:space="preserve"> </w:t>
      </w:r>
      <w:r>
        <w:rPr>
          <w:rtl/>
        </w:rPr>
        <w:t>–</w:t>
      </w:r>
      <w:r>
        <w:rPr>
          <w:rFonts w:hint="cs"/>
          <w:rtl/>
        </w:rPr>
        <w:t xml:space="preserve"> כותב שם החודש שלאחריו. ואם כתב החודש שמסתיים, פסול.</w:t>
      </w:r>
      <w:r>
        <w:rPr>
          <w:rStyle w:val="a5"/>
          <w:rtl/>
        </w:rPr>
        <w:footnoteReference w:id="16"/>
      </w:r>
      <w:r>
        <w:rPr>
          <w:rtl/>
        </w:rPr>
        <w:br/>
      </w:r>
      <w:r w:rsidRPr="002B0885">
        <w:rPr>
          <w:rFonts w:hint="cs"/>
          <w:b/>
          <w:bCs/>
          <w:rtl/>
        </w:rPr>
        <w:t>בגט שנכתב בא' דראש חודש מרחשון</w:t>
      </w:r>
      <w:r>
        <w:rPr>
          <w:rFonts w:hint="cs"/>
          <w:rtl/>
        </w:rPr>
        <w:t xml:space="preserve"> </w:t>
      </w:r>
      <w:r>
        <w:rPr>
          <w:rtl/>
        </w:rPr>
        <w:t>–</w:t>
      </w:r>
      <w:r>
        <w:rPr>
          <w:rFonts w:hint="cs"/>
          <w:rtl/>
        </w:rPr>
        <w:t xml:space="preserve"> יש לכתוב ביום ל' לחודש תשרי שהוא ר"ח מרחשון.</w:t>
      </w:r>
      <w:r>
        <w:rPr>
          <w:rStyle w:val="a5"/>
          <w:rtl/>
        </w:rPr>
        <w:footnoteReference w:id="17"/>
      </w:r>
    </w:p>
    <w:p w:rsidR="00962974" w:rsidRDefault="00962974" w:rsidP="00962974">
      <w:pPr>
        <w:rPr>
          <w:rtl/>
        </w:rPr>
      </w:pPr>
      <w:r w:rsidRPr="002B0885">
        <w:rPr>
          <w:rFonts w:hint="cs"/>
          <w:b/>
          <w:bCs/>
          <w:rtl/>
        </w:rPr>
        <w:t>קונם יין שאני טועם יום</w:t>
      </w:r>
      <w:r>
        <w:rPr>
          <w:rFonts w:hint="cs"/>
          <w:rtl/>
        </w:rPr>
        <w:t xml:space="preserve"> </w:t>
      </w:r>
      <w:r>
        <w:rPr>
          <w:rtl/>
        </w:rPr>
        <w:t>–</w:t>
      </w:r>
      <w:r>
        <w:rPr>
          <w:rFonts w:hint="cs"/>
          <w:rtl/>
        </w:rPr>
        <w:t xml:space="preserve"> מספקא לן אי עד שתחשך או מעת לעת, ולא איפשטא. ויש להחמיר.</w:t>
      </w:r>
      <w:r>
        <w:rPr>
          <w:rtl/>
        </w:rPr>
        <w:br/>
      </w:r>
      <w:r w:rsidRPr="002B0885">
        <w:rPr>
          <w:rFonts w:hint="cs"/>
          <w:b/>
          <w:bCs/>
          <w:rtl/>
        </w:rPr>
        <w:t>קונם יין שאני טועם השנה</w:t>
      </w:r>
      <w:r>
        <w:rPr>
          <w:rFonts w:hint="cs"/>
          <w:rtl/>
        </w:rPr>
        <w:t xml:space="preserve"> </w:t>
      </w:r>
      <w:r>
        <w:rPr>
          <w:rtl/>
        </w:rPr>
        <w:t>–</w:t>
      </w:r>
      <w:r>
        <w:rPr>
          <w:rFonts w:hint="cs"/>
          <w:rtl/>
        </w:rPr>
        <w:t xml:space="preserve"> נתעברה, אסור עד סופה, אף שנדר בתחילת השנה.</w:t>
      </w:r>
      <w:r>
        <w:rPr>
          <w:rtl/>
        </w:rPr>
        <w:br/>
      </w:r>
      <w:r w:rsidRPr="002B0885">
        <w:rPr>
          <w:rFonts w:hint="cs"/>
          <w:b/>
          <w:bCs/>
          <w:rtl/>
        </w:rPr>
        <w:t>נדר שנה</w:t>
      </w:r>
      <w:r>
        <w:rPr>
          <w:rFonts w:hint="cs"/>
          <w:rtl/>
        </w:rPr>
        <w:t xml:space="preserve"> </w:t>
      </w:r>
      <w:r>
        <w:rPr>
          <w:rtl/>
        </w:rPr>
        <w:t>–</w:t>
      </w:r>
      <w:r>
        <w:rPr>
          <w:rFonts w:hint="cs"/>
          <w:rtl/>
        </w:rPr>
        <w:t xml:space="preserve"> הוי ספיקא אי עד סופה או מיום ליום.</w:t>
      </w:r>
    </w:p>
    <w:p w:rsidR="00CC6452" w:rsidRDefault="00CC6452"/>
    <w:sectPr w:rsidR="00CC6452" w:rsidSect="00BF1BCC">
      <w:pgSz w:w="11907" w:h="16839" w:code="9"/>
      <w:pgMar w:top="1440" w:right="1797" w:bottom="1440" w:left="179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F8A" w:rsidRDefault="007F2F8A" w:rsidP="00962974">
      <w:pPr>
        <w:spacing w:after="0" w:line="240" w:lineRule="auto"/>
      </w:pPr>
      <w:r>
        <w:separator/>
      </w:r>
    </w:p>
  </w:endnote>
  <w:endnote w:type="continuationSeparator" w:id="0">
    <w:p w:rsidR="007F2F8A" w:rsidRDefault="007F2F8A" w:rsidP="00962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F8A" w:rsidRDefault="007F2F8A" w:rsidP="00962974">
      <w:pPr>
        <w:spacing w:after="0" w:line="240" w:lineRule="auto"/>
      </w:pPr>
      <w:r>
        <w:separator/>
      </w:r>
    </w:p>
  </w:footnote>
  <w:footnote w:type="continuationSeparator" w:id="0">
    <w:p w:rsidR="007F2F8A" w:rsidRDefault="007F2F8A" w:rsidP="00962974">
      <w:pPr>
        <w:spacing w:after="0" w:line="240" w:lineRule="auto"/>
      </w:pPr>
      <w:r>
        <w:continuationSeparator/>
      </w:r>
    </w:p>
  </w:footnote>
  <w:footnote w:id="1">
    <w:p w:rsidR="00962974" w:rsidRDefault="00962974" w:rsidP="00962974">
      <w:pPr>
        <w:pStyle w:val="a3"/>
        <w:rPr>
          <w:rFonts w:hint="cs"/>
        </w:rPr>
      </w:pPr>
      <w:r>
        <w:rPr>
          <w:rStyle w:val="a5"/>
        </w:rPr>
        <w:footnoteRef/>
      </w:r>
      <w:r>
        <w:rPr>
          <w:rtl/>
        </w:rPr>
        <w:t xml:space="preserve"> </w:t>
      </w:r>
      <w:r>
        <w:rPr>
          <w:rFonts w:hint="cs"/>
          <w:rtl/>
        </w:rPr>
        <w:t>ולא מעת לעת. ואין נפ"מ אם עומד בתחילת היום או קרוב לסופו.</w:t>
      </w:r>
    </w:p>
  </w:footnote>
  <w:footnote w:id="2">
    <w:p w:rsidR="00962974" w:rsidRDefault="00962974" w:rsidP="00962974">
      <w:pPr>
        <w:pStyle w:val="a3"/>
        <w:rPr>
          <w:rFonts w:hint="cs"/>
        </w:rPr>
      </w:pPr>
      <w:r>
        <w:rPr>
          <w:rStyle w:val="a5"/>
        </w:rPr>
        <w:footnoteRef/>
      </w:r>
      <w:r>
        <w:rPr>
          <w:rtl/>
        </w:rPr>
        <w:t xml:space="preserve"> </w:t>
      </w:r>
      <w:r>
        <w:rPr>
          <w:rFonts w:hint="cs"/>
          <w:rtl/>
        </w:rPr>
        <w:t>הוא מה שנקרא בזמנינו שבוע.</w:t>
      </w:r>
    </w:p>
  </w:footnote>
  <w:footnote w:id="3">
    <w:p w:rsidR="00962974" w:rsidRDefault="00962974" w:rsidP="00962974">
      <w:pPr>
        <w:pStyle w:val="a3"/>
        <w:rPr>
          <w:rFonts w:hint="cs"/>
          <w:rtl/>
        </w:rPr>
      </w:pPr>
      <w:r>
        <w:rPr>
          <w:rStyle w:val="a5"/>
        </w:rPr>
        <w:footnoteRef/>
      </w:r>
      <w:r>
        <w:rPr>
          <w:rtl/>
        </w:rPr>
        <w:t xml:space="preserve"> </w:t>
      </w:r>
      <w:r>
        <w:rPr>
          <w:rFonts w:hint="cs"/>
          <w:rtl/>
        </w:rPr>
        <w:t>לפי הכרעת הר"ן מדובר שעומד באמצע ימות השבוע, ונאסר מאותו רגע עד מוצאי שבת.</w:t>
      </w:r>
    </w:p>
  </w:footnote>
  <w:footnote w:id="4">
    <w:p w:rsidR="00962974" w:rsidRDefault="00962974" w:rsidP="00962974">
      <w:pPr>
        <w:pStyle w:val="a3"/>
        <w:rPr>
          <w:rFonts w:hint="cs"/>
        </w:rPr>
      </w:pPr>
      <w:r>
        <w:rPr>
          <w:rStyle w:val="a5"/>
        </w:rPr>
        <w:footnoteRef/>
      </w:r>
      <w:r>
        <w:rPr>
          <w:rtl/>
        </w:rPr>
        <w:t xml:space="preserve"> </w:t>
      </w:r>
      <w:r>
        <w:rPr>
          <w:rFonts w:hint="cs"/>
          <w:rtl/>
        </w:rPr>
        <w:t>להלן בעמ' ב' מבואר לפי ביאור הר"ן, שאף יום ל' של חודש זה שהוא א' דראש חודש אינו בכלל האיסור.</w:t>
      </w:r>
    </w:p>
  </w:footnote>
  <w:footnote w:id="5">
    <w:p w:rsidR="00962974" w:rsidRDefault="00962974" w:rsidP="00962974">
      <w:pPr>
        <w:pStyle w:val="a3"/>
        <w:rPr>
          <w:rFonts w:hint="cs"/>
        </w:rPr>
      </w:pPr>
      <w:r>
        <w:rPr>
          <w:rStyle w:val="a5"/>
        </w:rPr>
        <w:footnoteRef/>
      </w:r>
      <w:r>
        <w:rPr>
          <w:rtl/>
        </w:rPr>
        <w:t xml:space="preserve"> </w:t>
      </w:r>
      <w:r>
        <w:rPr>
          <w:rFonts w:hint="cs"/>
          <w:rtl/>
        </w:rPr>
        <w:t>ופשיטא דאף א' דר"ה מותר אף דאלול חסר.</w:t>
      </w:r>
    </w:p>
  </w:footnote>
  <w:footnote w:id="6">
    <w:p w:rsidR="00962974" w:rsidRDefault="00962974" w:rsidP="00962974">
      <w:pPr>
        <w:pStyle w:val="a3"/>
        <w:rPr>
          <w:rFonts w:hint="cs"/>
        </w:rPr>
      </w:pPr>
      <w:r>
        <w:rPr>
          <w:rStyle w:val="a5"/>
        </w:rPr>
        <w:footnoteRef/>
      </w:r>
      <w:r>
        <w:rPr>
          <w:rtl/>
        </w:rPr>
        <w:t xml:space="preserve"> </w:t>
      </w:r>
      <w:r>
        <w:rPr>
          <w:rFonts w:hint="cs"/>
          <w:rtl/>
        </w:rPr>
        <w:t>היינו בלשון חז"ל שהכוונה לשביעיה של השנים. יתכן שבזמנינו הדין ישתנה לפי לשון בני אדם היום.</w:t>
      </w:r>
    </w:p>
  </w:footnote>
  <w:footnote w:id="7">
    <w:p w:rsidR="00962974" w:rsidRDefault="00962974" w:rsidP="00962974">
      <w:pPr>
        <w:pStyle w:val="a3"/>
        <w:rPr>
          <w:rFonts w:hint="cs"/>
        </w:rPr>
      </w:pPr>
      <w:r>
        <w:rPr>
          <w:rStyle w:val="a5"/>
        </w:rPr>
        <w:footnoteRef/>
      </w:r>
      <w:r>
        <w:rPr>
          <w:rtl/>
        </w:rPr>
        <w:t xml:space="preserve"> </w:t>
      </w:r>
      <w:r>
        <w:rPr>
          <w:rFonts w:hint="cs"/>
          <w:rtl/>
        </w:rPr>
        <w:t>ר"ן מגמרא במסכת ר"ה.</w:t>
      </w:r>
    </w:p>
  </w:footnote>
  <w:footnote w:id="8">
    <w:p w:rsidR="00962974" w:rsidRDefault="00962974" w:rsidP="00962974">
      <w:pPr>
        <w:pStyle w:val="a3"/>
        <w:rPr>
          <w:rFonts w:hint="cs"/>
        </w:rPr>
      </w:pPr>
      <w:r>
        <w:rPr>
          <w:rStyle w:val="a5"/>
        </w:rPr>
        <w:footnoteRef/>
      </w:r>
      <w:r>
        <w:rPr>
          <w:rtl/>
        </w:rPr>
        <w:t xml:space="preserve"> </w:t>
      </w:r>
      <w:r>
        <w:rPr>
          <w:rFonts w:hint="cs"/>
          <w:rtl/>
        </w:rPr>
        <w:t>כלומר שבת אחת, ועמד ביום ג', אסור שבעה ימים עד יום ג' שאחריו. חודש אחד, אסור במשך חודש עד אותו יום בחודש הבא. שנה אחת אסור במשך שנה עד אותו יום בשנה הבאה. שבוע אחד אסור במשך שבע שנים עד אותו יום באותה שנה לשמיטה הבאה.</w:t>
      </w:r>
    </w:p>
  </w:footnote>
  <w:footnote w:id="9">
    <w:p w:rsidR="00962974" w:rsidRDefault="00962974" w:rsidP="00962974">
      <w:pPr>
        <w:pStyle w:val="a3"/>
        <w:rPr>
          <w:rFonts w:hint="cs"/>
        </w:rPr>
      </w:pPr>
      <w:r>
        <w:rPr>
          <w:rStyle w:val="a5"/>
        </w:rPr>
        <w:footnoteRef/>
      </w:r>
      <w:r>
        <w:rPr>
          <w:rtl/>
        </w:rPr>
        <w:t xml:space="preserve"> </w:t>
      </w:r>
      <w:r>
        <w:rPr>
          <w:rFonts w:hint="cs"/>
          <w:rtl/>
        </w:rPr>
        <w:t>להלן מבואר שאין זה כללא, אלא רק בכגון פסח שזמנו קצוב שבעה ימים.</w:t>
      </w:r>
    </w:p>
  </w:footnote>
  <w:footnote w:id="10">
    <w:p w:rsidR="00962974" w:rsidRDefault="00962974" w:rsidP="00962974">
      <w:pPr>
        <w:pStyle w:val="a3"/>
        <w:rPr>
          <w:rFonts w:hint="cs"/>
        </w:rPr>
      </w:pPr>
      <w:r>
        <w:rPr>
          <w:rStyle w:val="a5"/>
        </w:rPr>
        <w:footnoteRef/>
      </w:r>
      <w:r>
        <w:rPr>
          <w:rtl/>
        </w:rPr>
        <w:t xml:space="preserve"> </w:t>
      </w:r>
      <w:r>
        <w:rPr>
          <w:rFonts w:hint="cs"/>
          <w:rtl/>
        </w:rPr>
        <w:t>בסוגיא אצלינו מבואר דפליגי אי מחית אינש נפשיה לספיקא ושיטתם הפוכה, ועיי"ש בר"ן דבסוגיא דקידושין מסקינן אחרת ונפ"מ להלכה, ועי"ש להלכה.</w:t>
      </w:r>
    </w:p>
  </w:footnote>
  <w:footnote w:id="11">
    <w:p w:rsidR="00962974" w:rsidRDefault="00962974" w:rsidP="00962974">
      <w:pPr>
        <w:pStyle w:val="a3"/>
        <w:rPr>
          <w:rFonts w:hint="cs"/>
        </w:rPr>
      </w:pPr>
      <w:r>
        <w:rPr>
          <w:rStyle w:val="a5"/>
        </w:rPr>
        <w:footnoteRef/>
      </w:r>
      <w:r>
        <w:rPr>
          <w:rtl/>
        </w:rPr>
        <w:t xml:space="preserve"> </w:t>
      </w:r>
      <w:r>
        <w:rPr>
          <w:rFonts w:hint="cs"/>
          <w:rtl/>
        </w:rPr>
        <w:t>אם רוצה לטעום בפחות מעת לעת. ומבואר בגמרא דגזירה זו רחוקה אלא שהיא בצירוף מה שאסור לקיים נדר בלא להישאל עליו. ועי' להלן דבנדרי מצוה א"צ שאלה.</w:t>
      </w:r>
    </w:p>
  </w:footnote>
  <w:footnote w:id="12">
    <w:p w:rsidR="00962974" w:rsidRDefault="00962974" w:rsidP="00962974">
      <w:pPr>
        <w:pStyle w:val="a3"/>
        <w:rPr>
          <w:rFonts w:hint="cs"/>
          <w:rtl/>
        </w:rPr>
      </w:pPr>
      <w:r>
        <w:rPr>
          <w:rStyle w:val="a5"/>
        </w:rPr>
        <w:footnoteRef/>
      </w:r>
      <w:r>
        <w:rPr>
          <w:rtl/>
        </w:rPr>
        <w:t xml:space="preserve"> </w:t>
      </w:r>
      <w:r>
        <w:rPr>
          <w:rFonts w:hint="cs"/>
          <w:rtl/>
        </w:rPr>
        <w:t>אלא דלהרשב"א בעמ' ב' דוקא כשנדר באמצע היום, אבל אם היה אסור מעלות השחר לכאורה א"צ שאלה, והר"ן לא מסכים עמו בזה.</w:t>
      </w:r>
    </w:p>
  </w:footnote>
  <w:footnote w:id="13">
    <w:p w:rsidR="00962974" w:rsidRDefault="00962974" w:rsidP="00962974">
      <w:pPr>
        <w:pStyle w:val="a3"/>
        <w:rPr>
          <w:rFonts w:hint="cs"/>
        </w:rPr>
      </w:pPr>
      <w:r>
        <w:rPr>
          <w:rStyle w:val="a5"/>
        </w:rPr>
        <w:footnoteRef/>
      </w:r>
      <w:r>
        <w:rPr>
          <w:rtl/>
        </w:rPr>
        <w:t xml:space="preserve"> </w:t>
      </w:r>
      <w:r>
        <w:rPr>
          <w:rFonts w:hint="cs"/>
          <w:rtl/>
        </w:rPr>
        <w:t>נתפרש בר"ן לעיל כב עמ' א'.</w:t>
      </w:r>
    </w:p>
  </w:footnote>
  <w:footnote w:id="14">
    <w:p w:rsidR="00962974" w:rsidRDefault="00962974" w:rsidP="00962974">
      <w:pPr>
        <w:pStyle w:val="a3"/>
        <w:rPr>
          <w:rFonts w:hint="cs"/>
        </w:rPr>
      </w:pPr>
      <w:r>
        <w:rPr>
          <w:rStyle w:val="a5"/>
        </w:rPr>
        <w:footnoteRef/>
      </w:r>
      <w:r>
        <w:rPr>
          <w:rtl/>
        </w:rPr>
        <w:t xml:space="preserve"> </w:t>
      </w:r>
      <w:r>
        <w:rPr>
          <w:rFonts w:hint="cs"/>
          <w:rtl/>
        </w:rPr>
        <w:t>שכוונתו כעין תענית שקבעו חכמים בתקנתם.</w:t>
      </w:r>
    </w:p>
  </w:footnote>
  <w:footnote w:id="15">
    <w:p w:rsidR="00962974" w:rsidRDefault="00962974" w:rsidP="00962974">
      <w:pPr>
        <w:pStyle w:val="a3"/>
        <w:rPr>
          <w:rFonts w:hint="cs"/>
        </w:rPr>
      </w:pPr>
      <w:r>
        <w:rPr>
          <w:rStyle w:val="a5"/>
        </w:rPr>
        <w:footnoteRef/>
      </w:r>
      <w:r>
        <w:rPr>
          <w:rtl/>
        </w:rPr>
        <w:t xml:space="preserve"> </w:t>
      </w:r>
      <w:r>
        <w:rPr>
          <w:rFonts w:hint="cs"/>
          <w:rtl/>
        </w:rPr>
        <w:t>כן הוא לגירסת הר"ן. לפנינו הגירסה שונה, וצ"ע לדינא.</w:t>
      </w:r>
    </w:p>
  </w:footnote>
  <w:footnote w:id="16">
    <w:p w:rsidR="00962974" w:rsidRDefault="00962974" w:rsidP="00962974">
      <w:pPr>
        <w:pStyle w:val="a3"/>
        <w:rPr>
          <w:rFonts w:hint="cs"/>
          <w:rtl/>
        </w:rPr>
      </w:pPr>
      <w:r>
        <w:rPr>
          <w:rStyle w:val="a5"/>
        </w:rPr>
        <w:footnoteRef/>
      </w:r>
      <w:r>
        <w:rPr>
          <w:rtl/>
        </w:rPr>
        <w:t xml:space="preserve"> </w:t>
      </w:r>
      <w:r>
        <w:rPr>
          <w:rFonts w:hint="cs"/>
          <w:rtl/>
        </w:rPr>
        <w:t>מהר"ן משמע דבחודש שתחילתו בשני ימי ראש חודש, בא' לחודש כותב ב'. ובב' לחודש כותב ג', ואי כתב ב' פסול משום מוקדם. וצל"ע.</w:t>
      </w:r>
    </w:p>
  </w:footnote>
  <w:footnote w:id="17">
    <w:p w:rsidR="00962974" w:rsidRDefault="00962974" w:rsidP="00962974">
      <w:pPr>
        <w:pStyle w:val="a3"/>
        <w:rPr>
          <w:rFonts w:hint="cs"/>
        </w:rPr>
      </w:pPr>
      <w:r>
        <w:rPr>
          <w:rStyle w:val="a5"/>
        </w:rPr>
        <w:footnoteRef/>
      </w:r>
      <w:r>
        <w:rPr>
          <w:rtl/>
        </w:rPr>
        <w:t xml:space="preserve"> </w:t>
      </w:r>
      <w:r>
        <w:rPr>
          <w:rFonts w:hint="cs"/>
          <w:rtl/>
        </w:rPr>
        <w:t>כ"כ הר"ן בשם הרשב"א בשם תוס' שראוי להחמיר.</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962974"/>
    <w:rsid w:val="000378D4"/>
    <w:rsid w:val="00240196"/>
    <w:rsid w:val="00294D17"/>
    <w:rsid w:val="005A5BAA"/>
    <w:rsid w:val="007F2F8A"/>
    <w:rsid w:val="00962974"/>
    <w:rsid w:val="00AF7868"/>
    <w:rsid w:val="00BF1BCC"/>
    <w:rsid w:val="00C346B2"/>
    <w:rsid w:val="00CB1415"/>
    <w:rsid w:val="00CC64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7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2974"/>
    <w:pPr>
      <w:spacing w:after="0" w:line="240" w:lineRule="auto"/>
    </w:pPr>
    <w:rPr>
      <w:sz w:val="20"/>
      <w:szCs w:val="20"/>
    </w:rPr>
  </w:style>
  <w:style w:type="character" w:customStyle="1" w:styleId="a4">
    <w:name w:val="טקסט הערת שוליים תו"/>
    <w:basedOn w:val="a0"/>
    <w:link w:val="a3"/>
    <w:uiPriority w:val="99"/>
    <w:semiHidden/>
    <w:rsid w:val="00962974"/>
    <w:rPr>
      <w:sz w:val="20"/>
      <w:szCs w:val="20"/>
    </w:rPr>
  </w:style>
  <w:style w:type="character" w:styleId="a5">
    <w:name w:val="footnote reference"/>
    <w:basedOn w:val="a0"/>
    <w:uiPriority w:val="99"/>
    <w:semiHidden/>
    <w:unhideWhenUsed/>
    <w:rsid w:val="0096297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1309</Characters>
  <Application>Microsoft Office Word</Application>
  <DocSecurity>0</DocSecurity>
  <Lines>10</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2015-07-24T15:13:00Z</dcterms:created>
  <dcterms:modified xsi:type="dcterms:W3CDTF">2015-07-24T15:14:00Z</dcterms:modified>
</cp:coreProperties>
</file>