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0" w:type="auto"/>
        <w:tblLook w:val="0000" w:firstRow="0" w:lastRow="0" w:firstColumn="0" w:lastColumn="0" w:noHBand="0" w:noVBand="0"/>
      </w:tblPr>
      <w:tblGrid>
        <w:gridCol w:w="7857"/>
      </w:tblGrid>
      <w:tr w:rsidR="00A36458" w:rsidRPr="00882019">
        <w:tc>
          <w:tcPr>
            <w:tcW w:w="7857" w:type="dxa"/>
            <w:shd w:val="clear" w:color="auto" w:fill="auto"/>
          </w:tcPr>
          <w:p w:rsidR="00A36458" w:rsidRPr="00882019" w:rsidRDefault="00A36458" w:rsidP="00882019">
            <w:pPr>
              <w:pStyle w:val="FileNumber0"/>
              <w:spacing w:line="280" w:lineRule="exact"/>
              <w:jc w:val="center"/>
              <w:rPr>
                <w:rFonts w:hint="cs"/>
                <w:sz w:val="28"/>
                <w:rtl/>
              </w:rPr>
            </w:pPr>
            <w:bookmarkStart w:id="0" w:name="Text1"/>
            <w:bookmarkStart w:id="1" w:name="_GoBack"/>
            <w:bookmarkEnd w:id="1"/>
            <w:r w:rsidRPr="00882019">
              <w:rPr>
                <w:rFonts w:hint="cs"/>
                <w:sz w:val="24"/>
                <w:szCs w:val="32"/>
                <w:rtl/>
              </w:rPr>
              <w:t>ב</w:t>
            </w:r>
            <w:bookmarkEnd w:id="0"/>
            <w:r w:rsidRPr="00882019">
              <w:rPr>
                <w:rFonts w:hint="cs"/>
                <w:sz w:val="24"/>
                <w:szCs w:val="32"/>
                <w:rtl/>
              </w:rPr>
              <w:t>בית המשפט העליון</w:t>
            </w:r>
          </w:p>
          <w:p w:rsidR="00A36458" w:rsidRPr="00882019" w:rsidRDefault="00A36458" w:rsidP="00882019">
            <w:pPr>
              <w:pStyle w:val="FileNumber0"/>
              <w:spacing w:line="280" w:lineRule="exact"/>
              <w:jc w:val="center"/>
              <w:rPr>
                <w:rFonts w:hint="cs"/>
                <w:sz w:val="28"/>
              </w:rPr>
            </w:pPr>
            <w:r w:rsidRPr="00882019">
              <w:rPr>
                <w:rFonts w:hint="cs"/>
                <w:sz w:val="28"/>
                <w:rtl/>
              </w:rPr>
              <w:t>בשבתו כבית משפט לערעורים אזרחיים</w:t>
            </w:r>
          </w:p>
        </w:tc>
      </w:tr>
    </w:tbl>
    <w:p w:rsidR="00E526CE" w:rsidRPr="00A36458" w:rsidRDefault="00E526CE" w:rsidP="006A6690">
      <w:pPr>
        <w:spacing w:line="280" w:lineRule="exact"/>
        <w:jc w:val="right"/>
        <w:rPr>
          <w:rFonts w:cs="Miriam"/>
          <w:b/>
          <w:bCs/>
        </w:rPr>
      </w:pPr>
    </w:p>
    <w:p w:rsidR="00A36458" w:rsidRPr="00A36458" w:rsidRDefault="00A36458" w:rsidP="006A6690">
      <w:pPr>
        <w:spacing w:line="280" w:lineRule="exact"/>
        <w:jc w:val="right"/>
        <w:rPr>
          <w:rFonts w:cs="Miriam"/>
          <w:b/>
          <w:bCs/>
          <w:rtl/>
        </w:rPr>
      </w:pPr>
    </w:p>
    <w:tbl>
      <w:tblPr>
        <w:bidiVisual/>
        <w:tblW w:w="0" w:type="auto"/>
        <w:tblInd w:w="27" w:type="dxa"/>
        <w:tblLook w:val="0000" w:firstRow="0" w:lastRow="0" w:firstColumn="0" w:lastColumn="0" w:noHBand="0" w:noVBand="0"/>
      </w:tblPr>
      <w:tblGrid>
        <w:gridCol w:w="8829"/>
      </w:tblGrid>
      <w:tr w:rsidR="00A36458" w:rsidRPr="00882019">
        <w:trPr>
          <w:trHeight w:val="342"/>
        </w:trPr>
        <w:tc>
          <w:tcPr>
            <w:tcW w:w="8829" w:type="dxa"/>
            <w:shd w:val="clear" w:color="auto" w:fill="auto"/>
          </w:tcPr>
          <w:p w:rsidR="00A36458" w:rsidRPr="00882019" w:rsidRDefault="00D95076" w:rsidP="00882019">
            <w:pPr>
              <w:pStyle w:val="FileNumber"/>
              <w:spacing w:line="280" w:lineRule="exact"/>
              <w:rPr>
                <w:rFonts w:hint="cs"/>
                <w:sz w:val="28"/>
                <w:szCs w:val="28"/>
              </w:rPr>
            </w:pPr>
            <w:hyperlink r:id="rId7" w:history="1">
              <w:r w:rsidRPr="00D95076">
                <w:rPr>
                  <w:rStyle w:val="Hyperlink"/>
                  <w:rFonts w:hint="eastAsia"/>
                  <w:sz w:val="28"/>
                  <w:szCs w:val="28"/>
                  <w:rtl/>
                </w:rPr>
                <w:t>ע</w:t>
              </w:r>
              <w:r w:rsidRPr="00D95076">
                <w:rPr>
                  <w:rStyle w:val="Hyperlink"/>
                  <w:sz w:val="28"/>
                  <w:szCs w:val="28"/>
                  <w:rtl/>
                </w:rPr>
                <w:t>"א 546/78</w:t>
              </w:r>
            </w:hyperlink>
          </w:p>
        </w:tc>
      </w:tr>
      <w:tr w:rsidR="00A36458" w:rsidRPr="00882019">
        <w:tblPrEx>
          <w:tblLook w:val="01E0" w:firstRow="1" w:lastRow="1" w:firstColumn="1" w:lastColumn="1" w:noHBand="0" w:noVBand="0"/>
        </w:tblPrEx>
        <w:trPr>
          <w:trHeight w:val="342"/>
        </w:trPr>
        <w:tc>
          <w:tcPr>
            <w:tcW w:w="8829" w:type="dxa"/>
            <w:shd w:val="clear" w:color="auto" w:fill="auto"/>
          </w:tcPr>
          <w:p w:rsidR="00A36458" w:rsidRPr="00882019" w:rsidRDefault="00A36458" w:rsidP="00882019">
            <w:pPr>
              <w:pStyle w:val="FileNumber"/>
              <w:spacing w:line="280" w:lineRule="exact"/>
              <w:rPr>
                <w:rFonts w:hint="cs"/>
                <w:sz w:val="28"/>
                <w:szCs w:val="28"/>
                <w:rtl/>
              </w:rPr>
            </w:pPr>
            <w:r w:rsidRPr="00882019">
              <w:rPr>
                <w:rFonts w:hint="cs"/>
                <w:sz w:val="28"/>
                <w:szCs w:val="28"/>
                <w:rtl/>
              </w:rPr>
              <w:t>תאריך: 17.2.80</w:t>
            </w:r>
          </w:p>
        </w:tc>
      </w:tr>
    </w:tbl>
    <w:p w:rsidR="00E526CE" w:rsidRPr="00A36458" w:rsidRDefault="00E526CE" w:rsidP="006A6690">
      <w:pPr>
        <w:spacing w:line="280" w:lineRule="exact"/>
        <w:jc w:val="right"/>
        <w:rPr>
          <w:rFonts w:cs="Miriam"/>
          <w:b/>
          <w:bCs/>
        </w:rPr>
      </w:pPr>
    </w:p>
    <w:tbl>
      <w:tblPr>
        <w:bidiVisual/>
        <w:tblW w:w="0" w:type="auto"/>
        <w:tblLayout w:type="fixed"/>
        <w:tblLook w:val="0000" w:firstRow="0" w:lastRow="0" w:firstColumn="0" w:lastColumn="0" w:noHBand="0" w:noVBand="0"/>
      </w:tblPr>
      <w:tblGrid>
        <w:gridCol w:w="3284"/>
        <w:gridCol w:w="5238"/>
      </w:tblGrid>
      <w:tr w:rsidR="00E526CE" w:rsidRPr="00882019">
        <w:trPr>
          <w:trHeight w:val="287"/>
        </w:trPr>
        <w:tc>
          <w:tcPr>
            <w:tcW w:w="3284" w:type="dxa"/>
            <w:shd w:val="clear" w:color="auto" w:fill="auto"/>
          </w:tcPr>
          <w:p w:rsidR="00E526CE" w:rsidRPr="00882019" w:rsidRDefault="00E526CE" w:rsidP="00882019">
            <w:pPr>
              <w:pStyle w:val="BodyRuller"/>
              <w:spacing w:line="280" w:lineRule="exact"/>
              <w:rPr>
                <w:rFonts w:cs="Miriam"/>
                <w:b/>
                <w:bCs/>
              </w:rPr>
            </w:pPr>
            <w:r w:rsidRPr="00A36458">
              <w:rPr>
                <w:rFonts w:hint="cs"/>
                <w:rtl/>
              </w:rPr>
              <w:t>בפני:</w:t>
            </w:r>
            <w:r w:rsidRPr="00A36458">
              <w:rPr>
                <w:rFonts w:hint="cs"/>
                <w:rtl/>
              </w:rPr>
              <w:tab/>
            </w:r>
          </w:p>
        </w:tc>
        <w:tc>
          <w:tcPr>
            <w:tcW w:w="5238" w:type="dxa"/>
            <w:shd w:val="clear" w:color="auto" w:fill="auto"/>
          </w:tcPr>
          <w:p w:rsidR="0061214D" w:rsidRPr="00A36458" w:rsidRDefault="00E526CE" w:rsidP="00882019">
            <w:pPr>
              <w:pStyle w:val="BodyRuller"/>
              <w:spacing w:line="280" w:lineRule="exact"/>
              <w:rPr>
                <w:rFonts w:hint="cs"/>
                <w:rtl/>
              </w:rPr>
            </w:pPr>
            <w:r w:rsidRPr="00A36458">
              <w:rPr>
                <w:rFonts w:hint="cs"/>
                <w:rtl/>
              </w:rPr>
              <w:t>כבוד</w:t>
            </w:r>
            <w:r w:rsidR="00323C83" w:rsidRPr="00A36458">
              <w:rPr>
                <w:rFonts w:hint="cs"/>
                <w:rtl/>
              </w:rPr>
              <w:t xml:space="preserve"> </w:t>
            </w:r>
            <w:r w:rsidR="00C706E1" w:rsidRPr="00A36458">
              <w:rPr>
                <w:rFonts w:hint="cs"/>
                <w:rtl/>
              </w:rPr>
              <w:t>השופט</w:t>
            </w:r>
            <w:r w:rsidR="00554654" w:rsidRPr="00A36458">
              <w:rPr>
                <w:rFonts w:hint="cs"/>
                <w:rtl/>
              </w:rPr>
              <w:t xml:space="preserve"> לנדוי </w:t>
            </w:r>
            <w:r w:rsidR="00554654" w:rsidRPr="00A36458">
              <w:rPr>
                <w:rtl/>
              </w:rPr>
              <w:t>–</w:t>
            </w:r>
            <w:r w:rsidR="00554654" w:rsidRPr="00A36458">
              <w:rPr>
                <w:rFonts w:hint="cs"/>
                <w:rtl/>
              </w:rPr>
              <w:t xml:space="preserve"> מ"מ הנשיא</w:t>
            </w:r>
          </w:p>
          <w:p w:rsidR="004563F7" w:rsidRPr="00A36458" w:rsidRDefault="00697832" w:rsidP="00882019">
            <w:pPr>
              <w:pStyle w:val="BodyRuller"/>
              <w:spacing w:line="280" w:lineRule="exact"/>
              <w:rPr>
                <w:rFonts w:hint="cs"/>
                <w:rtl/>
              </w:rPr>
            </w:pPr>
            <w:r w:rsidRPr="00A36458">
              <w:rPr>
                <w:rFonts w:hint="cs"/>
                <w:rtl/>
              </w:rPr>
              <w:t xml:space="preserve">כבוד </w:t>
            </w:r>
            <w:r w:rsidR="00C706E1" w:rsidRPr="00A36458">
              <w:rPr>
                <w:rFonts w:hint="cs"/>
                <w:rtl/>
              </w:rPr>
              <w:t>השופט</w:t>
            </w:r>
            <w:r w:rsidR="00554654" w:rsidRPr="00A36458">
              <w:rPr>
                <w:rFonts w:hint="cs"/>
                <w:rtl/>
              </w:rPr>
              <w:t xml:space="preserve"> אלון</w:t>
            </w:r>
          </w:p>
          <w:p w:rsidR="004563F7" w:rsidRPr="00A36458" w:rsidRDefault="004563F7" w:rsidP="00882019">
            <w:pPr>
              <w:pStyle w:val="BodyRuller"/>
              <w:spacing w:line="280" w:lineRule="exact"/>
              <w:rPr>
                <w:rFonts w:hint="cs"/>
              </w:rPr>
            </w:pPr>
            <w:r w:rsidRPr="00A36458">
              <w:rPr>
                <w:rFonts w:hint="cs"/>
                <w:rtl/>
              </w:rPr>
              <w:t xml:space="preserve">כבוד </w:t>
            </w:r>
            <w:r w:rsidR="00C706E1" w:rsidRPr="00A36458">
              <w:rPr>
                <w:rFonts w:hint="cs"/>
                <w:rtl/>
              </w:rPr>
              <w:t>השופט</w:t>
            </w:r>
            <w:r w:rsidR="00554654" w:rsidRPr="00A36458">
              <w:rPr>
                <w:rFonts w:hint="cs"/>
                <w:rtl/>
              </w:rPr>
              <w:t xml:space="preserve"> ברק</w:t>
            </w:r>
          </w:p>
        </w:tc>
      </w:tr>
    </w:tbl>
    <w:p w:rsidR="00E526CE" w:rsidRPr="00A36458" w:rsidRDefault="00E526CE" w:rsidP="006A6690">
      <w:pPr>
        <w:pStyle w:val="Ruller3"/>
        <w:spacing w:line="280" w:lineRule="exact"/>
        <w:rPr>
          <w:rFonts w:cs="Miriam"/>
          <w:b/>
          <w:bCs/>
        </w:rPr>
      </w:pPr>
      <w:bookmarkStart w:id="2" w:name="LastJudge"/>
      <w:bookmarkEnd w:id="2"/>
    </w:p>
    <w:tbl>
      <w:tblPr>
        <w:bidiVisual/>
        <w:tblW w:w="0" w:type="auto"/>
        <w:tblLook w:val="0000" w:firstRow="0" w:lastRow="0" w:firstColumn="0" w:lastColumn="0" w:noHBand="0" w:noVBand="0"/>
      </w:tblPr>
      <w:tblGrid>
        <w:gridCol w:w="3284"/>
        <w:gridCol w:w="5238"/>
      </w:tblGrid>
      <w:tr w:rsidR="00E526CE" w:rsidRPr="00882019">
        <w:tc>
          <w:tcPr>
            <w:tcW w:w="3284" w:type="dxa"/>
            <w:shd w:val="clear" w:color="auto" w:fill="auto"/>
          </w:tcPr>
          <w:p w:rsidR="00E526CE" w:rsidRPr="00A36458" w:rsidRDefault="00A22EE2" w:rsidP="00882019">
            <w:pPr>
              <w:pStyle w:val="BodyRuller"/>
              <w:spacing w:line="280" w:lineRule="exact"/>
            </w:pPr>
            <w:bookmarkStart w:id="3" w:name="FirstAppellant"/>
            <w:r w:rsidRPr="00A36458">
              <w:rPr>
                <w:rFonts w:hint="cs"/>
                <w:rtl/>
              </w:rPr>
              <w:t>ה</w:t>
            </w:r>
            <w:r w:rsidR="00E70235" w:rsidRPr="00A36458">
              <w:rPr>
                <w:rFonts w:hint="cs"/>
                <w:rtl/>
              </w:rPr>
              <w:t>מערער</w:t>
            </w:r>
            <w:r w:rsidRPr="00A36458">
              <w:rPr>
                <w:rFonts w:hint="cs"/>
                <w:rtl/>
              </w:rPr>
              <w:t>:</w:t>
            </w:r>
          </w:p>
        </w:tc>
        <w:tc>
          <w:tcPr>
            <w:tcW w:w="5238" w:type="dxa"/>
            <w:shd w:val="clear" w:color="auto" w:fill="auto"/>
          </w:tcPr>
          <w:p w:rsidR="00D10BD1" w:rsidRPr="00A36458" w:rsidRDefault="00554654" w:rsidP="00882019">
            <w:pPr>
              <w:pStyle w:val="BodyRuller"/>
              <w:spacing w:line="280" w:lineRule="exact"/>
              <w:rPr>
                <w:rFonts w:hint="cs"/>
              </w:rPr>
            </w:pPr>
            <w:r w:rsidRPr="00A36458">
              <w:rPr>
                <w:rFonts w:hint="cs"/>
                <w:rtl/>
              </w:rPr>
              <w:t>בנק קופת עם בע"מ</w:t>
            </w:r>
          </w:p>
        </w:tc>
      </w:tr>
    </w:tbl>
    <w:bookmarkEnd w:id="3"/>
    <w:p w:rsidR="00E526CE" w:rsidRPr="00A36458" w:rsidRDefault="00E526CE" w:rsidP="006A6690">
      <w:pPr>
        <w:pStyle w:val="Ruller3"/>
        <w:spacing w:line="280" w:lineRule="exact"/>
        <w:rPr>
          <w:rFonts w:hint="cs"/>
          <w:rtl/>
        </w:rPr>
      </w:pPr>
      <w:r w:rsidRPr="00A36458">
        <w:tab/>
      </w:r>
    </w:p>
    <w:tbl>
      <w:tblPr>
        <w:bidiVisual/>
        <w:tblW w:w="0" w:type="auto"/>
        <w:tblLook w:val="0000" w:firstRow="0" w:lastRow="0" w:firstColumn="0" w:lastColumn="0" w:noHBand="0" w:noVBand="0"/>
      </w:tblPr>
      <w:tblGrid>
        <w:gridCol w:w="3284"/>
        <w:gridCol w:w="5238"/>
      </w:tblGrid>
      <w:tr w:rsidR="00E526CE" w:rsidRPr="00882019">
        <w:tc>
          <w:tcPr>
            <w:tcW w:w="3284" w:type="dxa"/>
            <w:shd w:val="clear" w:color="auto" w:fill="auto"/>
          </w:tcPr>
          <w:p w:rsidR="00E526CE" w:rsidRPr="00A36458" w:rsidRDefault="00E526CE" w:rsidP="00882019">
            <w:pPr>
              <w:pStyle w:val="BodyRuller"/>
              <w:spacing w:line="280" w:lineRule="exact"/>
            </w:pPr>
          </w:p>
        </w:tc>
        <w:tc>
          <w:tcPr>
            <w:tcW w:w="5238" w:type="dxa"/>
            <w:shd w:val="clear" w:color="auto" w:fill="auto"/>
          </w:tcPr>
          <w:p w:rsidR="00E526CE" w:rsidRPr="00A36458" w:rsidRDefault="00E526CE" w:rsidP="00882019">
            <w:pPr>
              <w:pStyle w:val="BodyRuller"/>
              <w:spacing w:line="280" w:lineRule="exact"/>
            </w:pPr>
            <w:r w:rsidRPr="00A36458">
              <w:rPr>
                <w:rFonts w:hint="cs"/>
                <w:rtl/>
              </w:rPr>
              <w:t>נ</w:t>
            </w:r>
            <w:r w:rsidR="00A36458" w:rsidRPr="00A36458">
              <w:rPr>
                <w:rtl/>
              </w:rPr>
              <w:t xml:space="preserve"> </w:t>
            </w:r>
            <w:r w:rsidRPr="00A36458">
              <w:t xml:space="preserve"> </w:t>
            </w:r>
            <w:r w:rsidRPr="00A36458">
              <w:rPr>
                <w:rFonts w:hint="cs"/>
                <w:rtl/>
              </w:rPr>
              <w:t>ג</w:t>
            </w:r>
            <w:r w:rsidR="00A36458" w:rsidRPr="00A36458">
              <w:rPr>
                <w:rtl/>
              </w:rPr>
              <w:t xml:space="preserve"> </w:t>
            </w:r>
            <w:r w:rsidRPr="00A36458">
              <w:t xml:space="preserve"> </w:t>
            </w:r>
            <w:r w:rsidRPr="00A36458">
              <w:rPr>
                <w:rFonts w:hint="cs"/>
                <w:rtl/>
              </w:rPr>
              <w:t>ד</w:t>
            </w:r>
          </w:p>
        </w:tc>
      </w:tr>
    </w:tbl>
    <w:p w:rsidR="00E526CE" w:rsidRPr="00A36458" w:rsidRDefault="00E526CE" w:rsidP="006A6690">
      <w:pPr>
        <w:pStyle w:val="Ruller3"/>
        <w:spacing w:line="280" w:lineRule="exact"/>
        <w:rPr>
          <w:rtl/>
        </w:rPr>
      </w:pPr>
      <w:r w:rsidRPr="00A36458">
        <w:tab/>
      </w:r>
      <w:r w:rsidRPr="00A36458">
        <w:tab/>
      </w:r>
      <w:r w:rsidRPr="00A36458">
        <w:tab/>
      </w:r>
      <w:r w:rsidR="00A36458" w:rsidRPr="00A36458">
        <w:t xml:space="preserve">    </w:t>
      </w:r>
      <w:r w:rsidRPr="00A36458">
        <w:t xml:space="preserve"> </w:t>
      </w:r>
    </w:p>
    <w:tbl>
      <w:tblPr>
        <w:bidiVisual/>
        <w:tblW w:w="0" w:type="auto"/>
        <w:tblLook w:val="0000" w:firstRow="0" w:lastRow="0" w:firstColumn="0" w:lastColumn="0" w:noHBand="0" w:noVBand="0"/>
      </w:tblPr>
      <w:tblGrid>
        <w:gridCol w:w="3284"/>
        <w:gridCol w:w="5238"/>
      </w:tblGrid>
      <w:tr w:rsidR="00E526CE" w:rsidRPr="00882019">
        <w:tc>
          <w:tcPr>
            <w:tcW w:w="3284" w:type="dxa"/>
            <w:shd w:val="clear" w:color="auto" w:fill="auto"/>
          </w:tcPr>
          <w:p w:rsidR="00E526CE" w:rsidRPr="00A36458" w:rsidRDefault="006E4443" w:rsidP="00882019">
            <w:pPr>
              <w:pStyle w:val="BodyRuller"/>
              <w:spacing w:line="280" w:lineRule="exact"/>
            </w:pPr>
            <w:r w:rsidRPr="00A36458">
              <w:rPr>
                <w:rFonts w:hint="cs"/>
                <w:rtl/>
              </w:rPr>
              <w:t>המשיב</w:t>
            </w:r>
            <w:r w:rsidR="00554654" w:rsidRPr="00A36458">
              <w:rPr>
                <w:rFonts w:hint="cs"/>
                <w:rtl/>
              </w:rPr>
              <w:t>ים</w:t>
            </w:r>
            <w:r w:rsidR="00E526CE" w:rsidRPr="00A36458">
              <w:rPr>
                <w:rFonts w:hint="cs"/>
                <w:rtl/>
              </w:rPr>
              <w:t>:</w:t>
            </w:r>
          </w:p>
        </w:tc>
        <w:tc>
          <w:tcPr>
            <w:tcW w:w="5238" w:type="dxa"/>
            <w:shd w:val="clear" w:color="auto" w:fill="auto"/>
          </w:tcPr>
          <w:p w:rsidR="001D2415" w:rsidRPr="00A36458" w:rsidRDefault="00554654" w:rsidP="00882019">
            <w:pPr>
              <w:pStyle w:val="BodyRuller"/>
              <w:numPr>
                <w:ilvl w:val="0"/>
                <w:numId w:val="16"/>
              </w:numPr>
              <w:spacing w:line="280" w:lineRule="exact"/>
              <w:rPr>
                <w:rFonts w:hint="cs"/>
                <w:rtl/>
              </w:rPr>
            </w:pPr>
            <w:r w:rsidRPr="00A36458">
              <w:rPr>
                <w:rFonts w:hint="cs"/>
                <w:rtl/>
              </w:rPr>
              <w:t>אליעזר הנדלס</w:t>
            </w:r>
          </w:p>
          <w:p w:rsidR="00554654" w:rsidRPr="00A36458" w:rsidRDefault="00554654" w:rsidP="00882019">
            <w:pPr>
              <w:pStyle w:val="BodyRuller"/>
              <w:numPr>
                <w:ilvl w:val="0"/>
                <w:numId w:val="16"/>
              </w:numPr>
              <w:spacing w:line="280" w:lineRule="exact"/>
              <w:rPr>
                <w:rFonts w:hint="cs"/>
              </w:rPr>
            </w:pPr>
            <w:r w:rsidRPr="00A36458">
              <w:rPr>
                <w:rFonts w:hint="cs"/>
                <w:rtl/>
              </w:rPr>
              <w:t>מדינת ישראל, משטרת ישראל</w:t>
            </w:r>
          </w:p>
        </w:tc>
      </w:tr>
    </w:tbl>
    <w:p w:rsidR="000C1216" w:rsidRPr="00A36458" w:rsidRDefault="00E526CE" w:rsidP="006A6690">
      <w:pPr>
        <w:pStyle w:val="Ruller3"/>
        <w:spacing w:line="280" w:lineRule="exact"/>
        <w:rPr>
          <w:rtl/>
        </w:rPr>
      </w:pPr>
      <w:r w:rsidRPr="00A36458">
        <w:rPr>
          <w:rFonts w:hint="cs"/>
          <w:rtl/>
        </w:rPr>
        <w:tab/>
      </w:r>
    </w:p>
    <w:tbl>
      <w:tblPr>
        <w:bidiVisual/>
        <w:tblW w:w="0" w:type="auto"/>
        <w:tblInd w:w="3284" w:type="dxa"/>
        <w:tblLayout w:type="fixed"/>
        <w:tblLook w:val="0000" w:firstRow="0" w:lastRow="0" w:firstColumn="0" w:lastColumn="0" w:noHBand="0" w:noVBand="0"/>
      </w:tblPr>
      <w:tblGrid>
        <w:gridCol w:w="5238"/>
      </w:tblGrid>
      <w:tr w:rsidR="000C1216" w:rsidRPr="00882019">
        <w:trPr>
          <w:trHeight w:val="287"/>
        </w:trPr>
        <w:tc>
          <w:tcPr>
            <w:tcW w:w="5238" w:type="dxa"/>
            <w:shd w:val="clear" w:color="auto" w:fill="auto"/>
          </w:tcPr>
          <w:p w:rsidR="000C1216" w:rsidRPr="00882019" w:rsidRDefault="00554654" w:rsidP="00882019">
            <w:pPr>
              <w:pStyle w:val="BodyRuller"/>
              <w:spacing w:line="280" w:lineRule="exact"/>
              <w:jc w:val="both"/>
              <w:rPr>
                <w:rFonts w:hint="cs"/>
                <w:sz w:val="24"/>
                <w:szCs w:val="24"/>
              </w:rPr>
            </w:pPr>
            <w:r w:rsidRPr="00882019">
              <w:rPr>
                <w:rFonts w:hint="cs"/>
                <w:sz w:val="24"/>
                <w:szCs w:val="24"/>
                <w:rtl/>
              </w:rPr>
              <w:t>ערעור על פסק-דינו של בית-המשפט המחוזי, ירושלים (</w:t>
            </w:r>
            <w:r w:rsidRPr="00882019">
              <w:rPr>
                <w:rFonts w:hint="cs"/>
                <w:b/>
                <w:bCs/>
                <w:sz w:val="24"/>
                <w:szCs w:val="24"/>
                <w:rtl/>
              </w:rPr>
              <w:t>השופט י' וייס</w:t>
            </w:r>
            <w:r w:rsidRPr="00882019">
              <w:rPr>
                <w:rFonts w:hint="cs"/>
                <w:sz w:val="24"/>
                <w:szCs w:val="24"/>
                <w:rtl/>
              </w:rPr>
              <w:t>), מיום 11.ך8.1978, ב</w:t>
            </w:r>
            <w:hyperlink r:id="rId8" w:history="1">
              <w:r w:rsidR="00A36458" w:rsidRPr="00882019">
                <w:rPr>
                  <w:color w:val="0000FF"/>
                  <w:sz w:val="24"/>
                  <w:szCs w:val="24"/>
                  <w:u w:val="single"/>
                  <w:rtl/>
                </w:rPr>
                <w:t>המרצה 870/77</w:t>
              </w:r>
            </w:hyperlink>
          </w:p>
        </w:tc>
      </w:tr>
    </w:tbl>
    <w:p w:rsidR="00E526CE" w:rsidRPr="00A36458" w:rsidRDefault="00E526CE" w:rsidP="006A6690">
      <w:pPr>
        <w:pStyle w:val="Ruller3"/>
        <w:spacing w:line="280" w:lineRule="exact"/>
        <w:rPr>
          <w:rFonts w:hint="cs"/>
          <w:rtl/>
        </w:rPr>
      </w:pPr>
    </w:p>
    <w:p w:rsidR="00E526CE" w:rsidRPr="00A36458" w:rsidRDefault="00E526CE" w:rsidP="006A6690">
      <w:pPr>
        <w:pStyle w:val="Ruller3"/>
        <w:spacing w:line="280" w:lineRule="exact"/>
        <w:rPr>
          <w:rtl/>
        </w:rPr>
      </w:pPr>
      <w:r w:rsidRPr="00A36458">
        <w:rPr>
          <w:rFonts w:hint="cs"/>
          <w:rtl/>
        </w:rPr>
        <w:tab/>
      </w:r>
    </w:p>
    <w:tbl>
      <w:tblPr>
        <w:bidiVisual/>
        <w:tblW w:w="0" w:type="auto"/>
        <w:tblLook w:val="0000" w:firstRow="0" w:lastRow="0" w:firstColumn="0" w:lastColumn="0" w:noHBand="0" w:noVBand="0"/>
      </w:tblPr>
      <w:tblGrid>
        <w:gridCol w:w="3284"/>
        <w:gridCol w:w="5238"/>
      </w:tblGrid>
      <w:tr w:rsidR="00E526CE" w:rsidRPr="00882019">
        <w:tc>
          <w:tcPr>
            <w:tcW w:w="3284" w:type="dxa"/>
            <w:shd w:val="clear" w:color="auto" w:fill="auto"/>
          </w:tcPr>
          <w:p w:rsidR="00E526CE" w:rsidRPr="00A36458" w:rsidRDefault="00E526CE" w:rsidP="00882019">
            <w:pPr>
              <w:pStyle w:val="BodyRuller"/>
              <w:spacing w:line="280" w:lineRule="exact"/>
            </w:pPr>
            <w:r w:rsidRPr="00A36458">
              <w:rPr>
                <w:rFonts w:hint="cs"/>
                <w:rtl/>
              </w:rPr>
              <w:t>בשם</w:t>
            </w:r>
            <w:r w:rsidR="008C0870" w:rsidRPr="00A36458">
              <w:rPr>
                <w:rFonts w:hint="cs"/>
                <w:rtl/>
              </w:rPr>
              <w:t xml:space="preserve"> המערער</w:t>
            </w:r>
            <w:r w:rsidRPr="00A36458">
              <w:rPr>
                <w:rFonts w:hint="cs"/>
                <w:rtl/>
              </w:rPr>
              <w:t>:</w:t>
            </w:r>
          </w:p>
        </w:tc>
        <w:tc>
          <w:tcPr>
            <w:tcW w:w="5238" w:type="dxa"/>
            <w:shd w:val="clear" w:color="auto" w:fill="auto"/>
          </w:tcPr>
          <w:p w:rsidR="00E526CE" w:rsidRPr="00A36458" w:rsidRDefault="00E526CE" w:rsidP="00882019">
            <w:pPr>
              <w:pStyle w:val="BodyRuller"/>
              <w:spacing w:line="280" w:lineRule="exact"/>
              <w:rPr>
                <w:rFonts w:hint="cs"/>
              </w:rPr>
            </w:pPr>
            <w:r w:rsidRPr="00A36458">
              <w:rPr>
                <w:rFonts w:hint="cs"/>
                <w:rtl/>
              </w:rPr>
              <w:t xml:space="preserve">עו"ד </w:t>
            </w:r>
            <w:r w:rsidR="00554654" w:rsidRPr="00A36458">
              <w:rPr>
                <w:rFonts w:hint="cs"/>
                <w:rtl/>
              </w:rPr>
              <w:t>ש' ברוש</w:t>
            </w:r>
          </w:p>
        </w:tc>
      </w:tr>
    </w:tbl>
    <w:p w:rsidR="00E526CE" w:rsidRPr="00A36458" w:rsidRDefault="00E526CE" w:rsidP="006A6690">
      <w:pPr>
        <w:pStyle w:val="Ruller3"/>
        <w:spacing w:line="280" w:lineRule="exact"/>
        <w:rPr>
          <w:rFonts w:hint="cs"/>
          <w:rtl/>
        </w:rPr>
      </w:pPr>
    </w:p>
    <w:tbl>
      <w:tblPr>
        <w:bidiVisual/>
        <w:tblW w:w="0" w:type="auto"/>
        <w:tblLook w:val="0000" w:firstRow="0" w:lastRow="0" w:firstColumn="0" w:lastColumn="0" w:noHBand="0" w:noVBand="0"/>
      </w:tblPr>
      <w:tblGrid>
        <w:gridCol w:w="3284"/>
        <w:gridCol w:w="5238"/>
      </w:tblGrid>
      <w:tr w:rsidR="00E526CE" w:rsidRPr="00882019">
        <w:tc>
          <w:tcPr>
            <w:tcW w:w="3284" w:type="dxa"/>
            <w:shd w:val="clear" w:color="auto" w:fill="auto"/>
          </w:tcPr>
          <w:p w:rsidR="00E526CE" w:rsidRPr="00A36458" w:rsidRDefault="006E4443" w:rsidP="00882019">
            <w:pPr>
              <w:pStyle w:val="BodyRuller"/>
              <w:spacing w:line="280" w:lineRule="exact"/>
            </w:pPr>
            <w:bookmarkStart w:id="4" w:name="FirstLawyer"/>
            <w:r w:rsidRPr="00A36458">
              <w:rPr>
                <w:rFonts w:hint="cs"/>
                <w:rtl/>
              </w:rPr>
              <w:t>בשם המשיב</w:t>
            </w:r>
            <w:r w:rsidR="00554654" w:rsidRPr="00A36458">
              <w:rPr>
                <w:rFonts w:hint="cs"/>
                <w:rtl/>
              </w:rPr>
              <w:t>ים</w:t>
            </w:r>
            <w:r w:rsidR="00E526CE" w:rsidRPr="00A36458">
              <w:rPr>
                <w:rFonts w:hint="cs"/>
                <w:rtl/>
              </w:rPr>
              <w:t>:</w:t>
            </w:r>
          </w:p>
        </w:tc>
        <w:tc>
          <w:tcPr>
            <w:tcW w:w="5238" w:type="dxa"/>
            <w:shd w:val="clear" w:color="auto" w:fill="auto"/>
          </w:tcPr>
          <w:p w:rsidR="00E526CE" w:rsidRPr="00A36458" w:rsidRDefault="00E526CE" w:rsidP="00882019">
            <w:pPr>
              <w:pStyle w:val="BodyRuller"/>
              <w:spacing w:line="280" w:lineRule="exact"/>
              <w:rPr>
                <w:rFonts w:hint="cs"/>
              </w:rPr>
            </w:pPr>
            <w:r w:rsidRPr="00A36458">
              <w:rPr>
                <w:rFonts w:hint="cs"/>
                <w:rtl/>
              </w:rPr>
              <w:t xml:space="preserve">עו"ד </w:t>
            </w:r>
            <w:r w:rsidR="00554654" w:rsidRPr="00A36458">
              <w:rPr>
                <w:rFonts w:hint="cs"/>
                <w:rtl/>
              </w:rPr>
              <w:t>ש' שרשבסקי</w:t>
            </w:r>
          </w:p>
        </w:tc>
      </w:tr>
      <w:bookmarkEnd w:id="4"/>
    </w:tbl>
    <w:p w:rsidR="005C77E9" w:rsidRPr="00A36458" w:rsidRDefault="005C77E9" w:rsidP="00195B4D">
      <w:pPr>
        <w:pStyle w:val="DocumentHead"/>
        <w:spacing w:line="280" w:lineRule="exact"/>
        <w:jc w:val="left"/>
        <w:rPr>
          <w:rFonts w:hint="cs"/>
          <w:u w:val="none"/>
          <w:rtl/>
        </w:rPr>
      </w:pPr>
    </w:p>
    <w:p w:rsidR="00554654" w:rsidRPr="00A36458" w:rsidRDefault="00554654" w:rsidP="00B07CF3">
      <w:pPr>
        <w:pStyle w:val="DocumentHead"/>
        <w:spacing w:line="280" w:lineRule="exact"/>
        <w:rPr>
          <w:u w:val="none"/>
          <w:rtl/>
        </w:rPr>
        <w:sectPr w:rsidR="00554654" w:rsidRPr="00A36458" w:rsidSect="00906544">
          <w:headerReference w:type="even" r:id="rId9"/>
          <w:headerReference w:type="default" r:id="rId10"/>
          <w:footerReference w:type="even" r:id="rId11"/>
          <w:footerReference w:type="default" r:id="rId12"/>
          <w:pgSz w:w="12240" w:h="15840"/>
          <w:pgMar w:top="1701" w:right="1800" w:bottom="1440" w:left="1800" w:header="720" w:footer="720" w:gutter="0"/>
          <w:pgNumType w:start="57"/>
          <w:cols w:space="720"/>
          <w:bidi/>
          <w:rtlGutter/>
          <w:docGrid w:linePitch="360"/>
        </w:sectPr>
      </w:pPr>
    </w:p>
    <w:p w:rsidR="00A36458" w:rsidRPr="00A36458" w:rsidRDefault="00554654" w:rsidP="00B07CF3">
      <w:pPr>
        <w:pStyle w:val="DocumentHead"/>
        <w:spacing w:line="280" w:lineRule="exact"/>
        <w:rPr>
          <w:u w:val="none"/>
          <w:rtl/>
        </w:rPr>
      </w:pPr>
      <w:r w:rsidRPr="00A36458">
        <w:rPr>
          <w:u w:val="none"/>
          <w:rtl/>
        </w:rPr>
        <w:br w:type="page"/>
      </w:r>
    </w:p>
    <w:p w:rsidR="00A36458" w:rsidRPr="00A36458" w:rsidRDefault="00A36458" w:rsidP="00A36458">
      <w:pPr>
        <w:spacing w:line="280" w:lineRule="exact"/>
        <w:jc w:val="center"/>
        <w:rPr>
          <w:bCs/>
          <w:spacing w:val="30"/>
          <w:szCs w:val="28"/>
          <w:u w:val="single"/>
          <w:rtl/>
        </w:rPr>
      </w:pPr>
      <w:bookmarkStart w:id="5" w:name="PsakDin"/>
      <w:r w:rsidRPr="00A36458">
        <w:rPr>
          <w:bCs/>
          <w:spacing w:val="30"/>
          <w:szCs w:val="28"/>
          <w:u w:val="single"/>
          <w:rtl/>
        </w:rPr>
        <w:t>פסק- דין</w:t>
      </w:r>
    </w:p>
    <w:bookmarkEnd w:id="5"/>
    <w:p w:rsidR="00143728" w:rsidRDefault="00143728" w:rsidP="006A6690">
      <w:pPr>
        <w:spacing w:line="280" w:lineRule="exact"/>
        <w:jc w:val="both"/>
        <w:rPr>
          <w:rFonts w:hint="cs"/>
          <w:b/>
          <w:bCs/>
          <w:rtl/>
        </w:rPr>
      </w:pPr>
    </w:p>
    <w:p w:rsidR="002F428A" w:rsidRDefault="00554654" w:rsidP="002F428A">
      <w:pPr>
        <w:spacing w:line="280" w:lineRule="exact"/>
        <w:jc w:val="both"/>
        <w:rPr>
          <w:rFonts w:hint="cs"/>
          <w:rtl/>
        </w:rPr>
      </w:pPr>
      <w:r>
        <w:rPr>
          <w:rFonts w:hint="cs"/>
          <w:b/>
          <w:bCs/>
          <w:rtl/>
        </w:rPr>
        <w:t>השופט ברק:</w:t>
      </w:r>
      <w:r>
        <w:rPr>
          <w:rFonts w:hint="cs"/>
          <w:rtl/>
        </w:rPr>
        <w:t xml:space="preserve"> 1. </w:t>
      </w:r>
      <w:bookmarkStart w:id="6" w:name="ABSTRACT_START"/>
      <w:bookmarkEnd w:id="6"/>
      <w:r>
        <w:rPr>
          <w:rFonts w:hint="cs"/>
          <w:rtl/>
        </w:rPr>
        <w:t xml:space="preserve">שניים אוחזין במציאה. זה אומר אני מצאתיה וזה אומר אני מצאתיה. זה אומר כולה שלי וזה אומר כולה שלי. עם מי הדין? השניים הם מר הנדלס (להלן </w:t>
      </w:r>
      <w:r>
        <w:rPr>
          <w:rtl/>
        </w:rPr>
        <w:t>–</w:t>
      </w:r>
      <w:r>
        <w:rPr>
          <w:rFonts w:hint="cs"/>
          <w:rtl/>
        </w:rPr>
        <w:t xml:space="preserve"> המשיב) ובנק קופת עם בע"מ (להלן </w:t>
      </w:r>
      <w:r>
        <w:rPr>
          <w:rtl/>
        </w:rPr>
        <w:t>–</w:t>
      </w:r>
      <w:r>
        <w:rPr>
          <w:rFonts w:hint="cs"/>
          <w:rtl/>
        </w:rPr>
        <w:t xml:space="preserve"> המערער). המציאה היא מעטפה ובה שתי אגרות ממוספרות </w:t>
      </w:r>
      <w:r w:rsidR="002F428A">
        <w:rPr>
          <w:rFonts w:hint="cs"/>
          <w:rtl/>
        </w:rPr>
        <w:t xml:space="preserve">למוכ"ז של מלווה פיתוח בע"מ, תש"ך-1960, על סך 10,000 ל"י כל אחת (להלן </w:t>
      </w:r>
      <w:r w:rsidR="002F428A">
        <w:rPr>
          <w:rtl/>
        </w:rPr>
        <w:t>–</w:t>
      </w:r>
      <w:r w:rsidR="002F428A">
        <w:rPr>
          <w:rFonts w:hint="cs"/>
          <w:rtl/>
        </w:rPr>
        <w:t xml:space="preserve"> האגרות). מקום המציאה הוא חדר הכספות של המערער, ובו כארבע מאות כספות המושכרות לאנשים שונים, וביניהן כספת המושכרת למשיב. אל חדר זה מגיעים לאחר שנכנסים לאולם הראשי, עוברים שני דלפקים, יורדים מספר מדרגות ועוברים דלת פלדה אטומה אשר מאחוריה דלת עם סורגי ברזל. שתי דלתות אלה נעולות שעה שהבנק כולו נעול והן נפתחות על-ידי פקיד הבנק בשעת קבלת הקהל. על-פי הכללים, המבקש להיכנס לחדר הכספות צריך לקבל רשות לכך, ודבר כניסתו נרשם. הלכה למעשה אין נוהגים על-פי כללים אלה, והגישה לחדר הכספות היא ללא כל רישום. והו סיפור המעשה. ביום 22.4.1976, שעה שהמשיב נכנס לחדר הכספות, הוא הבחין במעטפה המונחת על רצפת החדר. המשיב הרים את המעטפה ומצא בה את האגרות. הוא פנה אל פקידי המערער ושאל לבעל האבידה, אך זה האחרון לא נמצא. מנהל הסניף של המערער ביקש מהמשיב למסור את האגרות לידו תמורת קבלה. במעשהו זה הוא פעל בתום לב, על-פי עצה משפטית שקיבל. המשיב סירב, ועמד על דעתו כי ימסור את האגרות למשטרה. לאחר דין ודברים סרו השניים, יחד עם שוטר, למטה המשטרה, ושם מסר המשיב את האגרות למשטרה. במעשהו זה פעל אף המשיב בתום לב</w:t>
      </w:r>
      <w:r w:rsidR="00C5357F">
        <w:rPr>
          <w:rFonts w:hint="cs"/>
          <w:rtl/>
        </w:rPr>
        <w:t xml:space="preserve">, מתוך דאגה כנה למציאת בעל האבידה, ועל-פי סברה כנה כי חובתו היא למסור את האגרות למשטרה ולא למערער. עברו למעלה מארבעה חודשים מאז שהודע למשטרה על האבידה, ובעל האגרות לא נמצא. המשיב ביקש מהמשטרה כי זו תמסור את האגרות לידו. למשטרה סירבה. לטענתה, זכאי המערער לקבל את האגרות. מכיון שכך, פנה המשיב לבית המשפט המחוזי בירושלים בבקשה כי יוצהר כי הוא המוצא של האגרות. כמשיבה צורפה, בנוסף למערער, גם מדינת ישראל. בא-כוח המדינה לא העלה כל טענת בעלות באגרות למדינה. הוא הצטרף לעמדת המערער, תוך שהוא מצהיר כי ללא כל צו נוסף תימסרנה האגרות למשיב או למערער </w:t>
      </w:r>
      <w:r w:rsidR="00C5357F">
        <w:rPr>
          <w:rtl/>
        </w:rPr>
        <w:t>–</w:t>
      </w:r>
      <w:r w:rsidR="00C5357F">
        <w:rPr>
          <w:rFonts w:hint="cs"/>
          <w:rtl/>
        </w:rPr>
        <w:t xml:space="preserve"> הכל על-פי החלטת בית-המשפט</w:t>
      </w:r>
      <w:bookmarkStart w:id="7" w:name="ABSTRACT_END"/>
      <w:bookmarkEnd w:id="7"/>
      <w:r w:rsidR="00C5357F">
        <w:rPr>
          <w:rFonts w:hint="cs"/>
          <w:rtl/>
        </w:rPr>
        <w:t>.</w:t>
      </w:r>
    </w:p>
    <w:p w:rsidR="00C5357F" w:rsidRDefault="00C5357F" w:rsidP="002F428A">
      <w:pPr>
        <w:spacing w:line="280" w:lineRule="exact"/>
        <w:jc w:val="both"/>
        <w:rPr>
          <w:rFonts w:hint="cs"/>
          <w:rtl/>
        </w:rPr>
      </w:pPr>
      <w:r>
        <w:rPr>
          <w:rtl/>
        </w:rPr>
        <w:br w:type="page"/>
      </w:r>
    </w:p>
    <w:p w:rsidR="00C5357F" w:rsidRDefault="00C5357F" w:rsidP="00C5357F">
      <w:pPr>
        <w:numPr>
          <w:ilvl w:val="0"/>
          <w:numId w:val="19"/>
        </w:numPr>
        <w:spacing w:line="280" w:lineRule="exact"/>
        <w:jc w:val="both"/>
        <w:rPr>
          <w:rFonts w:hint="cs"/>
        </w:rPr>
      </w:pPr>
      <w:r>
        <w:rPr>
          <w:rFonts w:hint="cs"/>
          <w:rtl/>
        </w:rPr>
        <w:t xml:space="preserve">דינה של מציאה נחתך כיום על-פי הוראות </w:t>
      </w:r>
      <w:hyperlink r:id="rId13" w:history="1">
        <w:r w:rsidR="00CA17A5" w:rsidRPr="00CA17A5">
          <w:rPr>
            <w:rStyle w:val="Hyperlink"/>
            <w:rtl/>
          </w:rPr>
          <w:t>חוק השבת אבידה</w:t>
        </w:r>
      </w:hyperlink>
      <w:r>
        <w:rPr>
          <w:rFonts w:hint="cs"/>
          <w:rtl/>
        </w:rPr>
        <w:t xml:space="preserve">, תשל"ג-1973 (להלן </w:t>
      </w:r>
      <w:r>
        <w:rPr>
          <w:rtl/>
        </w:rPr>
        <w:t>–</w:t>
      </w:r>
      <w:r>
        <w:rPr>
          <w:rFonts w:hint="cs"/>
          <w:rtl/>
        </w:rPr>
        <w:t xml:space="preserve"> החוק). על-פי הוראת החוק, המוצא חייב להשיב את האבידה לבעליה או להודיע עליה בהקדם למשטרה. הודיע המוצא למשטרה, רשאי הוא למסור לה את האבידה, והוא חייב לעשות כן אם כי דרשה זאת ממנו (</w:t>
      </w:r>
      <w:hyperlink r:id="rId14" w:history="1">
        <w:r w:rsidR="00FC0712" w:rsidRPr="00FC0712">
          <w:rPr>
            <w:rStyle w:val="Hyperlink"/>
            <w:rFonts w:hint="eastAsia"/>
            <w:rtl/>
          </w:rPr>
          <w:t>סעיף</w:t>
        </w:r>
        <w:r w:rsidR="00FC0712" w:rsidRPr="00FC0712">
          <w:rPr>
            <w:rStyle w:val="Hyperlink"/>
            <w:rtl/>
          </w:rPr>
          <w:t xml:space="preserve"> 2</w:t>
        </w:r>
      </w:hyperlink>
      <w:r>
        <w:rPr>
          <w:rFonts w:hint="cs"/>
          <w:rtl/>
        </w:rPr>
        <w:t xml:space="preserve"> לחוק). קיים המוצא חובות אלו המוטלות עליו, ולא נתגלה בעל האבידה תוך ארבעה חודשים, יהיה המוצא לבעל האבידה (</w:t>
      </w:r>
      <w:hyperlink r:id="rId15" w:history="1">
        <w:r w:rsidR="00FC0712" w:rsidRPr="00FC0712">
          <w:rPr>
            <w:rStyle w:val="Hyperlink"/>
            <w:rFonts w:hint="eastAsia"/>
            <w:rtl/>
          </w:rPr>
          <w:t>סעיף</w:t>
        </w:r>
        <w:r w:rsidR="00FC0712" w:rsidRPr="00FC0712">
          <w:rPr>
            <w:rStyle w:val="Hyperlink"/>
            <w:rtl/>
          </w:rPr>
          <w:t xml:space="preserve"> 4(א)</w:t>
        </w:r>
      </w:hyperlink>
      <w:r>
        <w:rPr>
          <w:rFonts w:hint="cs"/>
          <w:rtl/>
        </w:rPr>
        <w:t xml:space="preserve"> לחוק). לא עשה כן, תהא המדינה לבעלת האבידה (</w:t>
      </w:r>
      <w:hyperlink r:id="rId16" w:history="1">
        <w:r w:rsidR="00FC0712" w:rsidRPr="00FC0712">
          <w:rPr>
            <w:rStyle w:val="Hyperlink"/>
            <w:rFonts w:hint="eastAsia"/>
            <w:rtl/>
          </w:rPr>
          <w:t>סעיף</w:t>
        </w:r>
        <w:r w:rsidR="00FC0712" w:rsidRPr="00FC0712">
          <w:rPr>
            <w:rStyle w:val="Hyperlink"/>
            <w:rtl/>
          </w:rPr>
          <w:t xml:space="preserve"> 4(ב)</w:t>
        </w:r>
      </w:hyperlink>
      <w:r>
        <w:rPr>
          <w:rFonts w:hint="cs"/>
          <w:rtl/>
        </w:rPr>
        <w:t xml:space="preserve"> לחוק) ואילו המוצא מתחייב בפלילים (</w:t>
      </w:r>
      <w:hyperlink r:id="rId17" w:history="1">
        <w:r w:rsidR="00FC0712" w:rsidRPr="00FC0712">
          <w:rPr>
            <w:rStyle w:val="Hyperlink"/>
            <w:rFonts w:hint="eastAsia"/>
            <w:rtl/>
          </w:rPr>
          <w:t>סעיף</w:t>
        </w:r>
        <w:r w:rsidR="00FC0712" w:rsidRPr="00FC0712">
          <w:rPr>
            <w:rStyle w:val="Hyperlink"/>
            <w:rtl/>
          </w:rPr>
          <w:t xml:space="preserve"> 9</w:t>
        </w:r>
      </w:hyperlink>
      <w:r>
        <w:rPr>
          <w:rFonts w:hint="cs"/>
          <w:rtl/>
        </w:rPr>
        <w:t xml:space="preserve"> לחוק). דין מיוחד נקבע במקום שאבידה נמצאה ברשותה זולת. </w:t>
      </w:r>
      <w:hyperlink r:id="rId18" w:history="1">
        <w:r w:rsidR="00FC0712" w:rsidRPr="00FC0712">
          <w:rPr>
            <w:color w:val="0000FF"/>
            <w:u w:val="single"/>
            <w:rtl/>
          </w:rPr>
          <w:t>סעיף 3</w:t>
        </w:r>
      </w:hyperlink>
      <w:r>
        <w:rPr>
          <w:rFonts w:hint="cs"/>
          <w:rtl/>
        </w:rPr>
        <w:t xml:space="preserve"> לחוק קובע בזו הלשון:</w:t>
      </w:r>
    </w:p>
    <w:p w:rsidR="00C5357F" w:rsidRDefault="00C5357F" w:rsidP="00C5357F">
      <w:pPr>
        <w:spacing w:line="280" w:lineRule="exact"/>
        <w:ind w:left="360"/>
        <w:jc w:val="both"/>
        <w:rPr>
          <w:rFonts w:hint="cs"/>
          <w:rtl/>
        </w:rPr>
      </w:pPr>
    </w:p>
    <w:p w:rsidR="00C5357F" w:rsidRDefault="00C5357F" w:rsidP="00C5357F">
      <w:pPr>
        <w:spacing w:line="280" w:lineRule="exact"/>
        <w:ind w:left="720" w:right="1260"/>
        <w:jc w:val="both"/>
        <w:rPr>
          <w:rFonts w:hint="cs"/>
          <w:rtl/>
        </w:rPr>
      </w:pPr>
      <w:r>
        <w:rPr>
          <w:rFonts w:hint="cs"/>
          <w:rtl/>
        </w:rPr>
        <w:t>"המוצא אבידה ברשותו של אדם אחר חייב להודיע עליה לבעל הרשות ולמנסרה לו לפי דרישתו; קיבל בעל הרשות את האבידה לידו, יראו אותו כמוצא".</w:t>
      </w:r>
    </w:p>
    <w:p w:rsidR="00C5357F" w:rsidRDefault="00C5357F" w:rsidP="00C5357F">
      <w:pPr>
        <w:spacing w:line="280" w:lineRule="exact"/>
        <w:ind w:left="360"/>
        <w:jc w:val="both"/>
        <w:rPr>
          <w:rFonts w:hint="cs"/>
          <w:rtl/>
        </w:rPr>
      </w:pPr>
    </w:p>
    <w:p w:rsidR="00C5357F" w:rsidRDefault="00C5357F" w:rsidP="00C5357F">
      <w:pPr>
        <w:spacing w:line="280" w:lineRule="exact"/>
        <w:ind w:left="360"/>
        <w:jc w:val="both"/>
        <w:rPr>
          <w:rFonts w:hint="cs"/>
          <w:rtl/>
        </w:rPr>
      </w:pPr>
      <w:r>
        <w:rPr>
          <w:rFonts w:hint="cs"/>
          <w:rtl/>
        </w:rPr>
        <w:t xml:space="preserve">על פירושה של הוראה זו נחלקו הצדדים. המערער טוען כי מכוח הוראה זו יש לראותו כמוצא, וכמי שזוכה בבעלות באגרות מכוח </w:t>
      </w:r>
      <w:hyperlink r:id="rId19" w:history="1">
        <w:r w:rsidR="00FC0712" w:rsidRPr="00FC0712">
          <w:rPr>
            <w:color w:val="0000FF"/>
            <w:u w:val="single"/>
            <w:rtl/>
          </w:rPr>
          <w:t>סעיף 4(א)</w:t>
        </w:r>
      </w:hyperlink>
      <w:r>
        <w:rPr>
          <w:rFonts w:hint="cs"/>
          <w:rtl/>
        </w:rPr>
        <w:t xml:space="preserve"> לחוק. לטענתו, חדר הכספות אשר ברשותו הוא "רשותו של אחר". אמת הדבר, המערער לא קיבל את האגרות לידיו, אך דבר זה נבע מסירובו של המשיב, סירוב שאינו כדין, ממנו אין המשיב זכאי ליהנות. לעומתו טוען המשיב כי הוא הוא המוצא (על-פי </w:t>
      </w:r>
      <w:hyperlink r:id="rId20" w:history="1">
        <w:r w:rsidR="00FC0712" w:rsidRPr="00FC0712">
          <w:rPr>
            <w:color w:val="0000FF"/>
            <w:u w:val="single"/>
            <w:rtl/>
          </w:rPr>
          <w:t>סעיף 2</w:t>
        </w:r>
      </w:hyperlink>
      <w:r>
        <w:rPr>
          <w:rFonts w:hint="cs"/>
          <w:rtl/>
        </w:rPr>
        <w:t xml:space="preserve"> לחוק) ועל כן אף בעל האבידה (על-פי </w:t>
      </w:r>
      <w:hyperlink r:id="rId21" w:history="1">
        <w:r w:rsidR="00FC0712" w:rsidRPr="00FC0712">
          <w:rPr>
            <w:color w:val="0000FF"/>
            <w:u w:val="single"/>
            <w:rtl/>
          </w:rPr>
          <w:t>סעיף 4(א)</w:t>
        </w:r>
      </w:hyperlink>
      <w:r>
        <w:rPr>
          <w:rFonts w:hint="cs"/>
          <w:rtl/>
        </w:rPr>
        <w:t xml:space="preserve"> לחוק). אשר </w:t>
      </w:r>
      <w:hyperlink r:id="rId22" w:history="1">
        <w:r w:rsidR="00FC0712" w:rsidRPr="00FC0712">
          <w:rPr>
            <w:color w:val="0000FF"/>
            <w:u w:val="single"/>
            <w:rtl/>
          </w:rPr>
          <w:t>לסעיף 3</w:t>
        </w:r>
      </w:hyperlink>
      <w:r>
        <w:rPr>
          <w:rFonts w:hint="cs"/>
          <w:rtl/>
        </w:rPr>
        <w:t xml:space="preserve"> לחוק, לטענתו אין לראות את המערער "כמוצא" וזאת משני טעמים: ראשית, חדר הכספות של בנק אינו "רשות של אחר"; שנית, המערער לא "קיבל... את האבידה לידו".</w:t>
      </w:r>
    </w:p>
    <w:p w:rsidR="00C5357F" w:rsidRDefault="00C5357F" w:rsidP="00C5357F">
      <w:pPr>
        <w:spacing w:line="280" w:lineRule="exact"/>
        <w:ind w:left="360"/>
        <w:jc w:val="both"/>
        <w:rPr>
          <w:rFonts w:hint="cs"/>
          <w:rtl/>
        </w:rPr>
      </w:pPr>
    </w:p>
    <w:p w:rsidR="00C5357F" w:rsidRDefault="00C5357F" w:rsidP="00C5357F">
      <w:pPr>
        <w:spacing w:line="280" w:lineRule="exact"/>
        <w:ind w:left="360"/>
        <w:jc w:val="both"/>
        <w:rPr>
          <w:rFonts w:hint="cs"/>
          <w:rtl/>
        </w:rPr>
      </w:pPr>
      <w:r>
        <w:rPr>
          <w:rFonts w:hint="cs"/>
          <w:rtl/>
        </w:rPr>
        <w:t xml:space="preserve">בית-המשפט המחוזי (כבוד השופט וייס) פסק כי הדין עם המשיב. אין לראות במערער "מוצא", שכן חדר הכספות של בנק אינו "ברשותו" של הבנק. הסיבה לכך היא כי הבנק מעונין שהציבור ישכור את הכספות שבמקום, ובעלי הכספות נכנסים למקום, ועל כן דין המקום לענין המציאה, כרשות הרבים. זאת ועוד: לכל בעל כספת הזכות לגשת לכספת בשעות המשרד המקובלות, ועל כן חדר הכספות, יותר משהוא ברשותו של הבנק הוא ברשותם של הלקוחות עצמם. לאור מסקנתו זו, שוב לא היה על בית-המשפט לדון בשאלה, אם יש באי מסירת האגרות למערער משום שלילית מעמדו "כמוצא". עם זאת, ובדרך אגב, ציין בית-המשפט כי אם חדר הכספות הוא "ברשותו" של המערער, כי אז באי מסירת האגרות למערער יש משום הפרת חובתו של המשיב, ואין לשלול מהמערער את זכותו רק משום שהמשיב לא קיים את מצוות החוק. </w:t>
      </w:r>
    </w:p>
    <w:p w:rsidR="00C5357F" w:rsidRDefault="00C5357F" w:rsidP="00C5357F">
      <w:pPr>
        <w:spacing w:line="280" w:lineRule="exact"/>
        <w:ind w:left="360"/>
        <w:jc w:val="both"/>
        <w:rPr>
          <w:rFonts w:hint="cs"/>
        </w:rPr>
      </w:pPr>
    </w:p>
    <w:p w:rsidR="00C5357F" w:rsidRDefault="00C5357F" w:rsidP="00C5357F">
      <w:pPr>
        <w:numPr>
          <w:ilvl w:val="0"/>
          <w:numId w:val="19"/>
        </w:numPr>
        <w:spacing w:line="280" w:lineRule="exact"/>
        <w:jc w:val="both"/>
        <w:rPr>
          <w:rFonts w:hint="cs"/>
        </w:rPr>
      </w:pPr>
      <w:r>
        <w:rPr>
          <w:rFonts w:hint="cs"/>
          <w:rtl/>
        </w:rPr>
        <w:t xml:space="preserve">החוק אינו מגדיר "ברשותו של אדם אחר" מהי. על כן אלינו להעניק לביטוי זה את משמעותו על-פי כללי הפרשנות הרגילים. פשיטא שהמוצא עצמו אינו "אחר" לענין </w:t>
      </w:r>
      <w:hyperlink r:id="rId23" w:history="1">
        <w:r w:rsidR="00FC0712" w:rsidRPr="00FC0712">
          <w:rPr>
            <w:color w:val="0000FF"/>
            <w:u w:val="single"/>
            <w:rtl/>
          </w:rPr>
          <w:t>סעיף 3</w:t>
        </w:r>
      </w:hyperlink>
      <w:r>
        <w:rPr>
          <w:rFonts w:hint="cs"/>
          <w:rtl/>
        </w:rPr>
        <w:t xml:space="preserve"> לחוק. על כן "ברשותו של אדם אחר" היא בוודאי שלא ברשותו של המוצא עצמו. אך "רשותו של אדם" מה? האם זו בעלות </w:t>
      </w:r>
      <w:r>
        <w:rPr>
          <w:rtl/>
        </w:rPr>
        <w:t>–</w:t>
      </w:r>
      <w:r>
        <w:rPr>
          <w:rFonts w:hint="cs"/>
          <w:rtl/>
        </w:rPr>
        <w:t xml:space="preserve"> כפי שהביטוי "בעל רשות" עשוי להעיד </w:t>
      </w:r>
      <w:r>
        <w:rPr>
          <w:rtl/>
        </w:rPr>
        <w:t>–</w:t>
      </w:r>
      <w:r>
        <w:rPr>
          <w:rFonts w:hint="cs"/>
          <w:rtl/>
        </w:rPr>
        <w:t xml:space="preserve"> או חזקה, או תפיסה או שליטה של אדם בנכס? דומה כי הכל יסכימו כי דירתי שלי, בה אני </w:t>
      </w:r>
    </w:p>
    <w:p w:rsidR="009110C7" w:rsidRDefault="009110C7" w:rsidP="009110C7">
      <w:pPr>
        <w:spacing w:line="280" w:lineRule="exact"/>
        <w:ind w:left="360"/>
        <w:jc w:val="both"/>
        <w:rPr>
          <w:rFonts w:hint="cs"/>
          <w:rtl/>
        </w:rPr>
      </w:pPr>
      <w:r>
        <w:rPr>
          <w:rtl/>
        </w:rPr>
        <w:br w:type="page"/>
      </w:r>
      <w:r>
        <w:rPr>
          <w:rFonts w:hint="cs"/>
          <w:rtl/>
        </w:rPr>
        <w:lastRenderedPageBreak/>
        <w:t xml:space="preserve">מתגורר היא רשותי שלי, ואם אורח שהזדמן למקום מוצא בו אבידה שאיבד אורח אחר, הוא מצא את העבידה "ברשותו של אדם אחר". אך מדוע דירתי היא רשותי? האם חדר המדרגות אף הוא "ברשותו של אדם אחר"? האם אותו דין חל על חדר ההמתנה? על מגרש החניה? האם משרד ממשלתי או אולם של בית-משפט או מחנה צבאי או קיבוץ הוא "רשותו של אדם אחר"? האם חנות מכולת, סופרמרקט או שוק הם "רשותו של אדם אחר"? פשיטא שעצם נוכחותם של בני אדם במקום פלוני אינה שוללת מאותו מקום את תכונתו כ"רשות של אדם אחר", שכן הסיטואציה הבסיסית בה עוסק </w:t>
      </w:r>
      <w:hyperlink r:id="rId24" w:history="1">
        <w:r w:rsidR="00FC0712" w:rsidRPr="00FC0712">
          <w:rPr>
            <w:color w:val="0000FF"/>
            <w:u w:val="single"/>
            <w:rtl/>
          </w:rPr>
          <w:t>סעיף 3</w:t>
        </w:r>
      </w:hyperlink>
      <w:r>
        <w:rPr>
          <w:rFonts w:hint="cs"/>
          <w:rtl/>
        </w:rPr>
        <w:t xml:space="preserve"> לחוק היא שאדם אחד מצא מיטלטלין השייכים לאדם שני ברשותו של אדם שלישי. אך היש חשיבות לשאלה אם המוצא או המאבד נמצאים באותו מקום ברשות (כגון אורחים) או בזכות (כגון מכוח כרטיס)? היש חשיבות לכך אם הזכות היא מתחום המשפט הפרטי (חוזה) או מתחום המשפט הציבורי (זכות התנועה)? היש חשיבות לשאלה הכמותית, דהיינו, כמה אנשים נמצאו באותו מקום או רשאים להימצא באותו מקום?</w:t>
      </w:r>
    </w:p>
    <w:p w:rsidR="009110C7" w:rsidRDefault="009110C7" w:rsidP="009110C7">
      <w:pPr>
        <w:spacing w:line="280" w:lineRule="exact"/>
        <w:ind w:left="360"/>
        <w:jc w:val="both"/>
        <w:rPr>
          <w:rFonts w:hint="cs"/>
        </w:rPr>
      </w:pPr>
    </w:p>
    <w:p w:rsidR="00C5357F" w:rsidRDefault="004E5D3B" w:rsidP="00C5357F">
      <w:pPr>
        <w:numPr>
          <w:ilvl w:val="0"/>
          <w:numId w:val="19"/>
        </w:numPr>
        <w:spacing w:line="280" w:lineRule="exact"/>
        <w:jc w:val="both"/>
        <w:rPr>
          <w:rFonts w:hint="cs"/>
        </w:rPr>
      </w:pPr>
      <w:r>
        <w:rPr>
          <w:rFonts w:hint="cs"/>
          <w:rtl/>
        </w:rPr>
        <w:t xml:space="preserve">בחפשנו את המשמעות של הביטוי "ברשותו של אדם אחר" אין אנו נוטלים על עצמנו משימה בלשנית בלבד. אין לנו ענין רק בשאלה הלינגוויסטית בדבר משמעותו של הביטוי "ברשותו של אדם" </w:t>
      </w:r>
      <w:r w:rsidR="00432291">
        <w:rPr>
          <w:rFonts w:hint="cs"/>
          <w:rtl/>
        </w:rPr>
        <w:t xml:space="preserve">בהקשר של </w:t>
      </w:r>
      <w:hyperlink r:id="rId25" w:history="1">
        <w:r w:rsidR="00CA17A5" w:rsidRPr="00CA17A5">
          <w:rPr>
            <w:rStyle w:val="Hyperlink"/>
            <w:rtl/>
          </w:rPr>
          <w:t>חוק השבת אבידה</w:t>
        </w:r>
      </w:hyperlink>
      <w:r w:rsidR="00432291">
        <w:rPr>
          <w:rFonts w:hint="cs"/>
          <w:rtl/>
        </w:rPr>
        <w:t xml:space="preserve">. שכן זאת יש לזכור, הביטוי "רשותו של אדם" עשוי להיות בעל משמעות שונה על-פי הקשרה של הסוגיה המשפטית בה מתעוררת שאלת פירושו. על כן, דומה שאין משמעות לשאלה האם מקום פלוני הוא "ברשותו של אחר", שכן השואל שאלה זו מן הראוי שיזכה בתשובה: לצורך איזו סוגיה משפטית נשאלת השאלה? יתכן מאד כי מקום פלוני הוא ברשותו של אחר לענין אחריות בנזיקין של בעל הרשות, אך אינו ברשותו של אותו אחר לענין חובתו כשומר. נמצא, כי השאלה המעסיקה אותנו היא משמעותו של הביטוי "ברשותו של אדם אחר" לענין </w:t>
      </w:r>
      <w:hyperlink r:id="rId26" w:history="1">
        <w:r w:rsidR="00CA17A5" w:rsidRPr="00CA17A5">
          <w:rPr>
            <w:rStyle w:val="Hyperlink"/>
            <w:rtl/>
          </w:rPr>
          <w:t>חוק השבת אבידה</w:t>
        </w:r>
      </w:hyperlink>
      <w:r w:rsidR="00432291">
        <w:rPr>
          <w:rFonts w:hint="cs"/>
          <w:rtl/>
        </w:rPr>
        <w:t xml:space="preserve">. לשם מתן תשובה על שאלה זו יש ליתן את הדעת למהותו של </w:t>
      </w:r>
      <w:hyperlink r:id="rId27" w:history="1">
        <w:r w:rsidR="00CA17A5" w:rsidRPr="00CA17A5">
          <w:rPr>
            <w:rStyle w:val="Hyperlink"/>
            <w:rtl/>
          </w:rPr>
          <w:t>חוק השבת אבידה</w:t>
        </w:r>
      </w:hyperlink>
      <w:r w:rsidR="00432291">
        <w:rPr>
          <w:rFonts w:hint="cs"/>
          <w:rtl/>
        </w:rPr>
        <w:t xml:space="preserve"> ולמטרתו. </w:t>
      </w:r>
    </w:p>
    <w:p w:rsidR="00432291" w:rsidRDefault="00432291" w:rsidP="00432291">
      <w:pPr>
        <w:spacing w:line="280" w:lineRule="exact"/>
        <w:jc w:val="both"/>
        <w:rPr>
          <w:rFonts w:hint="cs"/>
        </w:rPr>
      </w:pPr>
    </w:p>
    <w:p w:rsidR="00432291" w:rsidRDefault="00432291" w:rsidP="005078C9">
      <w:pPr>
        <w:numPr>
          <w:ilvl w:val="0"/>
          <w:numId w:val="19"/>
        </w:numPr>
        <w:spacing w:line="280" w:lineRule="exact"/>
        <w:ind w:left="720" w:hanging="720"/>
        <w:jc w:val="both"/>
        <w:rPr>
          <w:rFonts w:hint="cs"/>
        </w:rPr>
      </w:pPr>
      <w:r>
        <w:rPr>
          <w:rFonts w:hint="cs"/>
          <w:rtl/>
        </w:rPr>
        <w:t>(א)</w:t>
      </w:r>
      <w:r>
        <w:rPr>
          <w:rFonts w:hint="cs"/>
          <w:rtl/>
        </w:rPr>
        <w:tab/>
        <w:t xml:space="preserve">מטרתו של </w:t>
      </w:r>
      <w:hyperlink r:id="rId28" w:history="1">
        <w:r w:rsidR="00CA17A5" w:rsidRPr="00CA17A5">
          <w:rPr>
            <w:rStyle w:val="Hyperlink"/>
            <w:rtl/>
          </w:rPr>
          <w:t>חוק השבת אבידה</w:t>
        </w:r>
      </w:hyperlink>
      <w:r>
        <w:rPr>
          <w:rFonts w:hint="cs"/>
          <w:rtl/>
        </w:rPr>
        <w:t xml:space="preserve"> </w:t>
      </w:r>
      <w:r>
        <w:rPr>
          <w:rtl/>
        </w:rPr>
        <w:t>–</w:t>
      </w:r>
      <w:r>
        <w:rPr>
          <w:rFonts w:hint="cs"/>
          <w:rtl/>
        </w:rPr>
        <w:t xml:space="preserve"> כפי ששמו מעיד עליו </w:t>
      </w:r>
      <w:r>
        <w:rPr>
          <w:rtl/>
        </w:rPr>
        <w:t>–</w:t>
      </w:r>
      <w:r>
        <w:rPr>
          <w:rFonts w:hint="cs"/>
          <w:rtl/>
        </w:rPr>
        <w:t xml:space="preserve"> היא השבת האבידה לבעליה. מטרה זו תוגשם, בראש ובראשונה, אם המוצא עצמו יטול יוזמה וישיב את האבידה לבעליה. החוק מטיל על המוצא חובה לעשות כן. אך לעיתים אין בעל האבידה ידוע, ואפילו ידוע בעל האבידה, עשויה חובת החיפוש אחריו להטיל על המוצא מעמסה שיאן להניח כי הוא יעמוד בה. על כן קבע החוק כי המוצא יוצא ידי חובתו אם הוא מודיע על המציאה למשטרה. חזקה על בעל האבידה, כי אם לא ימצא אותה במקום שהוא ציפה למוצאה, יפנה למשטרה לברר אם יש מידע עליה. רואים אנו, איפוא, כי לשם הגשמת מטרת החוק, היא השבת האבידה לבעליה, הוטלה על המוצא חובת עשה: השבת האבידה לבעליה או הודעה למשטרה. בצדה של חובה זו אף נקבעה סנקציה פלילית. מוצא שאינו מקיים את המוטל עליו לפי החוק, דינו מאסר שישה חודשים או קנס 2,000 ל"י (</w:t>
      </w:r>
      <w:hyperlink r:id="rId29" w:history="1">
        <w:r w:rsidR="00FC0712" w:rsidRPr="00FC0712">
          <w:rPr>
            <w:color w:val="0000FF"/>
            <w:u w:val="single"/>
            <w:rtl/>
          </w:rPr>
          <w:t>סעיף 9</w:t>
        </w:r>
      </w:hyperlink>
      <w:r>
        <w:rPr>
          <w:rFonts w:hint="cs"/>
          <w:rtl/>
        </w:rPr>
        <w:t xml:space="preserve"> לחוק). כנגד חובות אל קבע החוק מספר הסדרים שיש בהם כדי להקל </w:t>
      </w:r>
    </w:p>
    <w:p w:rsidR="005078C9" w:rsidRDefault="005078C9" w:rsidP="005078C9">
      <w:pPr>
        <w:spacing w:line="280" w:lineRule="exact"/>
        <w:jc w:val="both"/>
        <w:rPr>
          <w:rFonts w:hint="cs"/>
          <w:rtl/>
        </w:rPr>
      </w:pPr>
    </w:p>
    <w:p w:rsidR="005078C9" w:rsidRDefault="005078C9" w:rsidP="005078C9">
      <w:pPr>
        <w:spacing w:line="280" w:lineRule="exact"/>
        <w:ind w:left="360"/>
        <w:jc w:val="both"/>
        <w:rPr>
          <w:rFonts w:hint="cs"/>
          <w:rtl/>
        </w:rPr>
      </w:pPr>
    </w:p>
    <w:p w:rsidR="005078C9" w:rsidRDefault="005078C9" w:rsidP="005078C9">
      <w:pPr>
        <w:spacing w:line="280" w:lineRule="exact"/>
        <w:ind w:left="720"/>
        <w:jc w:val="both"/>
        <w:rPr>
          <w:rFonts w:hint="cs"/>
          <w:rtl/>
        </w:rPr>
      </w:pPr>
      <w:r>
        <w:rPr>
          <w:rtl/>
        </w:rPr>
        <w:br w:type="page"/>
      </w:r>
      <w:r>
        <w:rPr>
          <w:rFonts w:hint="cs"/>
          <w:rtl/>
        </w:rPr>
        <w:lastRenderedPageBreak/>
        <w:t xml:space="preserve">ואף להיטיב עם המוצא המקיים את החובות המוטלות עליו על-פי החוק: </w:t>
      </w:r>
      <w:r>
        <w:rPr>
          <w:rFonts w:hint="cs"/>
          <w:b/>
          <w:bCs/>
          <w:rtl/>
        </w:rPr>
        <w:t>ראשית</w:t>
      </w:r>
      <w:r>
        <w:rPr>
          <w:rFonts w:hint="cs"/>
          <w:rtl/>
        </w:rPr>
        <w:t xml:space="preserve">, המוצא רשאי למסור את האבידה למשטרה וזו חייבת לקבל את האבידה ממנו. בכך שחרר החוק את המוצא מחובת השמירה אשר היתה מוטלת עליו על-פי </w:t>
      </w:r>
      <w:hyperlink r:id="rId30" w:history="1">
        <w:r w:rsidR="00CA17A5" w:rsidRPr="00CA17A5">
          <w:rPr>
            <w:rStyle w:val="Hyperlink"/>
            <w:rtl/>
          </w:rPr>
          <w:t>חוק השומרים</w:t>
        </w:r>
      </w:hyperlink>
      <w:r>
        <w:rPr>
          <w:rFonts w:hint="cs"/>
          <w:rtl/>
        </w:rPr>
        <w:t xml:space="preserve">, תשכ"ז-1967, אילו המשיך בהחזקת האבידה. </w:t>
      </w:r>
      <w:r>
        <w:rPr>
          <w:rFonts w:hint="cs"/>
          <w:b/>
          <w:bCs/>
          <w:rtl/>
        </w:rPr>
        <w:t>שנית</w:t>
      </w:r>
      <w:r>
        <w:rPr>
          <w:rFonts w:hint="cs"/>
          <w:rtl/>
        </w:rPr>
        <w:t>, לא נתגלה בעל האבידה בתוך ארבעה חודשים, יהיה המוצא בעל האבידה. על מטרתו זו של החוק ועל הדרכים להגשמתה עמד חבר הכנסת ביבי, שעה שהציג בשם ועדת החוקה, חוק ומשפט את הצעת החוק לקריאה שנייה ושלישית:</w:t>
      </w:r>
    </w:p>
    <w:p w:rsidR="005078C9" w:rsidRDefault="005078C9" w:rsidP="005078C9">
      <w:pPr>
        <w:spacing w:line="280" w:lineRule="exact"/>
        <w:ind w:left="720"/>
        <w:jc w:val="both"/>
        <w:rPr>
          <w:rFonts w:hint="cs"/>
          <w:rtl/>
        </w:rPr>
      </w:pPr>
    </w:p>
    <w:p w:rsidR="005078C9" w:rsidRDefault="005078C9" w:rsidP="005078C9">
      <w:pPr>
        <w:spacing w:line="280" w:lineRule="exact"/>
        <w:ind w:left="1440" w:right="1260"/>
        <w:jc w:val="both"/>
        <w:rPr>
          <w:rFonts w:hint="cs"/>
          <w:rtl/>
        </w:rPr>
      </w:pPr>
      <w:r>
        <w:rPr>
          <w:rFonts w:hint="cs"/>
          <w:rtl/>
        </w:rPr>
        <w:t>"מטרת החוק היא עידוד השבת אבידה לבעלים, הן על-ידי הטלת סנקציות במקרה שלא תוחזר האבידה והן על-ידי זכייה באבידה אם הבעלים לא יבקשו אותה". ("דברי הכנסת", כרך 67, ע' 3595).</w:t>
      </w:r>
    </w:p>
    <w:p w:rsidR="005078C9" w:rsidRPr="005078C9" w:rsidRDefault="005078C9" w:rsidP="005078C9">
      <w:pPr>
        <w:spacing w:line="280" w:lineRule="exact"/>
        <w:jc w:val="both"/>
        <w:rPr>
          <w:rFonts w:hint="cs"/>
          <w:rtl/>
        </w:rPr>
      </w:pPr>
    </w:p>
    <w:p w:rsidR="00490201" w:rsidRDefault="005078C9" w:rsidP="00490201">
      <w:pPr>
        <w:numPr>
          <w:ilvl w:val="0"/>
          <w:numId w:val="20"/>
        </w:numPr>
        <w:spacing w:line="280" w:lineRule="exact"/>
        <w:jc w:val="both"/>
        <w:rPr>
          <w:rFonts w:hint="cs"/>
        </w:rPr>
      </w:pPr>
      <w:r>
        <w:rPr>
          <w:rFonts w:hint="cs"/>
          <w:rtl/>
        </w:rPr>
        <w:t xml:space="preserve">נמצאה האבידה ברשותו של אדם אחר, חייב המוצא להודיע עליה לבעל הרשות, ואף למסור לו את האבידה לפי דרישתו. נראה כי גישתו של המחוקק היא כי השבת האבידה לבעליה מאשר השארתה בידי המוצא. הסיבות לכך הן שתיים: </w:t>
      </w:r>
      <w:r>
        <w:rPr>
          <w:rFonts w:hint="cs"/>
          <w:b/>
          <w:bCs/>
          <w:rtl/>
        </w:rPr>
        <w:t>ראשית</w:t>
      </w:r>
      <w:r>
        <w:rPr>
          <w:rFonts w:hint="cs"/>
          <w:rtl/>
        </w:rPr>
        <w:t>, טבעי הוא כי בעל האבידה ישוב למקום בו זו אבדה לו. ציפייתו הסבירה היא, כי אם האבידה נמצאה באותו מקום, ואם יש במקום אדם שמטבע זיקתו למקום עשוי לשמור עליה, הוא יוכל לקבלה שם, ולא יהא עליו לחפש אחר המוצא. על שיקול זה עמד חבר הכנסת ביבי שעה שהציג את הצעת החוק</w:t>
      </w:r>
      <w:r w:rsidR="00490201">
        <w:rPr>
          <w:rFonts w:hint="cs"/>
          <w:rtl/>
        </w:rPr>
        <w:t xml:space="preserve"> לקריאה שנייה ושלישית בשם ועדת החוק חוק ומשפט:</w:t>
      </w:r>
    </w:p>
    <w:p w:rsidR="00490201" w:rsidRDefault="00490201" w:rsidP="00490201">
      <w:pPr>
        <w:spacing w:line="280" w:lineRule="exact"/>
        <w:ind w:left="720"/>
        <w:jc w:val="both"/>
        <w:rPr>
          <w:rFonts w:hint="cs"/>
          <w:rtl/>
        </w:rPr>
      </w:pPr>
    </w:p>
    <w:p w:rsidR="00490201" w:rsidRDefault="00490201" w:rsidP="00490201">
      <w:pPr>
        <w:spacing w:line="280" w:lineRule="exact"/>
        <w:ind w:left="1440" w:right="1260"/>
        <w:jc w:val="both"/>
        <w:rPr>
          <w:rFonts w:hint="cs"/>
          <w:rtl/>
        </w:rPr>
      </w:pPr>
      <w:r>
        <w:rPr>
          <w:rFonts w:hint="cs"/>
          <w:rtl/>
        </w:rPr>
        <w:t>"ההסתייגות השניה של חבר-הכנסת פרוש כוונתה לצמצם למקרה שמישהו מצא מציאה בבית שלי, למשל. אבל הועדה מצאה לנכון להרחיב זאת גם על מי שמצא מציאה בחנות, שהיא רשותו של יחיד הפתוחה לרבים, כדי לא להטריח את האשה, שבאה לקנות בחנות ושכחה משהו, לנדוד ולחפש את החפץ  ששכחה במקום אחר. כלומר, שזה לא יחול רק בצורה מצומצמת על מקומות שהם רשות היחיד ואינם פתוחים לרבים. מסיבה זו גם הצעתו של חבר-הכנת פרוש בענין זה לא נתקבלה. בדרך כלל קורה, שאדם שוכח דבר בחנות או בבית מסחר, ואז רצוי להשיב את האבידה לבעל החנות, כדי שבעל האבידה ימצאנה אצלו. צריך להקל על מציאת אבידה והשבתה ולא להכביד על הליך זה". (שם, ע' 3958).</w:t>
      </w:r>
    </w:p>
    <w:p w:rsidR="00490201" w:rsidRDefault="00490201" w:rsidP="00490201">
      <w:pPr>
        <w:spacing w:line="280" w:lineRule="exact"/>
        <w:ind w:left="720"/>
        <w:jc w:val="both"/>
        <w:rPr>
          <w:rFonts w:hint="cs"/>
          <w:rtl/>
        </w:rPr>
      </w:pPr>
    </w:p>
    <w:p w:rsidR="00490201" w:rsidRDefault="00490201" w:rsidP="00490201">
      <w:pPr>
        <w:spacing w:line="280" w:lineRule="exact"/>
        <w:ind w:left="720"/>
        <w:jc w:val="both"/>
        <w:rPr>
          <w:rFonts w:hint="cs"/>
          <w:rtl/>
        </w:rPr>
      </w:pPr>
      <w:r>
        <w:rPr>
          <w:rFonts w:hint="cs"/>
          <w:b/>
          <w:bCs/>
          <w:rtl/>
        </w:rPr>
        <w:t>שנית</w:t>
      </w:r>
      <w:r>
        <w:rPr>
          <w:rFonts w:hint="cs"/>
          <w:rtl/>
        </w:rPr>
        <w:t xml:space="preserve">, ההסתברות היא גבוהה שבעל המקום בו נמצאה האבידה, מטבע זיקתו למקום, ישמור על האבידה לטובת בעליה יותר מאשר המוצא המזדמן. בעל המקום עשוי להרגיש במצב הדברים הטיפוסי, חובה לשמור על המיטלטלין שאבדו ברשותו, ולעיתים קרובות יש לו אף אינטרס לעשות כן. יעידו על כך המחלקות </w:t>
      </w:r>
      <w:r w:rsidR="009B46AD">
        <w:rPr>
          <w:rFonts w:hint="cs"/>
          <w:rtl/>
        </w:rPr>
        <w:t xml:space="preserve"> לחפצים אבודים שנותני שירות מקיימים לטובת לקוחותיהם. </w:t>
      </w:r>
    </w:p>
    <w:p w:rsidR="009B46AD" w:rsidRDefault="009B46AD" w:rsidP="00490201">
      <w:pPr>
        <w:spacing w:line="280" w:lineRule="exact"/>
        <w:ind w:left="720"/>
        <w:jc w:val="both"/>
        <w:rPr>
          <w:rFonts w:hint="cs"/>
          <w:rtl/>
        </w:rPr>
      </w:pPr>
      <w:r>
        <w:rPr>
          <w:b/>
          <w:bCs/>
          <w:rtl/>
        </w:rPr>
        <w:br w:type="page"/>
      </w:r>
      <w:r w:rsidRPr="009B46AD">
        <w:rPr>
          <w:rFonts w:hint="cs"/>
          <w:rtl/>
        </w:rPr>
        <w:lastRenderedPageBreak/>
        <w:t xml:space="preserve">על </w:t>
      </w:r>
      <w:r>
        <w:rPr>
          <w:rFonts w:hint="cs"/>
          <w:rtl/>
        </w:rPr>
        <w:t xml:space="preserve">שיקולים אלה עמדו מספר מחברים שעסקו בסוגית האבידה והמציאה. בהציעם כי כל עוד לא נמצא בעל האבידה וכל עוד החיפושים אחריו נמשכים, ישמור על האבידה בעל המקום בו היא נמצאה ולא המוצא, עמדו מחברים אלה על השיקולים הנזכרים. אומר פרופ' </w:t>
      </w:r>
      <w:r>
        <w:t>Riesman</w:t>
      </w:r>
      <w:r>
        <w:rPr>
          <w:rFonts w:hint="cs"/>
          <w:rtl/>
        </w:rPr>
        <w:t>:</w:t>
      </w:r>
    </w:p>
    <w:p w:rsidR="009B46AD" w:rsidRDefault="009B46AD" w:rsidP="00490201">
      <w:pPr>
        <w:spacing w:line="280" w:lineRule="exact"/>
        <w:ind w:left="720"/>
        <w:jc w:val="both"/>
        <w:rPr>
          <w:rFonts w:hint="cs"/>
          <w:rtl/>
        </w:rPr>
      </w:pPr>
    </w:p>
    <w:p w:rsidR="00647C73" w:rsidRDefault="009B46AD" w:rsidP="00647C73">
      <w:pPr>
        <w:bidi w:val="0"/>
        <w:spacing w:line="280" w:lineRule="exact"/>
        <w:ind w:left="1440" w:right="1260"/>
        <w:jc w:val="both"/>
      </w:pPr>
      <w:r>
        <w:t>"Everyone who disco</w:t>
      </w:r>
      <w:r w:rsidR="00952D48">
        <w:t xml:space="preserve">vers a loss retraces his steps, if possible, in order to find the article, or to inquire if it has been found. An occupier, more likely to remember his visitors then they are to remember each other, will recall and check with them if some lost article turns up. </w:t>
      </w:r>
      <w:r w:rsidR="00647C73">
        <w:t>Especially in hotels , trains, stores</w:t>
      </w:r>
      <w:r w:rsidR="00D90519">
        <w:t>, theatres; if something is fund, the occupier is likely to be more responsible then employees, visitors or transient guests".</w:t>
      </w:r>
    </w:p>
    <w:p w:rsidR="00D90519" w:rsidRDefault="00D90519" w:rsidP="00D90519">
      <w:pPr>
        <w:bidi w:val="0"/>
        <w:spacing w:line="280" w:lineRule="exact"/>
        <w:ind w:left="1440" w:right="1260"/>
        <w:jc w:val="both"/>
      </w:pPr>
      <w:r>
        <w:t>(Riesman, Possession an Law of Finders, 52 (1939) H.L.R. 1105, 1125).</w:t>
      </w:r>
    </w:p>
    <w:p w:rsidR="009B46AD" w:rsidRDefault="009B46AD" w:rsidP="00490201">
      <w:pPr>
        <w:spacing w:line="280" w:lineRule="exact"/>
        <w:ind w:left="720"/>
        <w:jc w:val="both"/>
        <w:rPr>
          <w:rFonts w:hint="cs"/>
          <w:rtl/>
        </w:rPr>
      </w:pPr>
    </w:p>
    <w:p w:rsidR="00D90519" w:rsidRDefault="00D90519" w:rsidP="00490201">
      <w:pPr>
        <w:spacing w:line="280" w:lineRule="exact"/>
        <w:ind w:left="720"/>
        <w:jc w:val="both"/>
        <w:rPr>
          <w:rFonts w:hint="cs"/>
          <w:rtl/>
        </w:rPr>
      </w:pPr>
      <w:r>
        <w:rPr>
          <w:rFonts w:hint="cs"/>
          <w:rtl/>
        </w:rPr>
        <w:t>על אותם שיקולים עומד אף מחבר אחר, באומרו:</w:t>
      </w:r>
    </w:p>
    <w:p w:rsidR="00D90519" w:rsidRDefault="00D90519" w:rsidP="00490201">
      <w:pPr>
        <w:spacing w:line="280" w:lineRule="exact"/>
        <w:ind w:left="720"/>
        <w:jc w:val="both"/>
        <w:rPr>
          <w:rFonts w:hint="cs"/>
          <w:rtl/>
        </w:rPr>
      </w:pPr>
    </w:p>
    <w:p w:rsidR="00D90519" w:rsidRDefault="00C01755" w:rsidP="00C01755">
      <w:pPr>
        <w:bidi w:val="0"/>
        <w:spacing w:line="280" w:lineRule="exact"/>
        <w:ind w:left="1440" w:right="1260"/>
        <w:jc w:val="both"/>
      </w:pPr>
      <w:r>
        <w:t xml:space="preserve">"Disregarding all find distinctions, the writer suggests that in every case the occupier of the locus in quo should prevail. For, as has been pointed out, a finder gets no title, but becomes a mere bailee for the true owner; and it is the owner's interest that should be of paramount </w:t>
      </w:r>
      <w:r w:rsidR="006A3B54">
        <w:t xml:space="preserve">importance. These interest would be best protected if the owner of the premises were to retain custody, for not only would the probabilities be greater that he would be apt to be a responsible person, but also the difficulties is tracing would be less perplexing then would be the case if the object were awarded to some transient finder." </w:t>
      </w:r>
    </w:p>
    <w:p w:rsidR="006A3B54" w:rsidRDefault="006A3B54" w:rsidP="006A3B54">
      <w:pPr>
        <w:bidi w:val="0"/>
        <w:spacing w:line="280" w:lineRule="exact"/>
        <w:ind w:left="1440" w:right="1260"/>
        <w:jc w:val="both"/>
        <w:rPr>
          <w:rtl/>
        </w:rPr>
      </w:pPr>
      <w:r>
        <w:t>(Mitchell, "Rights of Finders as A</w:t>
      </w:r>
      <w:r w:rsidR="000D0041">
        <w:t>gainst the Owner of the Locus in quo". 22 (1936) Cornell Law Quarterly 263, 265)</w:t>
      </w:r>
    </w:p>
    <w:p w:rsidR="00D90519" w:rsidRPr="00D90519" w:rsidRDefault="00D90519" w:rsidP="00490201">
      <w:pPr>
        <w:spacing w:line="280" w:lineRule="exact"/>
        <w:ind w:left="720"/>
        <w:jc w:val="both"/>
        <w:rPr>
          <w:rFonts w:hint="cs"/>
          <w:rtl/>
        </w:rPr>
      </w:pPr>
    </w:p>
    <w:p w:rsidR="00490201" w:rsidRDefault="0037554D" w:rsidP="00490201">
      <w:pPr>
        <w:numPr>
          <w:ilvl w:val="0"/>
          <w:numId w:val="20"/>
        </w:numPr>
        <w:spacing w:line="280" w:lineRule="exact"/>
        <w:jc w:val="both"/>
        <w:rPr>
          <w:rFonts w:hint="cs"/>
        </w:rPr>
      </w:pPr>
      <w:r>
        <w:rPr>
          <w:rFonts w:hint="cs"/>
          <w:rtl/>
        </w:rPr>
        <w:t>לשם הגשמתה של מדיניות חקיקתית זו הטיל החוק על המוצא חובה להודיע על דבר המציאה לבעל הרשות, ואף למסור לו אותה על-פי דרישתו. מוצא שאינו מקיים חובה זו עובר עבירה פלילית (</w:t>
      </w:r>
      <w:hyperlink r:id="rId31" w:history="1">
        <w:r w:rsidR="00FC0712" w:rsidRPr="00FC0712">
          <w:rPr>
            <w:color w:val="0000FF"/>
            <w:u w:val="single"/>
            <w:rtl/>
          </w:rPr>
          <w:t>סעיף 9</w:t>
        </w:r>
      </w:hyperlink>
      <w:r>
        <w:rPr>
          <w:rFonts w:hint="cs"/>
          <w:rtl/>
        </w:rPr>
        <w:t xml:space="preserve"> לחוק). בעל הרשות שקיבל לידיו את האבידה, נחשב כמוצא. על כן מוטלת עליו החובה להשיב את האבידה לבעליה או להודיע עליה למשטרה. נמנע הוא מלעשות כן הוא עובר עבירה פלילית. כנגד חובות אלה, נקבעו אף כאן מספר הסדרים שיש בהם כדי להקל עם המוצא ובעל הרשות בדרך של שחרורם מחבותם כשומרים ולהיטיב עם בעל הרשות בדרך של הענקת בעלות. עם מסירת האבידה לבעתה רשות, יוצא המוצא ידי חובת השמירה המוטלת עליו. כפי שנאמר בדברי ההסבר להצעת החוק:</w:t>
      </w:r>
    </w:p>
    <w:p w:rsidR="0037554D" w:rsidRDefault="0037554D" w:rsidP="0037554D">
      <w:pPr>
        <w:spacing w:line="280" w:lineRule="exact"/>
        <w:ind w:left="720"/>
        <w:jc w:val="both"/>
        <w:rPr>
          <w:rFonts w:hint="cs"/>
          <w:rtl/>
        </w:rPr>
      </w:pPr>
      <w:r>
        <w:rPr>
          <w:rtl/>
        </w:rPr>
        <w:br w:type="page"/>
      </w:r>
    </w:p>
    <w:p w:rsidR="0037554D" w:rsidRDefault="00220518" w:rsidP="00C37398">
      <w:pPr>
        <w:spacing w:line="280" w:lineRule="exact"/>
        <w:ind w:left="1440" w:right="1260"/>
        <w:jc w:val="both"/>
        <w:rPr>
          <w:rFonts w:hint="cs"/>
          <w:rtl/>
        </w:rPr>
      </w:pPr>
      <w:r>
        <w:rPr>
          <w:rFonts w:hint="cs"/>
          <w:rtl/>
        </w:rPr>
        <w:t>"בדרך כלל אין שומר, ושומר אבידה בכלל זה, משתחרר מאחריות השמירה במסרו את הנכס שהוא מופקד עליו לשומר אחר. אלא שאם האבידה נמצאה ברשות היחיד של האחר ובעל הרשות הסכם לקבלה, יראו את בעל הרשות כמוצא לצורך חוק זה, ואילו המוצא המקורי ישתחרר מאחריות וממילא אינו זכאי לזכות בה לפי סעיף 4(א). דו</w:t>
      </w:r>
      <w:r w:rsidR="00C37398">
        <w:rPr>
          <w:rFonts w:hint="cs"/>
          <w:rtl/>
        </w:rPr>
        <w:t>ג</w:t>
      </w:r>
      <w:r>
        <w:rPr>
          <w:rFonts w:hint="cs"/>
          <w:rtl/>
        </w:rPr>
        <w:t xml:space="preserve">מה לענין זה </w:t>
      </w:r>
      <w:r>
        <w:rPr>
          <w:rtl/>
        </w:rPr>
        <w:t>–</w:t>
      </w:r>
      <w:r>
        <w:rPr>
          <w:rFonts w:hint="cs"/>
          <w:rtl/>
        </w:rPr>
        <w:t xml:space="preserve"> מפץ שאבד באוטובוס והמוצא מסר אותה לנהג". (ה"ח 930, תשל"א, ע' 165).</w:t>
      </w:r>
    </w:p>
    <w:p w:rsidR="0037554D" w:rsidRDefault="0037554D" w:rsidP="0037554D">
      <w:pPr>
        <w:spacing w:line="280" w:lineRule="exact"/>
        <w:ind w:left="720"/>
        <w:jc w:val="both"/>
        <w:rPr>
          <w:rFonts w:hint="cs"/>
          <w:rtl/>
        </w:rPr>
      </w:pPr>
    </w:p>
    <w:p w:rsidR="00C37398" w:rsidRDefault="00C37398" w:rsidP="0037554D">
      <w:pPr>
        <w:spacing w:line="280" w:lineRule="exact"/>
        <w:ind w:left="720"/>
        <w:jc w:val="both"/>
        <w:rPr>
          <w:rFonts w:hint="cs"/>
          <w:rtl/>
        </w:rPr>
      </w:pPr>
      <w:r>
        <w:rPr>
          <w:rFonts w:hint="cs"/>
          <w:rtl/>
        </w:rPr>
        <w:t xml:space="preserve">זאת ועוד: אין הוא חייב להודיע על דבר האבידה למשטרה, ודי לו כי הודיע על כך לבעל הרשות. זה האחרון משתחרר אף הוא מחובת השמירה שעה שהוא מוסר האבידה למשטרה. אך המחוקק היטיב עמו אף למעלה מזאת, שכן אם לא נתגלה בעל האבידה תוך ארבעה חודשים, יהא בעל הרשות לבעל האבידה. בקובעו הסדר זה "שילם" המחוקק "מחיר" יקר. המוצא המקורי אינו זוכה בכל פרס עבור טרחתו, ואין החוק מעודד אותו </w:t>
      </w:r>
      <w:r>
        <w:rPr>
          <w:rtl/>
        </w:rPr>
        <w:t>–</w:t>
      </w:r>
      <w:r>
        <w:rPr>
          <w:rFonts w:hint="cs"/>
          <w:rtl/>
        </w:rPr>
        <w:t xml:space="preserve"> מעבר להגינות הטבעית הטבועה בכל אדם </w:t>
      </w:r>
      <w:r>
        <w:rPr>
          <w:rtl/>
        </w:rPr>
        <w:t>–</w:t>
      </w:r>
      <w:r>
        <w:rPr>
          <w:rFonts w:hint="cs"/>
          <w:rtl/>
        </w:rPr>
        <w:t xml:space="preserve"> למסור האבידה לבעל הרשות. על התבונה שבהסדר זה ניתן לחלוק.</w:t>
      </w:r>
    </w:p>
    <w:p w:rsidR="00C37398" w:rsidRDefault="00C37398" w:rsidP="0037554D">
      <w:pPr>
        <w:spacing w:line="280" w:lineRule="exact"/>
        <w:ind w:left="720"/>
        <w:jc w:val="both"/>
        <w:rPr>
          <w:rFonts w:hint="cs"/>
        </w:rPr>
      </w:pPr>
    </w:p>
    <w:p w:rsidR="0037554D" w:rsidRDefault="00C37398" w:rsidP="00490201">
      <w:pPr>
        <w:numPr>
          <w:ilvl w:val="0"/>
          <w:numId w:val="20"/>
        </w:numPr>
        <w:spacing w:line="280" w:lineRule="exact"/>
        <w:jc w:val="both"/>
        <w:rPr>
          <w:rFonts w:hint="cs"/>
        </w:rPr>
      </w:pPr>
      <w:r>
        <w:rPr>
          <w:rFonts w:hint="cs"/>
          <w:rtl/>
        </w:rPr>
        <w:t xml:space="preserve">עיון במדיניותו של </w:t>
      </w:r>
      <w:hyperlink r:id="rId32" w:history="1">
        <w:r w:rsidR="00CA17A5" w:rsidRPr="00CA17A5">
          <w:rPr>
            <w:rStyle w:val="Hyperlink"/>
            <w:rtl/>
          </w:rPr>
          <w:t>חוק השבת אבידה</w:t>
        </w:r>
      </w:hyperlink>
      <w:r>
        <w:rPr>
          <w:rFonts w:hint="cs"/>
          <w:rtl/>
        </w:rPr>
        <w:t xml:space="preserve"> מוביל למסקנה, כי ההכרעה בשאלה למי תוענק הבעלות באבידה </w:t>
      </w:r>
      <w:r>
        <w:rPr>
          <w:rtl/>
        </w:rPr>
        <w:t>–</w:t>
      </w:r>
      <w:r>
        <w:rPr>
          <w:rFonts w:hint="cs"/>
          <w:rtl/>
        </w:rPr>
        <w:t xml:space="preserve"> למוצא המקורי או לבעל המקום בו נמצאה </w:t>
      </w:r>
      <w:r>
        <w:rPr>
          <w:rtl/>
        </w:rPr>
        <w:t>–</w:t>
      </w:r>
      <w:r>
        <w:rPr>
          <w:rFonts w:hint="cs"/>
          <w:rtl/>
        </w:rPr>
        <w:t xml:space="preserve"> אבידה אינה צריכה להיעשות אך על-פי מידת הצדק שיש בהענקת הבעלות לזה או לזה. על-פי אמות מידה אלה, יתכן שבכל מקרה יש להעניק את הבעלות למוצא, שבהגינותו הרבה טרח ונטל את האבידה, ואף הודיע עליה לבעל המקום ומסרה לו. אך לא זו היתה גישתו של המחוקק. זאת ועוד: מידת הצדק יתכן שדורשת לחלק את הבעלות בין השניים. יהיו בוודאי מקרים בהם מידת הצדק דורשת שלא להעניק בעלות לאיש. אכן, המחוקק עצמו פה באפשרות זו בקובעו כי "שר המשטרה רשאי, בהתייעצות עם שר המשפטים, לקבוע בתקנות שעל אבידות יקרות ערך, או שניתן להניח שהן בעלות ערך רגשי מיוחד לבעליהן, ועל סוגים מיוחדים אחרים של אבידות, לא יחולו הוראות סעיף זה או שיחולו בהארכת התקופות האמורות בו או בשינויים אחרים שנקבעו בתקנות" (</w:t>
      </w:r>
      <w:hyperlink r:id="rId33" w:history="1">
        <w:r w:rsidR="00FC0712" w:rsidRPr="00FC0712">
          <w:rPr>
            <w:color w:val="0000FF"/>
            <w:u w:val="single"/>
            <w:rtl/>
          </w:rPr>
          <w:t>סעיף 4(ג)</w:t>
        </w:r>
      </w:hyperlink>
      <w:r>
        <w:rPr>
          <w:rFonts w:hint="cs"/>
          <w:rtl/>
        </w:rPr>
        <w:t xml:space="preserve"> לחוק). נמצא כי ההכרעה בשאלת הבעלות היא אך אמצעי להגשת מטרתו העיקרית של החוק, דהיינו, השבת האבידה לבעליה.</w:t>
      </w:r>
    </w:p>
    <w:p w:rsidR="00C37398" w:rsidRDefault="00C37398" w:rsidP="00C37398">
      <w:pPr>
        <w:spacing w:line="280" w:lineRule="exact"/>
        <w:ind w:left="720"/>
        <w:jc w:val="both"/>
        <w:rPr>
          <w:rFonts w:hint="cs"/>
          <w:rtl/>
        </w:rPr>
      </w:pPr>
    </w:p>
    <w:p w:rsidR="007A092A" w:rsidRDefault="00C37398" w:rsidP="00C37398">
      <w:pPr>
        <w:spacing w:line="280" w:lineRule="exact"/>
        <w:ind w:left="720"/>
        <w:jc w:val="both"/>
        <w:rPr>
          <w:rtl/>
        </w:rPr>
      </w:pPr>
      <w:r>
        <w:rPr>
          <w:rFonts w:hint="cs"/>
          <w:rtl/>
        </w:rPr>
        <w:t xml:space="preserve">מכאן מתבקשת מסקנה נוספת. נראה לי כי אין מקום להיזקק בהכרעה אם אבידה נמצאה ברשותו של אדם אחר או אם לאו, לשאלה אם אותו אחר נחשב בעיני החוק כמחזיק האבידה עוד בטרם נתגלתה על-ידי המוצא. כידוע הכריע המשפט האנגלי </w:t>
      </w:r>
      <w:r>
        <w:rPr>
          <w:rtl/>
        </w:rPr>
        <w:t>–</w:t>
      </w:r>
      <w:r>
        <w:rPr>
          <w:rFonts w:hint="cs"/>
          <w:rtl/>
        </w:rPr>
        <w:t xml:space="preserve"> ובעקבותיו גם כבוד </w:t>
      </w:r>
      <w:r>
        <w:rPr>
          <w:rFonts w:hint="cs"/>
          <w:b/>
          <w:bCs/>
          <w:rtl/>
        </w:rPr>
        <w:t>השופט עציוני</w:t>
      </w:r>
      <w:r>
        <w:rPr>
          <w:rFonts w:hint="cs"/>
          <w:rtl/>
        </w:rPr>
        <w:t xml:space="preserve"> בפסק-דינו המאלף ב</w:t>
      </w:r>
      <w:hyperlink r:id="rId34" w:history="1">
        <w:r w:rsidR="00A36458" w:rsidRPr="00D95076">
          <w:rPr>
            <w:b/>
            <w:bCs/>
            <w:color w:val="0000FF"/>
            <w:u w:val="single"/>
            <w:rtl/>
          </w:rPr>
          <w:t>ע"א (חי') 123/63</w:t>
        </w:r>
      </w:hyperlink>
      <w:r w:rsidR="00724BEB">
        <w:rPr>
          <w:rFonts w:hint="cs"/>
          <w:b/>
          <w:bCs/>
          <w:rtl/>
        </w:rPr>
        <w:t xml:space="preserve"> </w:t>
      </w:r>
      <w:r w:rsidR="00724BEB" w:rsidRPr="00724BEB">
        <w:rPr>
          <w:rFonts w:hint="cs"/>
          <w:b/>
          <w:bCs/>
          <w:rtl/>
        </w:rPr>
        <w:t>אריה ווסקובויניק, ואח' ונגד פנינה גולדברג</w:t>
      </w:r>
      <w:r w:rsidR="00724BEB">
        <w:rPr>
          <w:rFonts w:hint="cs"/>
          <w:rtl/>
        </w:rPr>
        <w:t xml:space="preserve">, </w:t>
      </w:r>
      <w:r w:rsidR="00724BEB">
        <w:rPr>
          <w:rFonts w:hint="cs"/>
          <w:b/>
          <w:bCs/>
          <w:rtl/>
        </w:rPr>
        <w:t>פ"מ מא 221</w:t>
      </w:r>
      <w:r>
        <w:rPr>
          <w:rFonts w:hint="cs"/>
          <w:rtl/>
        </w:rPr>
        <w:t xml:space="preserve"> </w:t>
      </w:r>
      <w:r>
        <w:rPr>
          <w:rtl/>
        </w:rPr>
        <w:t>–</w:t>
      </w:r>
      <w:r>
        <w:rPr>
          <w:rFonts w:hint="cs"/>
          <w:rtl/>
        </w:rPr>
        <w:t xml:space="preserve"> בין זכותו של המוצא לבין זכותו של בעל המקום, על-פי התשובה לשאלה מי מבין שני אלה הוא המחזיק הראשון (ראה </w:t>
      </w:r>
      <w:r w:rsidR="00724BEB">
        <w:t>Crossley Vaines, Personal Property, 5</w:t>
      </w:r>
      <w:r w:rsidR="00724BEB" w:rsidRPr="00724BEB">
        <w:rPr>
          <w:vertAlign w:val="superscript"/>
        </w:rPr>
        <w:t>th</w:t>
      </w:r>
      <w:r w:rsidR="00724BEB">
        <w:t xml:space="preserve"> ed. (1973), p. 421</w:t>
      </w:r>
      <w:r w:rsidR="00724BEB">
        <w:rPr>
          <w:rFonts w:hint="cs"/>
          <w:rtl/>
        </w:rPr>
        <w:t xml:space="preserve">). גישה זו </w:t>
      </w:r>
      <w:r w:rsidR="00724BEB">
        <w:rPr>
          <w:rtl/>
        </w:rPr>
        <w:t>–</w:t>
      </w:r>
      <w:r w:rsidR="00724BEB">
        <w:rPr>
          <w:rFonts w:hint="cs"/>
          <w:rtl/>
        </w:rPr>
        <w:t xml:space="preserve"> מיהו המחזיק הראשון </w:t>
      </w:r>
      <w:r w:rsidR="00724BEB">
        <w:rPr>
          <w:rtl/>
        </w:rPr>
        <w:t>–</w:t>
      </w:r>
      <w:r w:rsidR="00724BEB">
        <w:rPr>
          <w:rFonts w:hint="cs"/>
          <w:rtl/>
        </w:rPr>
        <w:t xml:space="preserve"> לא נראית בעיניו כרלבנטית לענין מטרותיו העיקריות של </w:t>
      </w:r>
      <w:hyperlink r:id="rId35" w:history="1">
        <w:r w:rsidR="00CA17A5" w:rsidRPr="00CA17A5">
          <w:rPr>
            <w:rStyle w:val="Hyperlink"/>
            <w:rtl/>
          </w:rPr>
          <w:t>חוק השבת אבידה</w:t>
        </w:r>
      </w:hyperlink>
      <w:r w:rsidR="00724BEB">
        <w:rPr>
          <w:rFonts w:hint="cs"/>
          <w:rtl/>
        </w:rPr>
        <w:t xml:space="preserve">. אם אכן האינטרס המרכזי של החוק הוא בהשבת האבידה לבעליה, ואם לשם הגשמת אינטרס זה </w:t>
      </w:r>
      <w:r w:rsidR="00724BEB">
        <w:rPr>
          <w:rtl/>
        </w:rPr>
        <w:t>–</w:t>
      </w:r>
      <w:r w:rsidR="00724BEB">
        <w:rPr>
          <w:rFonts w:hint="cs"/>
          <w:rtl/>
        </w:rPr>
        <w:t xml:space="preserve"> ומהטעמים עליהם עמדנו </w:t>
      </w:r>
      <w:r w:rsidR="00724BEB">
        <w:rPr>
          <w:rtl/>
        </w:rPr>
        <w:t>–</w:t>
      </w:r>
      <w:r w:rsidR="00724BEB">
        <w:rPr>
          <w:rFonts w:hint="cs"/>
          <w:rtl/>
        </w:rPr>
        <w:t xml:space="preserve"> ראוי הוא כי האבידה תימסר לבעל </w:t>
      </w:r>
    </w:p>
    <w:p w:rsidR="00C37398" w:rsidRDefault="007A092A" w:rsidP="00C37398">
      <w:pPr>
        <w:spacing w:line="280" w:lineRule="exact"/>
        <w:ind w:left="720"/>
        <w:jc w:val="both"/>
        <w:rPr>
          <w:rFonts w:hint="cs"/>
          <w:rtl/>
        </w:rPr>
      </w:pPr>
      <w:r>
        <w:rPr>
          <w:rtl/>
        </w:rPr>
        <w:br w:type="page"/>
      </w:r>
      <w:r>
        <w:rPr>
          <w:rFonts w:hint="cs"/>
          <w:rtl/>
        </w:rPr>
        <w:lastRenderedPageBreak/>
        <w:t xml:space="preserve">המקום, הרי חייב המוצא המקורי לעשות כן בין אם הוא מחזיק ראשון באבידה ובין אם ניתן לראות </w:t>
      </w:r>
      <w:r>
        <w:rPr>
          <w:rtl/>
        </w:rPr>
        <w:t>–</w:t>
      </w:r>
      <w:r>
        <w:rPr>
          <w:rFonts w:hint="cs"/>
          <w:rtl/>
        </w:rPr>
        <w:t xml:space="preserve"> על-פי דוקטרינה זו או אחרת של דיני החזקה </w:t>
      </w:r>
      <w:r>
        <w:rPr>
          <w:rtl/>
        </w:rPr>
        <w:t>–</w:t>
      </w:r>
      <w:r>
        <w:rPr>
          <w:rFonts w:hint="cs"/>
          <w:rtl/>
        </w:rPr>
        <w:t xml:space="preserve"> בבעל המקום כמחזיק ראשון בצדק צויין כי:</w:t>
      </w:r>
    </w:p>
    <w:p w:rsidR="007A092A" w:rsidRDefault="007A092A" w:rsidP="00C37398">
      <w:pPr>
        <w:spacing w:line="280" w:lineRule="exact"/>
        <w:ind w:left="720"/>
        <w:jc w:val="both"/>
        <w:rPr>
          <w:rFonts w:hint="cs"/>
          <w:rtl/>
        </w:rPr>
      </w:pPr>
    </w:p>
    <w:p w:rsidR="007A092A" w:rsidRDefault="007A092A" w:rsidP="007A092A">
      <w:pPr>
        <w:bidi w:val="0"/>
        <w:spacing w:line="280" w:lineRule="exact"/>
        <w:ind w:left="720" w:right="1260"/>
        <w:jc w:val="both"/>
      </w:pPr>
      <w:r>
        <w:t>"The attempt of courts and commentators to determine rights to found articl</w:t>
      </w:r>
      <w:r w:rsidR="00506C9E">
        <w:t xml:space="preserve">es by application of the possession concept has probably resulted more in confusion the in clarity. Accordingly, some righter would reject possession as the test and suggest that the court should primarily seek a decision which would </w:t>
      </w:r>
      <w:r w:rsidR="00E8657F">
        <w:t>enable the true owner to search for and recover his goods".</w:t>
      </w:r>
    </w:p>
    <w:p w:rsidR="00E8657F" w:rsidRDefault="00E8657F" w:rsidP="00E8657F">
      <w:pPr>
        <w:bidi w:val="0"/>
        <w:spacing w:line="280" w:lineRule="exact"/>
        <w:ind w:left="720" w:right="1260"/>
        <w:jc w:val="both"/>
        <w:rPr>
          <w:rtl/>
        </w:rPr>
      </w:pPr>
      <w:r>
        <w:t>(Brown, Personal Propery, 3</w:t>
      </w:r>
      <w:r w:rsidRPr="00E8657F">
        <w:rPr>
          <w:vertAlign w:val="superscript"/>
        </w:rPr>
        <w:t>rd</w:t>
      </w:r>
      <w:r>
        <w:t xml:space="preserve"> ed. (1975) p. 24).</w:t>
      </w:r>
    </w:p>
    <w:p w:rsidR="007A092A" w:rsidRDefault="007A092A" w:rsidP="00C37398">
      <w:pPr>
        <w:spacing w:line="280" w:lineRule="exact"/>
        <w:ind w:left="720"/>
        <w:jc w:val="both"/>
        <w:rPr>
          <w:rFonts w:hint="cs"/>
          <w:rtl/>
        </w:rPr>
      </w:pPr>
    </w:p>
    <w:p w:rsidR="00C37398" w:rsidRPr="005078C9" w:rsidRDefault="00E8657F" w:rsidP="00E8657F">
      <w:pPr>
        <w:spacing w:line="280" w:lineRule="exact"/>
        <w:ind w:left="720"/>
        <w:jc w:val="both"/>
        <w:rPr>
          <w:rFonts w:hint="cs"/>
        </w:rPr>
      </w:pPr>
      <w:r>
        <w:rPr>
          <w:rFonts w:hint="cs"/>
          <w:rtl/>
        </w:rPr>
        <w:t xml:space="preserve">אכן, נראה לי כי המחוקק לא אימץ לעצמו את מבחן החזקה כאמת מידה להכרעה בשאלה אם אבידה נמצאה ברשותו של אדם אחר. "רשות" ו"חזקה" אינן היינו הך. יהיו דיני החזקה אשר יהיו </w:t>
      </w:r>
      <w:r>
        <w:rPr>
          <w:rtl/>
        </w:rPr>
        <w:t>–</w:t>
      </w:r>
      <w:r>
        <w:rPr>
          <w:rFonts w:hint="cs"/>
          <w:rtl/>
        </w:rPr>
        <w:t xml:space="preserve"> וכידוע אף באלה אינה שוררת בהירות יתירה, ולא הרי חזקה לענין חוק פלוני כהרי חזקה לענין חוק אלמוני </w:t>
      </w:r>
      <w:r>
        <w:rPr>
          <w:rtl/>
        </w:rPr>
        <w:t>–</w:t>
      </w:r>
      <w:r>
        <w:rPr>
          <w:rFonts w:hint="cs"/>
          <w:rtl/>
        </w:rPr>
        <w:t xml:space="preserve"> "רשותו של אדם אחר" לענין </w:t>
      </w:r>
      <w:hyperlink r:id="rId36" w:history="1">
        <w:r w:rsidR="00CA17A5" w:rsidRPr="00CA17A5">
          <w:rPr>
            <w:rStyle w:val="Hyperlink"/>
            <w:rtl/>
          </w:rPr>
          <w:t>חוק השבת אבידה</w:t>
        </w:r>
      </w:hyperlink>
      <w:r>
        <w:rPr>
          <w:rFonts w:hint="cs"/>
          <w:rtl/>
        </w:rPr>
        <w:t xml:space="preserve"> לא תיקבע על-פיהם אלא על-פי מטרותיו העיקריות של החוק </w:t>
      </w:r>
      <w:r>
        <w:rPr>
          <w:rtl/>
        </w:rPr>
        <w:t>–</w:t>
      </w:r>
      <w:r>
        <w:rPr>
          <w:rFonts w:hint="cs"/>
          <w:rtl/>
        </w:rPr>
        <w:t xml:space="preserve"> השבת האבידה לבעליה.</w:t>
      </w:r>
    </w:p>
    <w:p w:rsidR="00432291" w:rsidRDefault="00432291" w:rsidP="00432291">
      <w:pPr>
        <w:spacing w:line="280" w:lineRule="exact"/>
        <w:jc w:val="both"/>
        <w:rPr>
          <w:rFonts w:hint="cs"/>
          <w:rtl/>
        </w:rPr>
      </w:pPr>
    </w:p>
    <w:p w:rsidR="00432291" w:rsidRDefault="00AA521D" w:rsidP="002B15AA">
      <w:pPr>
        <w:numPr>
          <w:ilvl w:val="0"/>
          <w:numId w:val="19"/>
        </w:numPr>
        <w:spacing w:line="280" w:lineRule="exact"/>
        <w:jc w:val="both"/>
        <w:rPr>
          <w:rFonts w:hint="cs"/>
        </w:rPr>
      </w:pPr>
      <w:r>
        <w:rPr>
          <w:rFonts w:hint="cs"/>
          <w:rtl/>
        </w:rPr>
        <w:t xml:space="preserve">יהא היקפה של הוראת </w:t>
      </w:r>
      <w:hyperlink r:id="rId37" w:history="1">
        <w:r w:rsidR="00FC0712" w:rsidRPr="00FC0712">
          <w:rPr>
            <w:color w:val="0000FF"/>
            <w:u w:val="single"/>
            <w:rtl/>
          </w:rPr>
          <w:t>סעיף 3</w:t>
        </w:r>
      </w:hyperlink>
      <w:r>
        <w:rPr>
          <w:rFonts w:hint="cs"/>
          <w:rtl/>
        </w:rPr>
        <w:t xml:space="preserve"> לחוק אשר יהא, גרעינה הוא בוודאי זה שאם ראובן מאבד מיטלטלין שעה שהוא מתארח בדירה כאורחו של לוי, ושמעון מוצא את האבידה, נאמר כי שמעון מצא את המיטלטלין "ברשותו של אדם אחר". ההסבר לכך אינו זה שאחד מתנאי האירוח הוא שעל המוצא אבידה למוסרה למארחו. ההסבר לכך אף אינו זה שראובן הוא בר רשות במקום. היינו בוודאי מגיעים לאותה תוצאה גם אם ראובן לא היה אורח במקום אלא אדם הרשאי להיכנס לדירה על-פי דין. נראה לי כי ההסבר לכך הוא כי על]י נסיבות המקרה, זיקתו של לוי למקום האבידה היא כזו, שהיא מהווה כתובת טבעית וסבירה אליה ישוב ראובן, ומרשותו הוא יצפה לקבל את האבידה אם מאן דהוא מצא אותה במקום. ההסתברות לכך כי האבידה תישמר למען בעליה היא גבוהה אם לוי כמארח </w:t>
      </w:r>
      <w:r>
        <w:rPr>
          <w:rtl/>
        </w:rPr>
        <w:t>–</w:t>
      </w:r>
      <w:r>
        <w:rPr>
          <w:rFonts w:hint="cs"/>
          <w:rtl/>
        </w:rPr>
        <w:t xml:space="preserve"> ולא שמעון כאורח מזדמן </w:t>
      </w:r>
      <w:r>
        <w:rPr>
          <w:rtl/>
        </w:rPr>
        <w:t>–</w:t>
      </w:r>
      <w:r>
        <w:rPr>
          <w:rFonts w:hint="cs"/>
          <w:rtl/>
        </w:rPr>
        <w:t xml:space="preserve"> הוא שיחזיק באבידה עד בוא בעליה. שונה הדבר אם ראובן מאבד מיטלטלין ברחובה של עיר, ושמעון מוצא אותה. בנסיבות אלה אין כל אדם אשר זיקתו לרחוב היא כזו, שהוא מהווה כתובת סבירה אליה יפנה ראובן, וממנה יצפה לקבל את האבידה במקום, ואשר חזקה עליו שישמור כראוי על האבידה עד בואו של ראובן. אפילו מצוי ראש העיר או איש מטעמו בקרבת מקום, נוכחותו במקום היא מקרית, בדומה לזו של שמעון עצמו, ו</w:t>
      </w:r>
      <w:r w:rsidR="002B15AA">
        <w:rPr>
          <w:rFonts w:hint="cs"/>
          <w:rtl/>
        </w:rPr>
        <w:t>ז</w:t>
      </w:r>
      <w:r>
        <w:rPr>
          <w:rFonts w:hint="cs"/>
          <w:rtl/>
        </w:rPr>
        <w:t xml:space="preserve">יקתו למקום אינה עושה אותו לכתובת ראויה לשמירת האבידה עד שיבוא בעליה. </w:t>
      </w:r>
    </w:p>
    <w:p w:rsidR="002B15AA" w:rsidRDefault="002B15AA" w:rsidP="002B15AA">
      <w:pPr>
        <w:spacing w:line="280" w:lineRule="exact"/>
        <w:jc w:val="both"/>
        <w:rPr>
          <w:rFonts w:hint="cs"/>
        </w:rPr>
      </w:pPr>
    </w:p>
    <w:p w:rsidR="002B15AA" w:rsidRDefault="002B15AA" w:rsidP="002B15AA">
      <w:pPr>
        <w:numPr>
          <w:ilvl w:val="0"/>
          <w:numId w:val="19"/>
        </w:numPr>
        <w:spacing w:line="280" w:lineRule="exact"/>
        <w:jc w:val="both"/>
        <w:rPr>
          <w:rFonts w:hint="cs"/>
          <w:rtl/>
        </w:rPr>
      </w:pPr>
      <w:r>
        <w:rPr>
          <w:rFonts w:hint="cs"/>
          <w:rtl/>
        </w:rPr>
        <w:t xml:space="preserve">נפנה עתה לנסיבות המיוחדות של המקרה שלפנינו, בו נמצאה האבידה על רצפת חדר כספות של בנק, חדר אליו זכאים בעלי הכספות להגיע בשעות בהן הבנק פתוח, </w:t>
      </w:r>
    </w:p>
    <w:p w:rsidR="002B15AA" w:rsidRDefault="002B15AA" w:rsidP="002B15AA">
      <w:pPr>
        <w:spacing w:line="280" w:lineRule="exact"/>
        <w:ind w:left="360"/>
        <w:jc w:val="both"/>
        <w:rPr>
          <w:rFonts w:hint="cs"/>
          <w:rtl/>
        </w:rPr>
      </w:pPr>
      <w:r>
        <w:rPr>
          <w:rtl/>
        </w:rPr>
        <w:br w:type="page"/>
      </w:r>
      <w:r>
        <w:rPr>
          <w:rFonts w:hint="cs"/>
          <w:rtl/>
        </w:rPr>
        <w:lastRenderedPageBreak/>
        <w:t xml:space="preserve">ואשר אנשים אחרים עשויים להיכנס אליו בהעדר ביקורת ראויה. אין לי כל היסוס בקביעה שגם חדר כספות זה, בדומה לדירתו של לוי בדוגמא הקודמת, הוא ברשותו של הבנק. זיקתו של הבנק למקום היא בוודאי כזו שהוא ולא אחר מהווה כתובת סבירה לכך כי כל המאבד מיטלטלין באותו חדר יפנה אליו ויצפה ממנו כי ישמור על אותו חפץ. ההסתברות כי הבנק ישמור על האבידה לטובת בעליה גבוהה יותר מההסתברות שבעל כספות או אדם אחר, המזדמן במקום, יעשה כן. לענין זה איני רואה כל רלבנטיות לשאלה אם לבעל הכספת זכות להימצא בחדר אם לאו. אינני רואה גם חשיבות לשאלה אם במקום יש ארבע כספות, ארבע מאות כספות או ארבעת אלפים כספות. בעיני אין כל הבדל אם המיטלטלין אבדו בחדר הכספות או באולם הראשי של הבנק. נוכחותו של ציבור רחב של אנשים </w:t>
      </w:r>
      <w:r>
        <w:rPr>
          <w:rtl/>
        </w:rPr>
        <w:t>–</w:t>
      </w:r>
      <w:r>
        <w:rPr>
          <w:rFonts w:hint="cs"/>
          <w:rtl/>
        </w:rPr>
        <w:t xml:space="preserve"> דבר העושה את המקום למקום "כעין ציבורי" </w:t>
      </w:r>
      <w:r>
        <w:rPr>
          <w:rtl/>
        </w:rPr>
        <w:t>–</w:t>
      </w:r>
      <w:r>
        <w:rPr>
          <w:rFonts w:hint="cs"/>
          <w:rtl/>
        </w:rPr>
        <w:t xml:space="preserve"> אין בה כדי לשנות את אופי זיקתו של הבנק למקום, זיקה אשר על-פי מבחנו של </w:t>
      </w:r>
      <w:hyperlink r:id="rId38" w:history="1">
        <w:r w:rsidR="00CA17A5" w:rsidRPr="00CA17A5">
          <w:rPr>
            <w:rStyle w:val="Hyperlink"/>
            <w:rtl/>
          </w:rPr>
          <w:t>חוק השבת אבידה</w:t>
        </w:r>
      </w:hyperlink>
      <w:r>
        <w:rPr>
          <w:rFonts w:hint="cs"/>
          <w:rtl/>
        </w:rPr>
        <w:t>, עושה את הבנק לבעל הרשות. אפילו יחלפו אלפי אנשים באולמו של בנק, אין בכך כדי לשלול מהמקום את מעמדו כרשותו של אחר. לעומת זאת, אפילו יהא מספר האנשים העובר ברחוב פלוני קטן ומצומצם, אין בכך כדי לעשות את הרחוב לרשותו של אחר. ויושם אל לב: רחובה של עיר אינו הפקר, והרי זה נכס המצוי בבעלות העירייה ולה אף שליטת מה עליו, אך זיקתה האמורה של העירייה אינה כזו העושה אותה לכתובת סבירה לשמירת האבידה על-פי המבחנים שנדונו על-ידינו.</w:t>
      </w:r>
    </w:p>
    <w:p w:rsidR="002B15AA" w:rsidRDefault="002B15AA" w:rsidP="002B15AA">
      <w:pPr>
        <w:spacing w:line="280" w:lineRule="exact"/>
        <w:ind w:left="360"/>
        <w:jc w:val="both"/>
        <w:rPr>
          <w:rFonts w:hint="cs"/>
          <w:rtl/>
        </w:rPr>
      </w:pPr>
    </w:p>
    <w:p w:rsidR="002B15AA" w:rsidRDefault="002B15AA" w:rsidP="002B15AA">
      <w:pPr>
        <w:spacing w:line="280" w:lineRule="exact"/>
        <w:ind w:left="360"/>
        <w:jc w:val="both"/>
        <w:rPr>
          <w:rFonts w:hint="cs"/>
        </w:rPr>
      </w:pPr>
      <w:r>
        <w:rPr>
          <w:rFonts w:hint="cs"/>
          <w:rtl/>
        </w:rPr>
        <w:t>נוכל לבחון את נכונותה של גישתנו אף על-פי המבחן הבא. האם סביר הוא, מבחינת מטרותיו של החוק, כי ראובן, שמצא אבידה בחדר הכספות של הבנק, יצא ידי חובת ההודעה שהחוק מטיל עליו, על-ידי מתן הודעה לבנק, או שמא מתן הודעה לבנק אינו מספיק, ועליו להודיע למשטרה? האם עובר ראובן עבירה אם הוא מודיע על דבר האבידה לבנק אך אינו מודיע עליה למשטרה? נראה לי כי פירוש סביר של החוק היה גורס כי במתן הודעה לבנק יצא ראובן כדי חובת ההודעה המוטלת עליו. זאת ועוד: נראה לי כי פירוש סביר של החוק גורס כי מסירת האבידה לבנק יוצא ראובן ידי חובת השמירה שלו. אכן, תוצאה זו מושגת במלואה על-פי גישתי, לפיה הבנק הוא בעל הרשות.</w:t>
      </w:r>
    </w:p>
    <w:p w:rsidR="002B15AA" w:rsidRDefault="002B15AA" w:rsidP="002B15AA">
      <w:pPr>
        <w:spacing w:line="280" w:lineRule="exact"/>
        <w:jc w:val="both"/>
        <w:rPr>
          <w:rFonts w:hint="cs"/>
          <w:rtl/>
        </w:rPr>
      </w:pPr>
    </w:p>
    <w:p w:rsidR="002B15AA" w:rsidRDefault="00416035" w:rsidP="002B15AA">
      <w:pPr>
        <w:numPr>
          <w:ilvl w:val="0"/>
          <w:numId w:val="19"/>
        </w:numPr>
        <w:spacing w:line="280" w:lineRule="exact"/>
        <w:jc w:val="both"/>
        <w:rPr>
          <w:rFonts w:hint="cs"/>
        </w:rPr>
      </w:pPr>
      <w:r>
        <w:rPr>
          <w:rFonts w:hint="cs"/>
          <w:rtl/>
        </w:rPr>
        <w:t xml:space="preserve">אינני משלה את עצמי כי ניתן באופן פשוט וברור לסווג כל מקרה ומקרה, אם הוא נופל לגדר "רשותו של אדם אחר" אם לאו. יהיו בוודאי בעתיד מקרים אשר ההכרעה בהם לא תהא קלה. זו דרכו של ההליך השיפוטי שאין הוא עוסק תמיד בדרך המלך אלא בחריגים אשר מצדם יוצרים את הכלל. יש לקוות כי גדר הספקות שיתעורר יהא רלבנטי למטרות החוק, דהיינו, אם זיקתו של פלוני למקום המציאה עושה אותו כתובת טבעית וסבירה לשמירה ראויה על המציאה, ולא נצטרך לדון בהבחנות שונות ומשונות שבינן לבין מטרות החוק אין ולא כלום (השווה </w:t>
      </w:r>
      <w:r>
        <w:t>Goodhart, Three Cases on Possession, 3 (1927-1929) Camb. L. 195, 200</w:t>
      </w:r>
      <w:r>
        <w:rPr>
          <w:rFonts w:hint="cs"/>
          <w:rtl/>
        </w:rPr>
        <w:t>).</w:t>
      </w:r>
    </w:p>
    <w:p w:rsidR="00416035" w:rsidRDefault="00416035" w:rsidP="00416035">
      <w:pPr>
        <w:spacing w:line="280" w:lineRule="exact"/>
        <w:ind w:left="360"/>
        <w:jc w:val="both"/>
        <w:rPr>
          <w:rFonts w:hint="cs"/>
        </w:rPr>
      </w:pPr>
    </w:p>
    <w:p w:rsidR="00416035" w:rsidRDefault="00416035" w:rsidP="00672777">
      <w:pPr>
        <w:numPr>
          <w:ilvl w:val="0"/>
          <w:numId w:val="19"/>
        </w:numPr>
        <w:spacing w:line="280" w:lineRule="exact"/>
        <w:ind w:left="720" w:hanging="720"/>
        <w:jc w:val="both"/>
        <w:rPr>
          <w:rFonts w:hint="cs"/>
        </w:rPr>
      </w:pPr>
      <w:r>
        <w:rPr>
          <w:rFonts w:hint="cs"/>
          <w:rtl/>
        </w:rPr>
        <w:t>(א)</w:t>
      </w:r>
      <w:r>
        <w:rPr>
          <w:rFonts w:hint="cs"/>
          <w:rtl/>
        </w:rPr>
        <w:tab/>
        <w:t>חלק מפסק-דינו הקדיש בית המשפט קמא להלכות המשפט העברי בסוגיה של השבת אבידה אומר בית-המשפט:</w:t>
      </w:r>
    </w:p>
    <w:p w:rsidR="00416035" w:rsidRDefault="00416035" w:rsidP="00672777">
      <w:pPr>
        <w:spacing w:line="280" w:lineRule="exact"/>
        <w:ind w:left="720"/>
        <w:jc w:val="both"/>
        <w:rPr>
          <w:rFonts w:hint="cs"/>
          <w:rtl/>
        </w:rPr>
      </w:pPr>
    </w:p>
    <w:p w:rsidR="00672777" w:rsidRDefault="00672777" w:rsidP="00672777">
      <w:pPr>
        <w:spacing w:line="280" w:lineRule="exact"/>
        <w:ind w:left="1440" w:right="1260"/>
        <w:jc w:val="both"/>
        <w:rPr>
          <w:rFonts w:hint="cs"/>
          <w:rtl/>
        </w:rPr>
      </w:pPr>
      <w:r>
        <w:rPr>
          <w:rtl/>
        </w:rPr>
        <w:br w:type="page"/>
      </w:r>
      <w:r>
        <w:rPr>
          <w:rFonts w:hint="cs"/>
          <w:rtl/>
        </w:rPr>
        <w:lastRenderedPageBreak/>
        <w:t>"במקרה לשפנינו מדובר בחוק ישראלי, שהוחק על ידי הכנסת והמונחים המעסיקים אותנו כגון 'ברשותו של אדם אחר' ו'בעל הרשות' המופיעים בסעיף 3 לחוק הם כאמור מונחים המוכרים לנו מן ההלכה. כיון שכך יש טעם רב לבדוק אם מה שאומרת ההלכה בסוגיה זאת וללמוד ממנה את אשר ניתן ללמד". (ע' 8).</w:t>
      </w:r>
    </w:p>
    <w:p w:rsidR="00672777" w:rsidRDefault="00672777" w:rsidP="00672777">
      <w:pPr>
        <w:spacing w:line="280" w:lineRule="exact"/>
        <w:ind w:left="720"/>
        <w:jc w:val="both"/>
        <w:rPr>
          <w:rFonts w:hint="cs"/>
          <w:rtl/>
        </w:rPr>
      </w:pPr>
    </w:p>
    <w:p w:rsidR="00672777" w:rsidRDefault="00672777" w:rsidP="00672777">
      <w:pPr>
        <w:spacing w:line="280" w:lineRule="exact"/>
        <w:ind w:left="720"/>
        <w:jc w:val="both"/>
        <w:rPr>
          <w:rFonts w:hint="cs"/>
          <w:rtl/>
        </w:rPr>
      </w:pPr>
      <w:r>
        <w:rPr>
          <w:rFonts w:hint="cs"/>
          <w:rtl/>
        </w:rPr>
        <w:t>על-פי המשפט העברי,האגרות שנמצאו בחדר הכספות הן רכושו של המוצא ואין לבעל המקום זכות בהן, שכן דינו של חדר הכספות כדין חצר שאינה משתמרת שהיא כשרות הרבים ואינה קונה לבעליה. על המשפט העברי למד בית-המשפט, בין השאר, מתוך שלוש חוות דעת של פוסקים ידועים בעלי שיעור קומה בימינו, אשר חיוו דעתם על שאלה שהוצגה לפניהם על-ידי בא-כוח המשיב, ואשר עובדותיה זהות למקרה שלפנינו. על פנייתו של השופט למשפט העברי ברצוני להעיר מספר הערות.</w:t>
      </w:r>
    </w:p>
    <w:p w:rsidR="00672777" w:rsidRDefault="00672777" w:rsidP="00672777">
      <w:pPr>
        <w:spacing w:line="280" w:lineRule="exact"/>
        <w:ind w:left="720"/>
        <w:jc w:val="both"/>
        <w:rPr>
          <w:rFonts w:hint="cs"/>
          <w:rtl/>
        </w:rPr>
      </w:pPr>
    </w:p>
    <w:p w:rsidR="00416035" w:rsidRDefault="002F2105" w:rsidP="002F2105">
      <w:pPr>
        <w:numPr>
          <w:ilvl w:val="0"/>
          <w:numId w:val="21"/>
        </w:numPr>
        <w:tabs>
          <w:tab w:val="clear" w:pos="1080"/>
          <w:tab w:val="num" w:pos="-2160"/>
        </w:tabs>
        <w:spacing w:line="280" w:lineRule="exact"/>
        <w:ind w:left="720" w:hanging="360"/>
        <w:jc w:val="both"/>
        <w:rPr>
          <w:rFonts w:hint="cs"/>
        </w:rPr>
      </w:pPr>
      <w:r>
        <w:rPr>
          <w:rFonts w:hint="cs"/>
          <w:rtl/>
        </w:rPr>
        <w:t xml:space="preserve">הפנייה למשפט העברי הנזכרת בראשית הקטע שצוטט לעיל, לענין פירוש הביטוי "ברשותו של אדם אחר" ו"בעל רשות", היא בוודאי מותרת. עם זאת מן הרצוי להציב את גבולותיה: ראשית, אין זו פניית חובה, אלא רשות בלבד; שנית, הפנייה למשפט העברי אינה פנייה למערכת נורמטיבית ממנה מתבקש ציווי, אלא הפנייה היא לאוצר של מחשבה משפטית ממנה מתבקשת הרשאה. הפנייה היא אל "משפט" במובנו התרבותי </w:t>
      </w:r>
      <w:r>
        <w:rPr>
          <w:rtl/>
        </w:rPr>
        <w:t>–</w:t>
      </w:r>
      <w:r>
        <w:rPr>
          <w:rFonts w:hint="cs"/>
          <w:rtl/>
        </w:rPr>
        <w:t xml:space="preserve"> ולא אל "משפט" במובנו הנורמטיבי. בענייננו, אין אנו רשאים לפנות למשפט העברי כדי לקלוט מתוכו את דין המציאה, אלא אך לקבל ממנו הרשאה למציאת הדין שלנו; שלישית, משחשפנו פירושו של ביטוי פלוני באוצרות תרבותנו, עלינו לבחון אם פירוש זה </w:t>
      </w:r>
      <w:r>
        <w:rPr>
          <w:rtl/>
        </w:rPr>
        <w:t>–</w:t>
      </w:r>
      <w:r>
        <w:rPr>
          <w:rFonts w:hint="cs"/>
          <w:rtl/>
        </w:rPr>
        <w:t xml:space="preserve"> בצד פירושים אפשריים אחרים </w:t>
      </w:r>
      <w:r>
        <w:rPr>
          <w:rtl/>
        </w:rPr>
        <w:t>–</w:t>
      </w:r>
      <w:r>
        <w:rPr>
          <w:rFonts w:hint="cs"/>
          <w:rtl/>
        </w:rPr>
        <w:t xml:space="preserve"> משקף את כוונתה של החקיקה. כבר עמדתי על כך שבחינת המשמעות של הביטוי "ברשותו של אדם אחר" </w:t>
      </w:r>
      <w:r>
        <w:rPr>
          <w:rtl/>
        </w:rPr>
        <w:t>–</w:t>
      </w:r>
      <w:r>
        <w:rPr>
          <w:rFonts w:hint="cs"/>
          <w:rtl/>
        </w:rPr>
        <w:t xml:space="preserve"> ורק לשם בחינה זו מותר לנו לפנות, בין השאר, למשפט העברי </w:t>
      </w:r>
      <w:r>
        <w:rPr>
          <w:rtl/>
        </w:rPr>
        <w:t>–</w:t>
      </w:r>
      <w:r>
        <w:rPr>
          <w:rFonts w:hint="cs"/>
          <w:rtl/>
        </w:rPr>
        <w:t xml:space="preserve"> אינה סופה של הדרך אלא רק תחילתה. תפקידו של הפרשן הוא לבחור באפשרות הראויה מבין האפשרויות העומדות לפניו. בחירה זו אינה פעולה טכנית. זו פעולה יוצרת. היא נעשית על-פי כללים הקבועים במשפטנו, אשר החשוב שבהם הוא זה הקובע כי הוראת חוק תפורש על-פי מטרת החקיקה.</w:t>
      </w:r>
    </w:p>
    <w:p w:rsidR="002F2105" w:rsidRDefault="002F2105" w:rsidP="002F2105">
      <w:pPr>
        <w:spacing w:line="280" w:lineRule="exact"/>
        <w:ind w:left="360"/>
        <w:jc w:val="both"/>
        <w:rPr>
          <w:rFonts w:hint="cs"/>
        </w:rPr>
      </w:pPr>
    </w:p>
    <w:p w:rsidR="00B21F64" w:rsidRDefault="002F2105" w:rsidP="00B21F64">
      <w:pPr>
        <w:numPr>
          <w:ilvl w:val="0"/>
          <w:numId w:val="21"/>
        </w:numPr>
        <w:tabs>
          <w:tab w:val="clear" w:pos="1080"/>
          <w:tab w:val="num" w:pos="-2160"/>
        </w:tabs>
        <w:spacing w:line="280" w:lineRule="exact"/>
        <w:ind w:left="720" w:hanging="360"/>
        <w:jc w:val="both"/>
        <w:rPr>
          <w:rFonts w:hint="cs"/>
          <w:rtl/>
        </w:rPr>
      </w:pPr>
      <w:r>
        <w:rPr>
          <w:rFonts w:hint="cs"/>
          <w:rtl/>
        </w:rPr>
        <w:t>הפנייה למשפט העברי הנזכרת בסופו של הקטע שצוטט לעיל שונה במהותה מזו הנזכרת בראשיתו. בעוד שראשיתו של הקטע עוסק בפירוש ביטויים, סופו של הקטע עוסק בהשוואת משפטים (</w:t>
      </w:r>
      <w:r w:rsidR="00B21F64">
        <w:t>Comparative Law</w:t>
      </w:r>
      <w:r w:rsidR="00B21F64">
        <w:rPr>
          <w:rFonts w:hint="cs"/>
          <w:rtl/>
        </w:rPr>
        <w:t xml:space="preserve">). אכן, לעיתים קרובות, בטרם יכריע השופט באשר לתוכנו והיקפו של מוסד משפטי המצוי בשיטתו, הוא יפנה אל שיטות משפט אחרות, לשם השוואה. מטרתה של השוואה זו היא השראה. תנאי חיוני להשראה זו הוא שהמוסדות המשפטים אותם משווים הם ברי השוואה, דהיינו, שהם מבוססים עלה נחות בסיסיות משותפות ובאים להגשים מטרות משותפות. בעיננו ספק אם יש טעם בהשוואה למשפט העברי </w:t>
      </w:r>
      <w:r w:rsidR="00B21F64">
        <w:rPr>
          <w:rtl/>
        </w:rPr>
        <w:t>–</w:t>
      </w:r>
      <w:r w:rsidR="00B21F64">
        <w:rPr>
          <w:rFonts w:hint="cs"/>
          <w:rtl/>
        </w:rPr>
        <w:t xml:space="preserve"> ומכאן גם ספק אם ניתן לקבל השראה ממנו. הסיבה לכך היא זו: הבחנתו של המשפט העברי בין חצר המשתמרת לבין חצר שאינה משתמרת </w:t>
      </w:r>
    </w:p>
    <w:p w:rsidR="00B21F64" w:rsidRDefault="00B21F64" w:rsidP="00B21F64">
      <w:pPr>
        <w:spacing w:line="280" w:lineRule="exact"/>
        <w:ind w:left="720"/>
        <w:jc w:val="both"/>
        <w:rPr>
          <w:rFonts w:hint="cs"/>
        </w:rPr>
      </w:pPr>
      <w:r>
        <w:rPr>
          <w:rtl/>
        </w:rPr>
        <w:br w:type="page"/>
      </w:r>
      <w:r>
        <w:rPr>
          <w:rFonts w:hint="cs"/>
          <w:rtl/>
        </w:rPr>
        <w:lastRenderedPageBreak/>
        <w:t>מבוססת על הנחת היסוד כי המוצא או בעל המקום הופכים להיות בעל האבידה לאלתר, והשאלה היחידה היא מי מבין השניים הוא הבעלים המידי. לעומת זאת הבחנתו של המחוקק בין אבידה שנמצאה ברשותו של אדם אחר לבין אבידה שלא נמצאה כאמור מבוססת על הנחת היסוד כי בעת האבידה בעל האבידה נשאר בעליה של האבידה, והשאלה היא מי ישמור עליה, וכפרס על שמירתו יזכה בבעלות בה. על כן אין בין "רשותו של אדם אחר" ב</w:t>
      </w:r>
      <w:hyperlink r:id="rId39" w:history="1">
        <w:r w:rsidR="00CA17A5" w:rsidRPr="00CA17A5">
          <w:rPr>
            <w:rStyle w:val="Hyperlink"/>
            <w:rtl/>
          </w:rPr>
          <w:t>חוק השבת אבידה</w:t>
        </w:r>
      </w:hyperlink>
      <w:r>
        <w:rPr>
          <w:rFonts w:hint="cs"/>
          <w:rtl/>
        </w:rPr>
        <w:t xml:space="preserve"> לבין דיני החצר המשתמרת במשפט העברי בסיס רעיוני משותף המספיק לצורכי השוואת משפטים פוריה. </w:t>
      </w:r>
    </w:p>
    <w:p w:rsidR="00B21F64" w:rsidRDefault="00B21F64" w:rsidP="00B21F64">
      <w:pPr>
        <w:spacing w:line="280" w:lineRule="exact"/>
        <w:jc w:val="both"/>
        <w:rPr>
          <w:rFonts w:hint="cs"/>
          <w:rtl/>
        </w:rPr>
      </w:pPr>
    </w:p>
    <w:p w:rsidR="00B21F64" w:rsidRDefault="00B21F64" w:rsidP="002F2105">
      <w:pPr>
        <w:numPr>
          <w:ilvl w:val="0"/>
          <w:numId w:val="21"/>
        </w:numPr>
        <w:tabs>
          <w:tab w:val="clear" w:pos="1080"/>
          <w:tab w:val="num" w:pos="-2160"/>
        </w:tabs>
        <w:spacing w:line="280" w:lineRule="exact"/>
        <w:ind w:left="720" w:hanging="360"/>
        <w:jc w:val="both"/>
        <w:rPr>
          <w:rFonts w:hint="cs"/>
        </w:rPr>
      </w:pPr>
      <w:r>
        <w:rPr>
          <w:rFonts w:hint="cs"/>
          <w:rtl/>
        </w:rPr>
        <w:t>בנתחו את המשפט העברי נזקק בית-משפט קמא לשלוש חוות דעת הלכתיות. היו אלה חוות דעת שנתבקשו על-ידי בא-כוח המשיב. הוא הציג לפני שלושה פוסקים ידועים מערכת עובדות הדומה למקרה שלפנינו, וקיבל תשובה באשר לעמדתו של המשפט העביר. תשובות אלה ה</w:t>
      </w:r>
      <w:r w:rsidR="00C9435F">
        <w:rPr>
          <w:rFonts w:hint="cs"/>
          <w:rtl/>
        </w:rPr>
        <w:t>וגשו על-ידי בא-כוח המשיב לבית-משפט קמא. בא-כוח המערער הסתייג מהגשת חוות הדעת, אך בית-משפט קמא לא ראה כל מקום שלא לקבלן. אומר בית-המשפט:</w:t>
      </w:r>
    </w:p>
    <w:p w:rsidR="00C9435F" w:rsidRDefault="00C9435F" w:rsidP="00C9435F">
      <w:pPr>
        <w:spacing w:line="280" w:lineRule="exact"/>
        <w:ind w:left="720"/>
        <w:jc w:val="both"/>
        <w:rPr>
          <w:rFonts w:hint="cs"/>
          <w:rtl/>
        </w:rPr>
      </w:pPr>
    </w:p>
    <w:p w:rsidR="00C9435F" w:rsidRDefault="00C9435F" w:rsidP="00C9435F">
      <w:pPr>
        <w:spacing w:line="280" w:lineRule="exact"/>
        <w:ind w:left="1440" w:right="1260"/>
        <w:jc w:val="both"/>
        <w:rPr>
          <w:rFonts w:hint="cs"/>
          <w:rtl/>
        </w:rPr>
      </w:pPr>
      <w:r>
        <w:rPr>
          <w:rFonts w:hint="cs"/>
          <w:rtl/>
        </w:rPr>
        <w:t>"מעשה ביום יום הוא שבית משפט נזקק ונעזר בספרות שו"ת לפתרון בעיה המעסיקה אותנו, והאם כשהמדובר הוא בפוסקים בני דורנו הענין פסול?"</w:t>
      </w:r>
    </w:p>
    <w:p w:rsidR="00C9435F" w:rsidRDefault="00C9435F" w:rsidP="00C9435F">
      <w:pPr>
        <w:spacing w:line="280" w:lineRule="exact"/>
        <w:ind w:left="720"/>
        <w:jc w:val="both"/>
        <w:rPr>
          <w:rFonts w:hint="cs"/>
          <w:rtl/>
        </w:rPr>
      </w:pPr>
    </w:p>
    <w:p w:rsidR="00C9435F" w:rsidRDefault="00C9435F" w:rsidP="00C9435F">
      <w:pPr>
        <w:spacing w:line="280" w:lineRule="exact"/>
        <w:ind w:left="720"/>
        <w:jc w:val="both"/>
        <w:rPr>
          <w:rFonts w:hint="cs"/>
          <w:rtl/>
        </w:rPr>
      </w:pPr>
      <w:r>
        <w:rPr>
          <w:rFonts w:hint="cs"/>
          <w:rtl/>
        </w:rPr>
        <w:t xml:space="preserve">עם כל הכבוד לבית-משפט קמא, לא הרי שאלות ותשובות המהווה חלק ממערכת המשפט העברי כהרי שאלה ספציפית ותשובה ספציפית בענין התלוי ועומד לפני בית-משפט. המשפט העברי לעניננו אינו "דין" החל בישראל, שכן בעניננו חל </w:t>
      </w:r>
      <w:hyperlink r:id="rId40" w:history="1">
        <w:r w:rsidR="00CA17A5" w:rsidRPr="00CA17A5">
          <w:rPr>
            <w:rStyle w:val="Hyperlink"/>
            <w:rtl/>
          </w:rPr>
          <w:t>חוק השבת אבידה</w:t>
        </w:r>
      </w:hyperlink>
      <w:r>
        <w:rPr>
          <w:rFonts w:hint="cs"/>
          <w:rtl/>
        </w:rPr>
        <w:t xml:space="preserve"> ולא המשפט העברי, אך הוא אף אינו שיטת משפט זרה אשר לפיה פוסקים את הדין ושיש על כן להוכיח את תוכנה כעובדה, בדרך של חוות דעת. המשפט העברי לעניננו הוא שיטת משפט המשמשת להשראה שיפוטית בדרך של השוואת משפטים. לומדים עליה מתוך הספרים הפתוחים לציבור. לא נראה לי כי ראוי הוא, בנסיבות אלה, להיזקק לשאלה הנוגעת במישרין לענין נשוא המשפט, ושהוזמנה לצורכי המשפט, ולתשובה הניתנת בעקבותיה.</w:t>
      </w:r>
    </w:p>
    <w:p w:rsidR="00416035" w:rsidRDefault="00416035" w:rsidP="00416035">
      <w:pPr>
        <w:spacing w:line="280" w:lineRule="exact"/>
        <w:jc w:val="both"/>
        <w:rPr>
          <w:rtl/>
        </w:rPr>
      </w:pPr>
    </w:p>
    <w:p w:rsidR="00416035" w:rsidRDefault="00C9435F" w:rsidP="002B15AA">
      <w:pPr>
        <w:numPr>
          <w:ilvl w:val="0"/>
          <w:numId w:val="19"/>
        </w:numPr>
        <w:spacing w:line="280" w:lineRule="exact"/>
        <w:jc w:val="both"/>
        <w:rPr>
          <w:rFonts w:hint="cs"/>
        </w:rPr>
      </w:pPr>
      <w:r>
        <w:rPr>
          <w:rFonts w:hint="cs"/>
          <w:rtl/>
        </w:rPr>
        <w:t xml:space="preserve">משקבענו כי האגרות נמצאו "ברשותו של אדם אחר", ממילא קמה ועומדת השאלה, אם ניתן לראות את בעל הרשות כמוצא, שהרי המשיב לא מסר למערער את האגרות. כזכור קובע </w:t>
      </w:r>
      <w:hyperlink r:id="rId41" w:history="1">
        <w:r w:rsidR="00FC0712" w:rsidRPr="00FC0712">
          <w:rPr>
            <w:color w:val="0000FF"/>
            <w:u w:val="single"/>
            <w:rtl/>
          </w:rPr>
          <w:t>סעיף 3</w:t>
        </w:r>
      </w:hyperlink>
      <w:r>
        <w:rPr>
          <w:rFonts w:hint="cs"/>
          <w:rtl/>
        </w:rPr>
        <w:t xml:space="preserve"> לחוק כי:</w:t>
      </w:r>
    </w:p>
    <w:p w:rsidR="00C9435F" w:rsidRDefault="00C9435F" w:rsidP="00C9435F">
      <w:pPr>
        <w:spacing w:line="280" w:lineRule="exact"/>
        <w:ind w:left="360"/>
        <w:jc w:val="both"/>
        <w:rPr>
          <w:rFonts w:hint="cs"/>
          <w:rtl/>
        </w:rPr>
      </w:pPr>
    </w:p>
    <w:p w:rsidR="00C9435F" w:rsidRDefault="00C9435F" w:rsidP="00C9435F">
      <w:pPr>
        <w:spacing w:line="280" w:lineRule="exact"/>
        <w:ind w:left="720" w:right="1260"/>
        <w:jc w:val="both"/>
        <w:rPr>
          <w:rFonts w:hint="cs"/>
          <w:rtl/>
        </w:rPr>
      </w:pPr>
      <w:r>
        <w:rPr>
          <w:rFonts w:hint="cs"/>
          <w:rtl/>
        </w:rPr>
        <w:t>"קיבל בעל הרשות את האבידה לידו, יראו אותו כמוצא"</w:t>
      </w:r>
    </w:p>
    <w:p w:rsidR="00C9435F" w:rsidRDefault="00C9435F" w:rsidP="00C9435F">
      <w:pPr>
        <w:spacing w:line="280" w:lineRule="exact"/>
        <w:ind w:left="360"/>
        <w:jc w:val="both"/>
        <w:rPr>
          <w:rFonts w:hint="cs"/>
          <w:rtl/>
        </w:rPr>
      </w:pPr>
    </w:p>
    <w:p w:rsidR="00C9435F" w:rsidRDefault="00C9435F" w:rsidP="00C9435F">
      <w:pPr>
        <w:spacing w:line="280" w:lineRule="exact"/>
        <w:ind w:left="360"/>
        <w:jc w:val="both"/>
      </w:pPr>
      <w:r>
        <w:rPr>
          <w:rFonts w:hint="cs"/>
          <w:rtl/>
        </w:rPr>
        <w:t xml:space="preserve">האין לומר </w:t>
      </w:r>
      <w:r>
        <w:rPr>
          <w:rtl/>
        </w:rPr>
        <w:t>–</w:t>
      </w:r>
      <w:r>
        <w:rPr>
          <w:rFonts w:hint="cs"/>
          <w:rtl/>
        </w:rPr>
        <w:t xml:space="preserve"> כפי שטוען בא-כוח המשיב </w:t>
      </w:r>
      <w:r>
        <w:rPr>
          <w:rtl/>
        </w:rPr>
        <w:t>–</w:t>
      </w:r>
      <w:r>
        <w:rPr>
          <w:rFonts w:hint="cs"/>
          <w:rtl/>
        </w:rPr>
        <w:t xml:space="preserve"> כי כל עוד לא קיבל לידו בעל הרשות את האבידה, חרף בקשתו לקבלה, אין לראותו כמוצא. אין בידי לקבל טענה זו. היא מביאה לתוצאה אבסורדית. אם נקבל פירוש זה, הרי נאפשר למוצא, על-ידי התנהגותו הפלילית, </w:t>
      </w:r>
    </w:p>
    <w:p w:rsidR="00C9435F" w:rsidRDefault="00C9435F" w:rsidP="00C9435F">
      <w:pPr>
        <w:spacing w:line="280" w:lineRule="exact"/>
        <w:ind w:left="360"/>
        <w:jc w:val="both"/>
        <w:rPr>
          <w:rFonts w:hint="cs"/>
          <w:rtl/>
        </w:rPr>
      </w:pPr>
      <w:r>
        <w:br w:type="page"/>
      </w:r>
      <w:r w:rsidR="0018319B">
        <w:rPr>
          <w:rFonts w:hint="cs"/>
          <w:rtl/>
        </w:rPr>
        <w:lastRenderedPageBreak/>
        <w:t xml:space="preserve">להשיג שתי תוצאות אשר החוק ביקש למונען: ראשית, תשובש מערכת ההטבות אשר החוק ביקש לישם. כפי שראינו, מגמתו של החוק היא להשיב האבידה לבעליה, ואחת מתוצאות הלוואי של מגמה זו היא התוצאה כי בעל הרשות זוכה באבידה. תוצאת לווי זו תסוכל; שנית, תושג התוצאה כי מצבו של המוצא שהמרה את מצוות החוק, הפר את הוראותיו ועבר בכך עבירה פלילית יהא טוב יותר ממצבו של מוצא שהמרה את מצוות החוק, הפר את הוראותיו ועבר בכך עבירה פלילית יהא טוב יותר ממצבו של מוצא השומר על החוק ומקיים את הוראותיו. הראשון יזכה בבעלות על האבידה, ואילו השני לא יזכה בה. אין להניח כי זו היא כוונתו של המחוקק. אין להניח כי הוא איפשר למוצא לשבש את מערכת ההטבות שהחוק בא לקבוע, וחזקה על המחוקק שלא ביקש להביא לתוצאה שהחוטא ייצא נשכר. </w:t>
      </w:r>
    </w:p>
    <w:p w:rsidR="0018319B" w:rsidRDefault="0018319B" w:rsidP="00C9435F">
      <w:pPr>
        <w:spacing w:line="280" w:lineRule="exact"/>
        <w:ind w:left="360"/>
        <w:jc w:val="both"/>
        <w:rPr>
          <w:rFonts w:hint="cs"/>
          <w:rtl/>
        </w:rPr>
      </w:pPr>
    </w:p>
    <w:p w:rsidR="00C9435F" w:rsidRDefault="0018319B" w:rsidP="002B15AA">
      <w:pPr>
        <w:numPr>
          <w:ilvl w:val="0"/>
          <w:numId w:val="19"/>
        </w:numPr>
        <w:spacing w:line="280" w:lineRule="exact"/>
        <w:jc w:val="both"/>
        <w:rPr>
          <w:rFonts w:hint="cs"/>
        </w:rPr>
      </w:pPr>
      <w:r>
        <w:rPr>
          <w:rFonts w:hint="cs"/>
          <w:rtl/>
        </w:rPr>
        <w:t>סיכומו של דבר: שניים אוחזין במציאה, זה אומר אני מצאתיה וזה אומר אני מצאתיה. זה אומר כולה שלי וזה אומר כולה שלי. עם מי הדין? נמצאה האבידה ברשותו של אחר והוא דרשה, בעל הרשות נוטל. בעל הרשות הוא המערער, הוא נוטל. הייתי מקבל את הערעור, ומבטל את פסק דינו של בית-המשפט המחוזי. לאור הצהרתו של בא-כוח המדינה לפי בית-המשפט המחוזי ,התוצאה היא כי האגרות תימסרנה  למערערת. המשיב ישא בהוצאות הערעור, לרבות שכר טרחת עורך-דין, בסכום כולל של 5,000 ל"י.</w:t>
      </w:r>
    </w:p>
    <w:p w:rsidR="0018319B" w:rsidRDefault="0018319B" w:rsidP="0018319B">
      <w:pPr>
        <w:spacing w:line="280" w:lineRule="exact"/>
        <w:jc w:val="both"/>
        <w:rPr>
          <w:rFonts w:hint="cs"/>
          <w:rtl/>
        </w:rPr>
      </w:pPr>
    </w:p>
    <w:p w:rsidR="0018319B" w:rsidRDefault="0018319B" w:rsidP="0018319B">
      <w:pPr>
        <w:spacing w:line="280" w:lineRule="exact"/>
        <w:jc w:val="both"/>
        <w:rPr>
          <w:rFonts w:hint="cs"/>
          <w:rtl/>
        </w:rPr>
      </w:pPr>
      <w:r>
        <w:rPr>
          <w:rFonts w:hint="cs"/>
          <w:b/>
          <w:bCs/>
          <w:rtl/>
        </w:rPr>
        <w:t>השופט אלון:</w:t>
      </w:r>
      <w:r>
        <w:rPr>
          <w:rFonts w:hint="cs"/>
          <w:rtl/>
        </w:rPr>
        <w:t xml:space="preserve"> 1. היה לפני פסק-דינו של חברי הנכבד השופט ברק; קראתי ועיינתי בו, ודעתי אינה מסכימה עמו. נראה לי כי יש לדחות את הערעור ולקיים את פסק-דינו של בית-המשפט המחוזי. </w:t>
      </w:r>
    </w:p>
    <w:p w:rsidR="0018319B" w:rsidRDefault="0018319B" w:rsidP="0018319B">
      <w:pPr>
        <w:spacing w:line="280" w:lineRule="exact"/>
        <w:jc w:val="both"/>
        <w:rPr>
          <w:rFonts w:hint="cs"/>
          <w:rtl/>
        </w:rPr>
      </w:pPr>
    </w:p>
    <w:p w:rsidR="0018319B" w:rsidRDefault="0041491C" w:rsidP="0018319B">
      <w:pPr>
        <w:numPr>
          <w:ilvl w:val="0"/>
          <w:numId w:val="25"/>
        </w:numPr>
        <w:spacing w:line="280" w:lineRule="exact"/>
        <w:jc w:val="both"/>
        <w:rPr>
          <w:rFonts w:hint="cs"/>
        </w:rPr>
      </w:pPr>
      <w:r>
        <w:rPr>
          <w:rFonts w:hint="cs"/>
          <w:rtl/>
        </w:rPr>
        <w:t xml:space="preserve">ודאי הוא, כדברי חברי הנכבד, כי מטרתו של </w:t>
      </w:r>
      <w:hyperlink r:id="rId42" w:history="1">
        <w:r w:rsidR="00CA17A5" w:rsidRPr="00CA17A5">
          <w:rPr>
            <w:rStyle w:val="Hyperlink"/>
            <w:rtl/>
          </w:rPr>
          <w:t>חוק השבת אבידה</w:t>
        </w:r>
      </w:hyperlink>
      <w:r>
        <w:rPr>
          <w:rFonts w:hint="cs"/>
          <w:rtl/>
        </w:rPr>
        <w:t xml:space="preserve">, תשל"ג-1973, כשמו כן הוא </w:t>
      </w:r>
      <w:r>
        <w:rPr>
          <w:rtl/>
        </w:rPr>
        <w:t>–</w:t>
      </w:r>
      <w:r>
        <w:rPr>
          <w:rFonts w:hint="cs"/>
          <w:rtl/>
        </w:rPr>
        <w:t xml:space="preserve"> השבת האבידה לבעליה. המטרה העיקרית והראשונית שעמדה לנגד עיני המחוקק היא קביעת הוראות והנחיות שיהא בהן, במידה מירבית, להניע את המוצא להשיב את האבידה למי שאבדה לו, בין אם המאבד היה הבעלים של החפץ ובין אם היה זכאי להחזיק בו בלבד (</w:t>
      </w:r>
      <w:hyperlink r:id="rId43" w:history="1">
        <w:r w:rsidR="00FC0712" w:rsidRPr="00FC0712">
          <w:rPr>
            <w:color w:val="0000FF"/>
            <w:u w:val="single"/>
            <w:rtl/>
          </w:rPr>
          <w:t>סעיף 1</w:t>
        </w:r>
      </w:hyperlink>
      <w:r>
        <w:rPr>
          <w:rFonts w:hint="cs"/>
          <w:rtl/>
        </w:rPr>
        <w:t xml:space="preserve"> לחוק). מטרה בסיסית זו לא רק שמשתמעת היא מעצם שמו של החוק ומתוכן הוראותיו, ובכך עוד ידובר להלן, אלא נראה לי כי מותר להניח שעומדת היא בראש מעיניו של כל מחוקק המבקש להסדיר ענינה של פרשה זו. ובוודאי שכך הוא, דרך משל, במשפט העברי, שבו נתיחדה לנושא זה פרשה שלמה בתורה שבכתב (דברים כב, א-ג). סביר להניח שהרעיון הגלום בפסוקים אלה שימש מקום השראה גם למחוקקי אומות העולם, ואף טבעי הוא שהמחוקק הישראלי מצטט בהרחבה פסוקים אלה שבספר דברים בדברי ההסבר להצעת החוק (הצעות חוק, תשל"א, מס' 930, ע' 163 ואילך). מן הראוי לציין כי שמו של החוק בהצעתו היה "חוק הטיפול באבידות", אך משנדון בכנסת היה שמו בישראל "</w:t>
      </w:r>
      <w:hyperlink r:id="rId44" w:history="1">
        <w:r w:rsidR="00CA17A5" w:rsidRPr="00CA17A5">
          <w:rPr>
            <w:rStyle w:val="Hyperlink"/>
            <w:rtl/>
          </w:rPr>
          <w:t>חוק השבת אבידה</w:t>
        </w:r>
      </w:hyperlink>
      <w:r>
        <w:rPr>
          <w:rFonts w:hint="cs"/>
          <w:rtl/>
        </w:rPr>
        <w:t xml:space="preserve">", ושינוי זה הוסבר בפי חבר כנסת מ/ ביבי, שהביא את החוק לקריאה שנייה ושלישית, כך: "הביטוי השבת אבידה הוא ביטוי המוכר לנו במשפט העברי, והוא גם מבטא ביתר דיוק את מטרת החוק" (דברי הכנסת, כרך 67, ע' 3596), והיא היא המטרה האמורה לעיל, המוסברת באותו מקום בדברי חבר כנסת ביבי שצוטטו בפסק-דינו של חברי. דרך אגב, אוסיף ואציין כי לפי האמור בפרשת השבת </w:t>
      </w:r>
    </w:p>
    <w:p w:rsidR="0041491C" w:rsidRDefault="004B3031" w:rsidP="0041491C">
      <w:pPr>
        <w:spacing w:line="280" w:lineRule="exact"/>
        <w:ind w:left="360"/>
        <w:jc w:val="both"/>
        <w:rPr>
          <w:rFonts w:hint="cs"/>
          <w:rtl/>
        </w:rPr>
      </w:pPr>
      <w:r>
        <w:rPr>
          <w:rtl/>
        </w:rPr>
        <w:br w:type="page"/>
      </w:r>
      <w:r>
        <w:rPr>
          <w:rFonts w:hint="cs"/>
          <w:rtl/>
        </w:rPr>
        <w:lastRenderedPageBreak/>
        <w:t xml:space="preserve">אבידה שבספר דברים קיימת חובה, בצורה של לא תעשה, ליטול את האבידה כדי להשיבה לבעליה ("וכן תעשה לכל אבדת אחיך אשר תאבד ממנו ומצאתה, </w:t>
      </w:r>
      <w:r>
        <w:rPr>
          <w:rFonts w:hint="cs"/>
          <w:b/>
          <w:bCs/>
          <w:rtl/>
        </w:rPr>
        <w:t>לא תוכל להתעלם</w:t>
      </w:r>
      <w:r>
        <w:rPr>
          <w:rFonts w:hint="cs"/>
          <w:rtl/>
        </w:rPr>
        <w:t>", דברים, שם; רמב"ם, הלכות גזילה ואבידה, פרק יא, הלכה א). אך המחוקק הישראלי לא הרחיק לכת עד כדי קביעת חובה זו לנורמה משפטית: "החוק אינו מחייב אדם הרואה אבידה ליטול אותה. הנטילה היא חובה מוסרית גרידא" (דברי הסבר לסעיף 2, הצעת החוק, שם), והחובה המשפטית המוטלת על המוצא ב</w:t>
      </w:r>
      <w:hyperlink r:id="rId45" w:history="1">
        <w:r w:rsidR="00CA17A5" w:rsidRPr="00CA17A5">
          <w:rPr>
            <w:rStyle w:val="Hyperlink"/>
            <w:rtl/>
          </w:rPr>
          <w:t>חוק השבת אבידה</w:t>
        </w:r>
      </w:hyperlink>
      <w:r>
        <w:rPr>
          <w:rFonts w:hint="cs"/>
          <w:rtl/>
        </w:rPr>
        <w:t xml:space="preserve">, תשל"ג-1973, תחילתה מרגע נטילת האבידה: "המוצא אבידה </w:t>
      </w:r>
      <w:r>
        <w:rPr>
          <w:rFonts w:hint="cs"/>
          <w:b/>
          <w:bCs/>
          <w:rtl/>
        </w:rPr>
        <w:t>ונוטלה</w:t>
      </w:r>
      <w:r>
        <w:rPr>
          <w:rFonts w:hint="cs"/>
          <w:rtl/>
        </w:rPr>
        <w:t xml:space="preserve"> (להלן </w:t>
      </w:r>
      <w:r>
        <w:rPr>
          <w:rtl/>
        </w:rPr>
        <w:t>–</w:t>
      </w:r>
      <w:r>
        <w:rPr>
          <w:rFonts w:hint="cs"/>
          <w:rtl/>
        </w:rPr>
        <w:t xml:space="preserve"> המוצא) חייב להשיבה לבעלה..." (</w:t>
      </w:r>
      <w:hyperlink r:id="rId46" w:history="1">
        <w:r w:rsidR="00FC0712" w:rsidRPr="00FC0712">
          <w:rPr>
            <w:color w:val="0000FF"/>
            <w:u w:val="single"/>
            <w:rtl/>
          </w:rPr>
          <w:t>סעיף 2(א)</w:t>
        </w:r>
      </w:hyperlink>
      <w:r>
        <w:rPr>
          <w:rFonts w:hint="cs"/>
          <w:rtl/>
        </w:rPr>
        <w:t xml:space="preserve"> לחוק). שהרי כך דרכו של החוק שאין הוא פורש מצודתו אלא על מה שנראה בעיני המחוקק כראוי וכנכון ולעשותו לחובה בת נפקות משפטית, במיוחד כאשר לחובה זו נלווית סנקציה פלילית, כפי שכך הוא בעניננו (</w:t>
      </w:r>
      <w:hyperlink r:id="rId47" w:history="1">
        <w:r w:rsidR="00FC0712" w:rsidRPr="00FC0712">
          <w:rPr>
            <w:color w:val="0000FF"/>
            <w:u w:val="single"/>
            <w:rtl/>
          </w:rPr>
          <w:t>סעיף 9</w:t>
        </w:r>
      </w:hyperlink>
      <w:r>
        <w:rPr>
          <w:rFonts w:hint="cs"/>
          <w:rtl/>
        </w:rPr>
        <w:t xml:space="preserve"> לחוק).</w:t>
      </w:r>
    </w:p>
    <w:p w:rsidR="004B3031" w:rsidRPr="004B3031" w:rsidRDefault="004B3031" w:rsidP="0041491C">
      <w:pPr>
        <w:spacing w:line="280" w:lineRule="exact"/>
        <w:ind w:left="360"/>
        <w:jc w:val="both"/>
        <w:rPr>
          <w:rFonts w:hint="cs"/>
        </w:rPr>
      </w:pPr>
    </w:p>
    <w:p w:rsidR="0041491C" w:rsidRDefault="004B3031" w:rsidP="0018319B">
      <w:pPr>
        <w:numPr>
          <w:ilvl w:val="0"/>
          <w:numId w:val="25"/>
        </w:numPr>
        <w:spacing w:line="280" w:lineRule="exact"/>
        <w:jc w:val="both"/>
        <w:rPr>
          <w:rFonts w:hint="cs"/>
        </w:rPr>
      </w:pPr>
      <w:r>
        <w:rPr>
          <w:rFonts w:hint="cs"/>
          <w:rtl/>
        </w:rPr>
        <w:t xml:space="preserve">מטרה זו של השבת אבידה לבעליה מוסדרת בראש ובראשונה בהוראות </w:t>
      </w:r>
      <w:hyperlink r:id="rId48" w:history="1">
        <w:r w:rsidR="00FC0712" w:rsidRPr="00FC0712">
          <w:rPr>
            <w:color w:val="0000FF"/>
            <w:u w:val="single"/>
            <w:rtl/>
          </w:rPr>
          <w:t>שבסעיף 2</w:t>
        </w:r>
      </w:hyperlink>
      <w:r>
        <w:rPr>
          <w:rFonts w:hint="cs"/>
          <w:rtl/>
        </w:rPr>
        <w:t xml:space="preserve"> לחוק. המוצא חייב להשיב את האבידה לבעליה או להודיע עליה בהקדם למשטרה (השווה לחובת ההכרזה על האבידה במשפט העברי </w:t>
      </w:r>
      <w:r>
        <w:rPr>
          <w:rtl/>
        </w:rPr>
        <w:t>–</w:t>
      </w:r>
      <w:r>
        <w:rPr>
          <w:rFonts w:hint="cs"/>
          <w:rtl/>
        </w:rPr>
        <w:t xml:space="preserve"> בבא מציעא, כז, ב; רמב"ם, שם, פרק יג, הלכות א, ח, ט). כל עוד האבידה בידי המוצא חייב הוא בשמירתה ודינו כדין שומר חינם לפי </w:t>
      </w:r>
      <w:hyperlink r:id="rId49" w:history="1">
        <w:r w:rsidR="00CA17A5" w:rsidRPr="00CA17A5">
          <w:rPr>
            <w:rStyle w:val="Hyperlink"/>
            <w:rtl/>
          </w:rPr>
          <w:t>חוק השומרים</w:t>
        </w:r>
      </w:hyperlink>
      <w:r>
        <w:rPr>
          <w:rFonts w:hint="cs"/>
          <w:rtl/>
        </w:rPr>
        <w:t xml:space="preserve">, תשכ"ז-1967, אך רשאי הוא למסור את האבידה למשטרה ובכך משתחרר הוא מאחריות שמירת האבידה. המשטרה רשאית היא לדרוש מהמוצא את האבידה, והיא תנהג כך, דרך משל, אם הדר יהא נראה לה לשם שמירה על האבידה. בשיטות משפטיות שונות מסורים תפקידים וסמכויות אלה של המשטרה לרשות המקומית, דבר שיש בו להקל הן על המשטרה, שעיקר משימתה למלא תפקידי ביטחון פנימי ואין שעתה פנויה לטיפול באבידות, והן על האזרח שהגיש לרשות המקומית קלה ונוחה היא מהפנייה למשטרה; משום כך מסמיך המחוקק את שר המשטרה, בהסכמת שר הפנים, להאציל תפקיד המשטרה וסמכויותיה לפי </w:t>
      </w:r>
      <w:hyperlink r:id="rId50" w:history="1">
        <w:r w:rsidR="00CA17A5" w:rsidRPr="00CA17A5">
          <w:rPr>
            <w:rStyle w:val="Hyperlink"/>
            <w:rtl/>
          </w:rPr>
          <w:t>חוק השבת אבידה</w:t>
        </w:r>
      </w:hyperlink>
      <w:r>
        <w:rPr>
          <w:rFonts w:hint="cs"/>
          <w:rtl/>
        </w:rPr>
        <w:t xml:space="preserve"> לרשות מקומית שהביעה הסכמתה לכך (</w:t>
      </w:r>
      <w:hyperlink r:id="rId51" w:history="1">
        <w:r w:rsidR="00FC0712" w:rsidRPr="00FC0712">
          <w:rPr>
            <w:color w:val="0000FF"/>
            <w:u w:val="single"/>
            <w:rtl/>
          </w:rPr>
          <w:t>סעיף 10</w:t>
        </w:r>
      </w:hyperlink>
      <w:r>
        <w:rPr>
          <w:rFonts w:hint="cs"/>
          <w:rtl/>
        </w:rPr>
        <w:t>).</w:t>
      </w:r>
    </w:p>
    <w:p w:rsidR="004B3031" w:rsidRDefault="004B3031" w:rsidP="004B3031">
      <w:pPr>
        <w:spacing w:line="280" w:lineRule="exact"/>
        <w:ind w:left="360"/>
        <w:jc w:val="both"/>
        <w:rPr>
          <w:rFonts w:hint="cs"/>
          <w:rtl/>
        </w:rPr>
      </w:pPr>
    </w:p>
    <w:p w:rsidR="004B3031" w:rsidRDefault="00262F47" w:rsidP="004B3031">
      <w:pPr>
        <w:spacing w:line="280" w:lineRule="exact"/>
        <w:ind w:left="360"/>
        <w:jc w:val="both"/>
        <w:rPr>
          <w:rFonts w:hint="cs"/>
          <w:rtl/>
        </w:rPr>
      </w:pPr>
      <w:r>
        <w:rPr>
          <w:rFonts w:hint="cs"/>
          <w:rtl/>
        </w:rPr>
        <w:t xml:space="preserve">השלמה חשובה לקידום מטרת החוק שבהוראות האמורות </w:t>
      </w:r>
      <w:hyperlink r:id="rId52" w:history="1">
        <w:r w:rsidR="00FC0712" w:rsidRPr="00FC0712">
          <w:rPr>
            <w:color w:val="0000FF"/>
            <w:u w:val="single"/>
            <w:rtl/>
          </w:rPr>
          <w:t>בסעיף 2</w:t>
        </w:r>
      </w:hyperlink>
      <w:r>
        <w:rPr>
          <w:rFonts w:hint="cs"/>
          <w:rtl/>
        </w:rPr>
        <w:t xml:space="preserve"> מצויה </w:t>
      </w:r>
      <w:hyperlink r:id="rId53" w:history="1">
        <w:r w:rsidR="00FC0712" w:rsidRPr="00FC0712">
          <w:rPr>
            <w:color w:val="0000FF"/>
            <w:u w:val="single"/>
            <w:rtl/>
          </w:rPr>
          <w:t>בסעיף 4(א)</w:t>
        </w:r>
      </w:hyperlink>
      <w:r>
        <w:rPr>
          <w:rFonts w:hint="cs"/>
          <w:rtl/>
        </w:rPr>
        <w:t xml:space="preserve"> לחוק. משהודיע המוצא למשטרה על האבידה שמצא "ולא נתגלתה בעל האבידה תוך ארבעה חודשים, יראו כאילו התייאש ממנה והמוצא יהיה לבעל האבידה". על משמעותו של נוסח מיוחד זה של העברת הבעלות על האבידה למוצא עוד ידובר להלן, ועתה רק נציין כי אפשרות זו שהמוצא יזכה באבידה שמצא, במקרה שלא נתגלה בעל האבידה, יש בה משום גורם חשוב להשגת מטרת החוק שהאבידה תושב לבעליה. נוסף לחובה המוטלת על המוצא להשיב את האבידה לבעליה או להודיע עליה למשטרה </w:t>
      </w:r>
      <w:r>
        <w:rPr>
          <w:rtl/>
        </w:rPr>
        <w:t>–</w:t>
      </w:r>
      <w:r>
        <w:rPr>
          <w:rFonts w:hint="cs"/>
          <w:rtl/>
        </w:rPr>
        <w:t xml:space="preserve"> חובה שבאי מילויה גורר עמה, כאמור, סנקציה פלילית </w:t>
      </w:r>
      <w:r>
        <w:rPr>
          <w:rtl/>
        </w:rPr>
        <w:t>–</w:t>
      </w:r>
      <w:r>
        <w:rPr>
          <w:rFonts w:hint="cs"/>
          <w:rtl/>
        </w:rPr>
        <w:t xml:space="preserve"> מובטח למוצא כי האבידה תעבור לבעלותו באם בעליה לא יימצאו ובכך יש משום עידוד המוצא הישר, המקיים את הוראות החוק, לבוא על שכרו ולהיות בעל האבידה כדת וכדין.</w:t>
      </w:r>
    </w:p>
    <w:p w:rsidR="00262F47" w:rsidRDefault="00262F47" w:rsidP="004B3031">
      <w:pPr>
        <w:spacing w:line="280" w:lineRule="exact"/>
        <w:ind w:left="360"/>
        <w:jc w:val="both"/>
        <w:rPr>
          <w:rFonts w:hint="cs"/>
        </w:rPr>
      </w:pPr>
    </w:p>
    <w:p w:rsidR="004B3031" w:rsidRDefault="00262F47" w:rsidP="0018319B">
      <w:pPr>
        <w:numPr>
          <w:ilvl w:val="0"/>
          <w:numId w:val="25"/>
        </w:numPr>
        <w:spacing w:line="280" w:lineRule="exact"/>
        <w:jc w:val="both"/>
        <w:rPr>
          <w:rFonts w:hint="cs"/>
        </w:rPr>
      </w:pPr>
      <w:r>
        <w:rPr>
          <w:rFonts w:hint="cs"/>
          <w:rtl/>
        </w:rPr>
        <w:t xml:space="preserve">בין שני הסעיפים האמורים, שוכן סעיף נוסף, והוא </w:t>
      </w:r>
      <w:hyperlink r:id="rId54" w:history="1">
        <w:r w:rsidR="00FC0712" w:rsidRPr="00FC0712">
          <w:rPr>
            <w:color w:val="0000FF"/>
            <w:u w:val="single"/>
            <w:rtl/>
          </w:rPr>
          <w:t>סעיף 3</w:t>
        </w:r>
      </w:hyperlink>
      <w:r>
        <w:rPr>
          <w:rFonts w:hint="cs"/>
          <w:rtl/>
        </w:rPr>
        <w:t xml:space="preserve">, אשר פירושו ומטרתו </w:t>
      </w:r>
    </w:p>
    <w:p w:rsidR="00262F47" w:rsidRDefault="00262F47" w:rsidP="00262F47">
      <w:pPr>
        <w:spacing w:line="280" w:lineRule="exact"/>
        <w:ind w:left="360"/>
        <w:jc w:val="both"/>
        <w:rPr>
          <w:rFonts w:hint="cs"/>
          <w:rtl/>
        </w:rPr>
      </w:pPr>
      <w:r>
        <w:rPr>
          <w:rtl/>
        </w:rPr>
        <w:br w:type="page"/>
      </w:r>
      <w:r>
        <w:rPr>
          <w:rFonts w:hint="cs"/>
          <w:rtl/>
        </w:rPr>
        <w:lastRenderedPageBreak/>
        <w:t xml:space="preserve">עומדים במרכז הדיון בפרשת הענין שלפנינו. וזו לשון </w:t>
      </w:r>
      <w:hyperlink r:id="rId55" w:history="1">
        <w:r w:rsidR="00FC0712" w:rsidRPr="00FC0712">
          <w:rPr>
            <w:color w:val="0000FF"/>
            <w:u w:val="single"/>
            <w:rtl/>
          </w:rPr>
          <w:t>סעיף 3</w:t>
        </w:r>
      </w:hyperlink>
      <w:r>
        <w:rPr>
          <w:rFonts w:hint="cs"/>
          <w:rtl/>
        </w:rPr>
        <w:t>:</w:t>
      </w:r>
    </w:p>
    <w:p w:rsidR="00262F47" w:rsidRDefault="00262F47" w:rsidP="00262F47">
      <w:pPr>
        <w:spacing w:line="280" w:lineRule="exact"/>
        <w:ind w:left="360"/>
        <w:jc w:val="both"/>
        <w:rPr>
          <w:rFonts w:hint="cs"/>
          <w:rtl/>
        </w:rPr>
      </w:pPr>
    </w:p>
    <w:p w:rsidR="00262F47" w:rsidRDefault="00262F47" w:rsidP="00262F47">
      <w:pPr>
        <w:spacing w:line="280" w:lineRule="exact"/>
        <w:ind w:left="720" w:right="1260"/>
        <w:jc w:val="both"/>
        <w:rPr>
          <w:rFonts w:hint="cs"/>
          <w:rtl/>
        </w:rPr>
      </w:pPr>
      <w:r>
        <w:rPr>
          <w:rFonts w:hint="cs"/>
          <w:rtl/>
        </w:rPr>
        <w:t>"המוצא אבידה ברשותו של אדם אחר חייב להודיע עליה לבעל הרשות ולמסרה לו לפי דרישתו; קיבל בעל הרשות את האבידה לידו, יראו אותו כמוצא".</w:t>
      </w:r>
    </w:p>
    <w:p w:rsidR="00262F47" w:rsidRDefault="00262F47" w:rsidP="00262F47">
      <w:pPr>
        <w:spacing w:line="280" w:lineRule="exact"/>
        <w:ind w:left="360"/>
        <w:jc w:val="both"/>
        <w:rPr>
          <w:rFonts w:hint="cs"/>
          <w:rtl/>
        </w:rPr>
      </w:pPr>
    </w:p>
    <w:p w:rsidR="00262F47" w:rsidRDefault="00262F47" w:rsidP="007A7AF5">
      <w:pPr>
        <w:spacing w:line="280" w:lineRule="exact"/>
        <w:ind w:left="360"/>
        <w:jc w:val="both"/>
        <w:rPr>
          <w:rFonts w:hint="cs"/>
          <w:rtl/>
        </w:rPr>
      </w:pPr>
      <w:r>
        <w:rPr>
          <w:rFonts w:hint="cs"/>
          <w:rtl/>
        </w:rPr>
        <w:t xml:space="preserve">השאלה העומדת בראש מעיננו, אשר על-פי התשובה שתינתן לה יוכרע עניננו, היא "ברשותו של אדם אחר" </w:t>
      </w:r>
      <w:r>
        <w:rPr>
          <w:rtl/>
        </w:rPr>
        <w:t>–</w:t>
      </w:r>
      <w:r>
        <w:rPr>
          <w:rFonts w:hint="cs"/>
          <w:rtl/>
        </w:rPr>
        <w:t xml:space="preserve"> מה משמעותו? שהרי המלים "רשותו של אדם" יכול שתהא כוונתן לרשות במובן של </w:t>
      </w:r>
      <w:r>
        <w:rPr>
          <w:rFonts w:hint="cs"/>
          <w:b/>
          <w:bCs/>
          <w:rtl/>
        </w:rPr>
        <w:t>בעלות</w:t>
      </w:r>
      <w:r>
        <w:rPr>
          <w:rFonts w:hint="cs"/>
          <w:rtl/>
        </w:rPr>
        <w:t xml:space="preserve">, ואולי במשמעות של </w:t>
      </w:r>
      <w:r>
        <w:rPr>
          <w:rFonts w:hint="cs"/>
          <w:b/>
          <w:bCs/>
          <w:rtl/>
        </w:rPr>
        <w:t>חזקה</w:t>
      </w:r>
      <w:r>
        <w:rPr>
          <w:rFonts w:hint="cs"/>
          <w:rtl/>
        </w:rPr>
        <w:t xml:space="preserve"> ו/או אולי כוונתן לנכס המצוי </w:t>
      </w:r>
      <w:r>
        <w:rPr>
          <w:rFonts w:hint="cs"/>
          <w:b/>
          <w:bCs/>
          <w:rtl/>
        </w:rPr>
        <w:t>בשליטתו</w:t>
      </w:r>
      <w:r w:rsidR="007A7AF5">
        <w:rPr>
          <w:rFonts w:hint="cs"/>
          <w:rtl/>
        </w:rPr>
        <w:t xml:space="preserve"> של אדם אחר, ושאר ספקות ואפשרויות אותם מעלה חברי השופט ברק. ואל נכון מוסיף ואומר חברי שמושג זה אכן יכול ויתפרש במובנים שונים, הכל לפי המקום שבו הוא מצוי ולפי הענין שלגביו הוא מובא, ואשר על כן בעניננו צריך ויתפרש מושג זה בהקשר של </w:t>
      </w:r>
      <w:hyperlink r:id="rId56" w:history="1">
        <w:r w:rsidR="00CA17A5" w:rsidRPr="00CA17A5">
          <w:rPr>
            <w:rStyle w:val="Hyperlink"/>
            <w:rtl/>
          </w:rPr>
          <w:t>חוק השבת אבידה</w:t>
        </w:r>
      </w:hyperlink>
      <w:r w:rsidR="007A7AF5">
        <w:rPr>
          <w:rFonts w:hint="cs"/>
          <w:rtl/>
        </w:rPr>
        <w:t xml:space="preserve">. למען הדיוק אוסיף ואומר כבר עתה שמושג זה צריך ויתפרש לא רק בקשר לחוק בכללו אלא גם מתוך הדבק הענין שבסעיף המסויים שבחוק שבו הוא מצוי, ועוד אדון בכך להלן. כאמור, מטרת החוק היא לעודד השבת אבידה לבעליה ומשום כך, מוסיף ואומר חברי, הורה המחוקק כי המוצא אבידה ברשותו של אדם אחר חייב להודיע עליה לבעל הרשות ואף למסור לו את האבידה לידיו תשרת בצורה ראויה יותר את המטרה של השבת האבידה לבעליה מאשר השארתה בידי המוצא". וזאת על שום מה? על שום שטבעי הוא שבעל האבידה יחזור ויחפש את אבידתו במקום שזו אבדה לו ועל שום שסביר הוא שבעל המקום בו נמצאה האבידה, מטבע זיקתו למקום, ישמור עליה לטובת בעליה יותר מאשר המוצא המזדמן באקראי לשם. ולשיקולים אלה מציין חברי לדברים המצויים בדרי הכנסת בקשר לוק האמור ובמאמריהם של חכמי משפט שונים. השיקול המונח ביסודו של </w:t>
      </w:r>
      <w:hyperlink r:id="rId57" w:history="1">
        <w:r w:rsidR="00FC0712" w:rsidRPr="00FC0712">
          <w:rPr>
            <w:color w:val="0000FF"/>
            <w:u w:val="single"/>
            <w:rtl/>
          </w:rPr>
          <w:t>סעיף 3</w:t>
        </w:r>
      </w:hyperlink>
      <w:r w:rsidR="007A7AF5">
        <w:rPr>
          <w:rFonts w:hint="cs"/>
          <w:rtl/>
        </w:rPr>
        <w:t xml:space="preserve">, מוסיף ואומר חברי, הוא איזו היא הכתובת הסבירה אליה יפנה בעל האבידה החוזר על אבידתו. והמסקנה העולה מכך היא כי </w:t>
      </w:r>
      <w:r w:rsidR="007A7AF5">
        <w:rPr>
          <w:rtl/>
        </w:rPr>
        <w:t>–</w:t>
      </w:r>
      <w:r w:rsidR="007A7AF5">
        <w:rPr>
          <w:rFonts w:hint="cs"/>
          <w:rtl/>
        </w:rPr>
        <w:t xml:space="preserve"> </w:t>
      </w:r>
    </w:p>
    <w:p w:rsidR="007A7AF5" w:rsidRDefault="007A7AF5" w:rsidP="007A7AF5">
      <w:pPr>
        <w:spacing w:line="280" w:lineRule="exact"/>
        <w:ind w:left="360"/>
        <w:jc w:val="both"/>
        <w:rPr>
          <w:rFonts w:hint="cs"/>
          <w:rtl/>
        </w:rPr>
      </w:pPr>
    </w:p>
    <w:p w:rsidR="007A7AF5" w:rsidRDefault="007A7AF5" w:rsidP="007A7AF5">
      <w:pPr>
        <w:spacing w:line="280" w:lineRule="exact"/>
        <w:ind w:left="720" w:right="1260"/>
        <w:jc w:val="both"/>
        <w:rPr>
          <w:rFonts w:hint="cs"/>
          <w:rtl/>
        </w:rPr>
      </w:pPr>
      <w:r>
        <w:rPr>
          <w:rFonts w:hint="cs"/>
          <w:rtl/>
        </w:rPr>
        <w:t xml:space="preserve">"אין כל הבדל אם המיטלטלין אבדו בחדר הכספות או באולם הראשי של הבנק. נוכחותו של ציבור רחב של אנשים </w:t>
      </w:r>
      <w:r>
        <w:rPr>
          <w:rtl/>
        </w:rPr>
        <w:t>–</w:t>
      </w:r>
      <w:r>
        <w:rPr>
          <w:rFonts w:hint="cs"/>
          <w:rtl/>
        </w:rPr>
        <w:t xml:space="preserve"> דבר העושה את המקום למקום "כעין ציבורי" </w:t>
      </w:r>
      <w:r>
        <w:rPr>
          <w:rtl/>
        </w:rPr>
        <w:t>–</w:t>
      </w:r>
      <w:r>
        <w:rPr>
          <w:rFonts w:hint="cs"/>
          <w:rtl/>
        </w:rPr>
        <w:t xml:space="preserve"> אין בה כדי לשנות את אופי זיקתו של הבנק למקום, זיקה אשר על-פי מבחנו של </w:t>
      </w:r>
      <w:hyperlink r:id="rId58" w:history="1">
        <w:r w:rsidR="00CA17A5" w:rsidRPr="00CA17A5">
          <w:rPr>
            <w:rStyle w:val="Hyperlink"/>
            <w:rtl/>
          </w:rPr>
          <w:t>חוק השבת אבידה</w:t>
        </w:r>
      </w:hyperlink>
      <w:r>
        <w:rPr>
          <w:rFonts w:hint="cs"/>
          <w:rtl/>
        </w:rPr>
        <w:t>, עושה את הבנק לבעל הרשות. אפילו יחלפו אלפי אנשים באולמו של בנק, אין בכך כדי לשלול מהמקום את מעמדו רשותו של אחר. לעומת זאת, אפילו יהא מספר האנשים העובר ברחוב פלוני קטן ומצומצם, אין בכך כדי לעשות את הרחוב לרשותו של אחר. ויושם אל לב: רחובה של עיר אינו הפקר, והרי זה נכס המצוי בבעלות העירייה ולה אף שליטת מה עליו, אך זיקתה האמורה של העירייה אינה כזו העושה אותה לכתובת סבירה לשמירת האבידה על-פי המבחנים שנדונו על-ידינו".</w:t>
      </w:r>
    </w:p>
    <w:p w:rsidR="007A7AF5" w:rsidRDefault="007A7AF5" w:rsidP="007A7AF5">
      <w:pPr>
        <w:spacing w:line="280" w:lineRule="exact"/>
        <w:ind w:left="360"/>
        <w:jc w:val="both"/>
        <w:rPr>
          <w:rFonts w:hint="cs"/>
          <w:rtl/>
        </w:rPr>
      </w:pPr>
      <w:r>
        <w:rPr>
          <w:rtl/>
        </w:rPr>
        <w:br w:type="page"/>
      </w:r>
      <w:r w:rsidR="00CF24CE">
        <w:rPr>
          <w:rFonts w:hint="cs"/>
          <w:rtl/>
        </w:rPr>
        <w:lastRenderedPageBreak/>
        <w:t xml:space="preserve">כאמור, דרך פירוש זו של </w:t>
      </w:r>
      <w:hyperlink r:id="rId59" w:history="1">
        <w:r w:rsidR="00FC0712" w:rsidRPr="00FC0712">
          <w:rPr>
            <w:color w:val="0000FF"/>
            <w:u w:val="single"/>
            <w:rtl/>
          </w:rPr>
          <w:t>סעיף 3</w:t>
        </w:r>
      </w:hyperlink>
      <w:r w:rsidR="00CF24CE">
        <w:rPr>
          <w:rFonts w:hint="cs"/>
          <w:rtl/>
        </w:rPr>
        <w:t xml:space="preserve"> והמסקנה העולה הימנה אינם נראים לי. </w:t>
      </w:r>
    </w:p>
    <w:p w:rsidR="00CF24CE" w:rsidRPr="00262F47" w:rsidRDefault="00CF24CE" w:rsidP="007A7AF5">
      <w:pPr>
        <w:spacing w:line="280" w:lineRule="exact"/>
        <w:ind w:left="360"/>
        <w:jc w:val="both"/>
        <w:rPr>
          <w:rFonts w:hint="cs"/>
        </w:rPr>
      </w:pPr>
    </w:p>
    <w:p w:rsidR="00262F47" w:rsidRDefault="00CF24CE" w:rsidP="0018319B">
      <w:pPr>
        <w:numPr>
          <w:ilvl w:val="0"/>
          <w:numId w:val="25"/>
        </w:numPr>
        <w:spacing w:line="280" w:lineRule="exact"/>
        <w:jc w:val="both"/>
        <w:rPr>
          <w:rFonts w:hint="cs"/>
        </w:rPr>
      </w:pPr>
      <w:r>
        <w:rPr>
          <w:rFonts w:hint="cs"/>
          <w:rtl/>
        </w:rPr>
        <w:t xml:space="preserve">בטרם אדון בהשגותי העיוניות-משפטיות, מן הראוי לציין לתוצאה המעשית הנובעת מהמסקנה אליה הגיע חברי. מסקנה זו היא שברוב המכריע של האבידות, דרך השבתן תוסדר על-פי האמור </w:t>
      </w:r>
      <w:hyperlink r:id="rId60" w:history="1">
        <w:r w:rsidR="00FC0712" w:rsidRPr="00FC0712">
          <w:rPr>
            <w:color w:val="0000FF"/>
            <w:u w:val="single"/>
            <w:rtl/>
          </w:rPr>
          <w:t>בסעיף 3.</w:t>
        </w:r>
      </w:hyperlink>
      <w:r>
        <w:rPr>
          <w:rFonts w:hint="cs"/>
          <w:rtl/>
        </w:rPr>
        <w:t xml:space="preserve"> אמנם חברי מעיר כי אינו משלה את עצמו שניתן יהא "באופן פשוט וברור לסווג כל מקרה ומקרה, אם הוא נופל לגדר רשותו של אדם אחר אם לאו", אבל ברור על כל פנים כי כל אבידה שתימצא במקום שבו מתהלכים אלפים, ואף רבבות אנשים באופן חופשי לגמרי, כגון באולם הכניסה הראשי של בנק, בחנויות כל בו ובסופרמרקטים למיניהם, באוטובוסים וכלי תחבורה שונים, במשרדי ממשלה ומוסדות ציבור וכיוצא באלה </w:t>
      </w:r>
      <w:r>
        <w:rPr>
          <w:rtl/>
        </w:rPr>
        <w:t>–</w:t>
      </w:r>
      <w:r>
        <w:rPr>
          <w:rFonts w:hint="cs"/>
          <w:rtl/>
        </w:rPr>
        <w:t xml:space="preserve"> דרך השבתן היא על-פי האמור </w:t>
      </w:r>
      <w:hyperlink r:id="rId61" w:history="1">
        <w:r w:rsidR="00FC0712" w:rsidRPr="00FC0712">
          <w:rPr>
            <w:color w:val="0000FF"/>
            <w:u w:val="single"/>
            <w:rtl/>
          </w:rPr>
          <w:t>בסעיף 3</w:t>
        </w:r>
      </w:hyperlink>
      <w:r>
        <w:rPr>
          <w:rFonts w:hint="cs"/>
          <w:rtl/>
        </w:rPr>
        <w:t xml:space="preserve"> לחוק. בכך הפכנו את </w:t>
      </w:r>
      <w:hyperlink r:id="rId62" w:history="1">
        <w:r w:rsidR="00FC0712" w:rsidRPr="00FC0712">
          <w:rPr>
            <w:rStyle w:val="Hyperlink"/>
            <w:rFonts w:hint="eastAsia"/>
            <w:rtl/>
          </w:rPr>
          <w:t>סעיף</w:t>
        </w:r>
        <w:r w:rsidR="00FC0712" w:rsidRPr="00FC0712">
          <w:rPr>
            <w:rStyle w:val="Hyperlink"/>
            <w:rtl/>
          </w:rPr>
          <w:t xml:space="preserve"> 3</w:t>
        </w:r>
      </w:hyperlink>
      <w:r w:rsidR="00FC0712">
        <w:rPr>
          <w:rFonts w:hint="cs"/>
          <w:rtl/>
        </w:rPr>
        <w:t xml:space="preserve"> לעיקרו של החוק, לכלל, </w:t>
      </w:r>
      <w:hyperlink r:id="rId63" w:history="1">
        <w:r w:rsidR="00FC0712" w:rsidRPr="00FC0712">
          <w:rPr>
            <w:rStyle w:val="Hyperlink"/>
            <w:rFonts w:hint="eastAsia"/>
            <w:rtl/>
          </w:rPr>
          <w:t>וסעיף</w:t>
        </w:r>
        <w:r w:rsidR="00FC0712" w:rsidRPr="00FC0712">
          <w:rPr>
            <w:rStyle w:val="Hyperlink"/>
            <w:rtl/>
          </w:rPr>
          <w:t xml:space="preserve"> 2</w:t>
        </w:r>
      </w:hyperlink>
      <w:r>
        <w:rPr>
          <w:rFonts w:hint="cs"/>
          <w:rtl/>
        </w:rPr>
        <w:t xml:space="preserve"> לא יחול אלא במקרים שוליים בלבד </w:t>
      </w:r>
      <w:r>
        <w:rPr>
          <w:rtl/>
        </w:rPr>
        <w:t>–</w:t>
      </w:r>
      <w:r>
        <w:rPr>
          <w:rFonts w:hint="cs"/>
          <w:rtl/>
        </w:rPr>
        <w:t xml:space="preserve"> בדרך כלל באבידה הנמצאת ברחובה של עיר </w:t>
      </w:r>
      <w:r>
        <w:rPr>
          <w:rtl/>
        </w:rPr>
        <w:t>–</w:t>
      </w:r>
      <w:r>
        <w:rPr>
          <w:rFonts w:hint="cs"/>
          <w:rtl/>
        </w:rPr>
        <w:t xml:space="preserve"> במקרה שלמעשה אינו אלא בבחינת יוצא מן הכלל. נראה לי כי גם מסקנה </w:t>
      </w:r>
      <w:r>
        <w:rPr>
          <w:rFonts w:hint="cs"/>
          <w:b/>
          <w:bCs/>
          <w:rtl/>
        </w:rPr>
        <w:t>עובדתית</w:t>
      </w:r>
      <w:r>
        <w:rPr>
          <w:rFonts w:hint="cs"/>
          <w:rtl/>
        </w:rPr>
        <w:t xml:space="preserve"> זו אינה עומדת במבחן פשוטו של החוק, שלפיו </w:t>
      </w:r>
      <w:hyperlink r:id="rId64" w:history="1">
        <w:r w:rsidR="00FC0712" w:rsidRPr="00FC0712">
          <w:rPr>
            <w:rStyle w:val="Hyperlink"/>
            <w:rFonts w:hint="eastAsia"/>
            <w:rtl/>
          </w:rPr>
          <w:t>סעיף</w:t>
        </w:r>
        <w:r w:rsidR="00FC0712" w:rsidRPr="00FC0712">
          <w:rPr>
            <w:rStyle w:val="Hyperlink"/>
            <w:rtl/>
          </w:rPr>
          <w:t xml:space="preserve"> 2</w:t>
        </w:r>
      </w:hyperlink>
      <w:r>
        <w:rPr>
          <w:rFonts w:hint="cs"/>
          <w:rtl/>
        </w:rPr>
        <w:t xml:space="preserve"> הוא הכלל </w:t>
      </w:r>
      <w:hyperlink r:id="rId65" w:history="1">
        <w:r w:rsidR="00FC0712" w:rsidRPr="00FC0712">
          <w:rPr>
            <w:rStyle w:val="Hyperlink"/>
            <w:rFonts w:hint="eastAsia"/>
            <w:rtl/>
          </w:rPr>
          <w:t>וסעיף</w:t>
        </w:r>
        <w:r w:rsidR="00FC0712" w:rsidRPr="00FC0712">
          <w:rPr>
            <w:rStyle w:val="Hyperlink"/>
            <w:rtl/>
          </w:rPr>
          <w:t xml:space="preserve"> 3</w:t>
        </w:r>
      </w:hyperlink>
      <w:r>
        <w:rPr>
          <w:rFonts w:hint="cs"/>
          <w:rtl/>
        </w:rPr>
        <w:t xml:space="preserve"> מוציא מכללו, ואף לנימוק זה צריך שיהא משקל מה בפרשנותו של החוק. </w:t>
      </w:r>
    </w:p>
    <w:p w:rsidR="00CF24CE" w:rsidRDefault="00CF24CE" w:rsidP="00CF24CE">
      <w:pPr>
        <w:spacing w:line="280" w:lineRule="exact"/>
        <w:jc w:val="both"/>
        <w:rPr>
          <w:rFonts w:hint="cs"/>
        </w:rPr>
      </w:pPr>
    </w:p>
    <w:p w:rsidR="00CF24CE" w:rsidRDefault="00CF24CE" w:rsidP="0018319B">
      <w:pPr>
        <w:numPr>
          <w:ilvl w:val="0"/>
          <w:numId w:val="25"/>
        </w:numPr>
        <w:spacing w:line="280" w:lineRule="exact"/>
        <w:jc w:val="both"/>
        <w:rPr>
          <w:rFonts w:hint="cs"/>
        </w:rPr>
      </w:pPr>
      <w:r>
        <w:rPr>
          <w:rFonts w:hint="cs"/>
          <w:rtl/>
        </w:rPr>
        <w:t xml:space="preserve">כאמור ההגדרה של "רשותו של אדם אחר" לוקה היא בחסר, לא רק משום חוסר הוודאות במשמעותו של המושג "רשות" אלא גם משום שהמונח "אדם", כפי שמוגדר הוא </w:t>
      </w:r>
      <w:hyperlink r:id="rId66" w:history="1">
        <w:r w:rsidR="00FC0712" w:rsidRPr="00FC0712">
          <w:rPr>
            <w:rStyle w:val="Hyperlink"/>
            <w:rFonts w:hint="eastAsia"/>
            <w:rtl/>
          </w:rPr>
          <w:t>בסעיף</w:t>
        </w:r>
        <w:r w:rsidR="00FC0712" w:rsidRPr="00FC0712">
          <w:rPr>
            <w:rStyle w:val="Hyperlink"/>
            <w:rtl/>
          </w:rPr>
          <w:t xml:space="preserve"> הראשון</w:t>
        </w:r>
      </w:hyperlink>
      <w:r>
        <w:rPr>
          <w:rFonts w:hint="cs"/>
          <w:rtl/>
        </w:rPr>
        <w:t xml:space="preserve"> של </w:t>
      </w:r>
      <w:r w:rsidR="00A36458" w:rsidRPr="00CA17A5">
        <w:rPr>
          <w:rtl/>
        </w:rPr>
        <w:t>פקודת הפרשנות</w:t>
      </w:r>
      <w:r>
        <w:rPr>
          <w:rFonts w:hint="cs"/>
          <w:rtl/>
        </w:rPr>
        <w:t xml:space="preserve">, כה רחב הוא עד שההגדרה שלפנינו יכול ותכלול גם רחובה של עיר. המחוקק אף לא מצא לנכון לרמוז בהגדרה האמורה, כשהיא עומדת בפני עצמה, לאן פניו מכוונות. כך, דרך משל, אילו היה נאמר: "רשותו של אדם אחר שאינה רשות הרבים" ניתן היה להסיק שרחובה של עיר אינו כלול בהגדרה זו במונח רשותו של אדם אחר, וכן </w:t>
      </w:r>
      <w:r>
        <w:rPr>
          <w:rtl/>
        </w:rPr>
        <w:t>–</w:t>
      </w:r>
      <w:r>
        <w:rPr>
          <w:rFonts w:hint="cs"/>
          <w:rtl/>
        </w:rPr>
        <w:t xml:space="preserve"> בדרך של מכלל לאו אתה שומע הן </w:t>
      </w:r>
      <w:r>
        <w:rPr>
          <w:rtl/>
        </w:rPr>
        <w:t>–</w:t>
      </w:r>
      <w:r>
        <w:rPr>
          <w:rFonts w:hint="cs"/>
          <w:rtl/>
        </w:rPr>
        <w:t xml:space="preserve"> שכל מה שאינו רשות הרבים מבחינה פורמלית, אלא "מעין רשות הרבים", כגון אולמו הראשי של בנק, סופרמרקט או אוטובוס, כן מצויים במסגרת הגדרה זו במונח האמור. וכן אילו היה נאמר, דרך משל: "רשותו של אדם אחר שאינה פתוחה לרבים", או "שאין לרבות גישה חופשית אליה", ניתן היה להבין שההגדרה מצומצמת למשמעות המקובלת של רשות היחיד ואינה כוללת בתוכה מקומות ציבוריים כמפורט לעיל. משצמצם המחוקק במלותיו, הרחיב את אפשרויות הפירוש להגדרה האמורה לאפשרויות שהן כמעט בלתי מוגבלות. במקרה </w:t>
      </w:r>
      <w:r w:rsidR="00827205">
        <w:rPr>
          <w:rFonts w:hint="cs"/>
          <w:rtl/>
        </w:rPr>
        <w:t>כגון זה ניתן להיעז</w:t>
      </w:r>
      <w:r>
        <w:rPr>
          <w:rFonts w:hint="cs"/>
          <w:rtl/>
        </w:rPr>
        <w:t xml:space="preserve">ר לשם גילוי כוונתו של המחוקק </w:t>
      </w:r>
      <w:r>
        <w:rPr>
          <w:rtl/>
        </w:rPr>
        <w:t>–</w:t>
      </w:r>
      <w:r>
        <w:rPr>
          <w:rFonts w:hint="cs"/>
          <w:rtl/>
        </w:rPr>
        <w:t xml:space="preserve"> אמנם בצורה בלתי מחייבת ובמידה שאין הדבר עומד בניגוד למה שמשתמע, במישרין, או בעקיפין, מהוראות החוק </w:t>
      </w:r>
      <w:r w:rsidR="00827205">
        <w:rPr>
          <w:rtl/>
        </w:rPr>
        <w:t>–</w:t>
      </w:r>
      <w:r w:rsidR="00827205">
        <w:rPr>
          <w:rFonts w:hint="cs"/>
          <w:rtl/>
        </w:rPr>
        <w:t xml:space="preserve"> בעיון בהצעת החוק, בדברי ההסברה הנלווים לה ובדברי הכנסת. אך דא עקא שגם אלה משתמעים לשתי פנים והסתירה מצויה בהם עצמם. חברי ציין לדבריו של חבר הכנסת ביבי לענין אשה שבאה לחנות ושכחה משהו ולאמור בהצעת החוק בדבר חפץ שאבד באוטובוס, שמהם  משתמע לכאורה שאף אלה כלולים במושג של רשותו של אדם אחר </w:t>
      </w:r>
      <w:hyperlink r:id="rId67" w:history="1">
        <w:r w:rsidR="00FC0712" w:rsidRPr="00FC0712">
          <w:rPr>
            <w:rStyle w:val="Hyperlink"/>
            <w:rFonts w:hint="eastAsia"/>
            <w:rtl/>
          </w:rPr>
          <w:t>שבסעיף</w:t>
        </w:r>
        <w:r w:rsidR="00FC0712" w:rsidRPr="00FC0712">
          <w:rPr>
            <w:rStyle w:val="Hyperlink"/>
            <w:rtl/>
          </w:rPr>
          <w:t xml:space="preserve"> 3</w:t>
        </w:r>
      </w:hyperlink>
      <w:r w:rsidR="00827205">
        <w:rPr>
          <w:rFonts w:hint="cs"/>
          <w:rtl/>
        </w:rPr>
        <w:t xml:space="preserve"> לחוק. לעומת זאת נאמר בדברי חבר הכנסת ביבי, בהגישו את החוק לקריאה שנייה ושלישית, בקשר </w:t>
      </w:r>
      <w:hyperlink r:id="rId68" w:history="1">
        <w:r w:rsidR="00FC0712" w:rsidRPr="00FC0712">
          <w:rPr>
            <w:rStyle w:val="Hyperlink"/>
            <w:rFonts w:hint="eastAsia"/>
            <w:rtl/>
          </w:rPr>
          <w:t>לסעיף</w:t>
        </w:r>
        <w:r w:rsidR="00FC0712" w:rsidRPr="00FC0712">
          <w:rPr>
            <w:rStyle w:val="Hyperlink"/>
            <w:rtl/>
          </w:rPr>
          <w:t xml:space="preserve"> 10</w:t>
        </w:r>
      </w:hyperlink>
      <w:r w:rsidR="00827205">
        <w:rPr>
          <w:rFonts w:hint="cs"/>
          <w:rtl/>
        </w:rPr>
        <w:t xml:space="preserve"> לאמור:</w:t>
      </w:r>
    </w:p>
    <w:p w:rsidR="00827205" w:rsidRDefault="00827205" w:rsidP="00827205">
      <w:pPr>
        <w:spacing w:line="280" w:lineRule="exact"/>
        <w:ind w:left="360"/>
        <w:jc w:val="both"/>
        <w:rPr>
          <w:rFonts w:hint="cs"/>
          <w:rtl/>
        </w:rPr>
      </w:pPr>
    </w:p>
    <w:p w:rsidR="00827205" w:rsidRDefault="00827205" w:rsidP="00827205">
      <w:pPr>
        <w:spacing w:line="280" w:lineRule="exact"/>
        <w:ind w:left="720" w:right="1260"/>
        <w:jc w:val="both"/>
        <w:rPr>
          <w:rtl/>
        </w:rPr>
      </w:pPr>
      <w:r>
        <w:rPr>
          <w:rFonts w:hint="cs"/>
          <w:rtl/>
        </w:rPr>
        <w:t xml:space="preserve">"סעיף 10 דן באפשרות אצילת תפקידי המשטרה וסמכויותיה לרשות </w:t>
      </w:r>
    </w:p>
    <w:p w:rsidR="00827205" w:rsidRPr="00827205" w:rsidRDefault="00827205" w:rsidP="00827205">
      <w:pPr>
        <w:spacing w:line="280" w:lineRule="exact"/>
        <w:ind w:left="720" w:right="1260"/>
        <w:jc w:val="both"/>
        <w:rPr>
          <w:rFonts w:hint="cs"/>
          <w:rtl/>
        </w:rPr>
      </w:pPr>
      <w:r>
        <w:rPr>
          <w:rtl/>
        </w:rPr>
        <w:br w:type="page"/>
      </w:r>
      <w:r>
        <w:rPr>
          <w:rFonts w:hint="cs"/>
          <w:rtl/>
        </w:rPr>
        <w:lastRenderedPageBreak/>
        <w:t xml:space="preserve">מקומית. בהתאם להצעת הממשלה צומצמה אפשרות האצילה לאבידות שנמצאו בתחומה של הרשות המקומית הנוגעת בדבר, אך הועדה היתה סבורה שאין מקום לצימצום זה. אם תושב תל-אביב </w:t>
      </w:r>
      <w:r>
        <w:rPr>
          <w:rFonts w:hint="cs"/>
          <w:b/>
          <w:bCs/>
          <w:rtl/>
        </w:rPr>
        <w:t>מצא אבידה באוטובוס</w:t>
      </w:r>
      <w:r>
        <w:rPr>
          <w:rFonts w:hint="cs"/>
          <w:rtl/>
        </w:rPr>
        <w:t xml:space="preserve"> בדרך לאילת, למשל, אין הוא צריך לטרוח ולוודא לאיזו רשות מקומית שייכת האבידה כדי למסור לה אותה, ולכן הורחב סעיף זה".</w:t>
      </w:r>
    </w:p>
    <w:p w:rsidR="00827205" w:rsidRDefault="00827205" w:rsidP="00827205">
      <w:pPr>
        <w:spacing w:line="280" w:lineRule="exact"/>
        <w:ind w:left="360"/>
        <w:jc w:val="both"/>
        <w:rPr>
          <w:rFonts w:hint="cs"/>
          <w:rtl/>
        </w:rPr>
      </w:pPr>
    </w:p>
    <w:p w:rsidR="00827205" w:rsidRDefault="00827205" w:rsidP="00827205">
      <w:pPr>
        <w:spacing w:line="280" w:lineRule="exact"/>
        <w:ind w:left="360"/>
        <w:jc w:val="both"/>
        <w:rPr>
          <w:rFonts w:hint="cs"/>
          <w:rtl/>
        </w:rPr>
      </w:pPr>
      <w:r>
        <w:rPr>
          <w:rFonts w:hint="cs"/>
          <w:rtl/>
        </w:rPr>
        <w:t xml:space="preserve">הרי שהמוצא אבידה באוטובוס צריך להודיע עליה לרשות המקומית אם וכאשר תפקידי המשטרה יואצלו לרשות המקומית, כאמור </w:t>
      </w:r>
      <w:hyperlink r:id="rId69" w:history="1">
        <w:r w:rsidR="00FC0712" w:rsidRPr="00FC0712">
          <w:rPr>
            <w:rStyle w:val="Hyperlink"/>
            <w:rFonts w:hint="eastAsia"/>
            <w:rtl/>
          </w:rPr>
          <w:t>בסעיף</w:t>
        </w:r>
        <w:r w:rsidR="00FC0712" w:rsidRPr="00FC0712">
          <w:rPr>
            <w:rStyle w:val="Hyperlink"/>
            <w:rtl/>
          </w:rPr>
          <w:t xml:space="preserve"> 10</w:t>
        </w:r>
      </w:hyperlink>
      <w:r>
        <w:rPr>
          <w:rFonts w:hint="cs"/>
          <w:rtl/>
        </w:rPr>
        <w:t xml:space="preserve">, וכפי שעמדנו על כך בתחילתם של דברינו, ואבידה זו כלולה איפוא במקרים שעליהם חל </w:t>
      </w:r>
      <w:hyperlink r:id="rId70" w:history="1">
        <w:r w:rsidR="00FC0712" w:rsidRPr="00FC0712">
          <w:rPr>
            <w:rStyle w:val="Hyperlink"/>
            <w:rFonts w:hint="eastAsia"/>
            <w:b/>
            <w:bCs/>
            <w:rtl/>
          </w:rPr>
          <w:t>סעיף</w:t>
        </w:r>
        <w:r w:rsidR="00FC0712" w:rsidRPr="00FC0712">
          <w:rPr>
            <w:rStyle w:val="Hyperlink"/>
            <w:b/>
            <w:bCs/>
            <w:rtl/>
          </w:rPr>
          <w:t xml:space="preserve"> 2</w:t>
        </w:r>
      </w:hyperlink>
      <w:r>
        <w:rPr>
          <w:rFonts w:hint="cs"/>
          <w:b/>
          <w:bCs/>
          <w:rtl/>
        </w:rPr>
        <w:t xml:space="preserve"> לחוק</w:t>
      </w:r>
      <w:r>
        <w:rPr>
          <w:rFonts w:hint="cs"/>
          <w:rtl/>
        </w:rPr>
        <w:t xml:space="preserve">. אין לנו, איפוא, אלא לשאת עינינו אל החוק, מטרתו ודרכי פרשנותו, ועזרתנו לא תבוא מתוך העיון בדברי הכנסת וכיוצא בהם. </w:t>
      </w:r>
    </w:p>
    <w:p w:rsidR="00827205" w:rsidRPr="00827205" w:rsidRDefault="00827205" w:rsidP="00827205">
      <w:pPr>
        <w:spacing w:line="280" w:lineRule="exact"/>
        <w:ind w:left="360"/>
        <w:jc w:val="both"/>
        <w:rPr>
          <w:rFonts w:hint="cs"/>
        </w:rPr>
      </w:pPr>
    </w:p>
    <w:p w:rsidR="00827205" w:rsidRDefault="00827205" w:rsidP="0018319B">
      <w:pPr>
        <w:numPr>
          <w:ilvl w:val="0"/>
          <w:numId w:val="25"/>
        </w:numPr>
        <w:spacing w:line="280" w:lineRule="exact"/>
        <w:jc w:val="both"/>
        <w:rPr>
          <w:rFonts w:hint="cs"/>
        </w:rPr>
      </w:pPr>
      <w:r>
        <w:rPr>
          <w:rFonts w:hint="cs"/>
          <w:rtl/>
        </w:rPr>
        <w:t xml:space="preserve">האם בדרך פירושו של חברי הנכבד </w:t>
      </w:r>
      <w:hyperlink r:id="rId71" w:history="1">
        <w:r w:rsidR="00FC0712" w:rsidRPr="00FC0712">
          <w:rPr>
            <w:rStyle w:val="Hyperlink"/>
            <w:rFonts w:hint="eastAsia"/>
            <w:rtl/>
          </w:rPr>
          <w:t>לסעיף</w:t>
        </w:r>
        <w:r w:rsidR="00FC0712" w:rsidRPr="00FC0712">
          <w:rPr>
            <w:rStyle w:val="Hyperlink"/>
            <w:rtl/>
          </w:rPr>
          <w:t xml:space="preserve"> 3</w:t>
        </w:r>
      </w:hyperlink>
      <w:r>
        <w:rPr>
          <w:rFonts w:hint="cs"/>
          <w:rtl/>
        </w:rPr>
        <w:t xml:space="preserve"> </w:t>
      </w:r>
      <w:r>
        <w:rPr>
          <w:rtl/>
        </w:rPr>
        <w:t>–</w:t>
      </w:r>
      <w:r>
        <w:rPr>
          <w:rFonts w:hint="cs"/>
          <w:rtl/>
        </w:rPr>
        <w:t xml:space="preserve"> שכאמור יחול לפי דרכו על הרוב המכריע של האבידות </w:t>
      </w:r>
      <w:r>
        <w:rPr>
          <w:rtl/>
        </w:rPr>
        <w:t>–</w:t>
      </w:r>
      <w:r>
        <w:rPr>
          <w:rFonts w:hint="cs"/>
          <w:rtl/>
        </w:rPr>
        <w:t xml:space="preserve"> תושג מטרת המחוקק לעודד השבת האבידה לבעליה? תשובתי לכך היא שלילית. לדעתי, בדיקת היתרונות </w:t>
      </w:r>
      <w:r>
        <w:rPr>
          <w:rtl/>
        </w:rPr>
        <w:t>–</w:t>
      </w:r>
      <w:r>
        <w:rPr>
          <w:rFonts w:hint="cs"/>
          <w:rtl/>
        </w:rPr>
        <w:t xml:space="preserve"> אם אכן יתרונות הם </w:t>
      </w:r>
      <w:r>
        <w:rPr>
          <w:rtl/>
        </w:rPr>
        <w:t>–</w:t>
      </w:r>
      <w:r>
        <w:rPr>
          <w:rFonts w:hint="cs"/>
          <w:rtl/>
        </w:rPr>
        <w:t xml:space="preserve"> שיש, לדעת חברי, במסירת האבידה על-ידי המוצא לבעל הרשות מחד גיסא, והתוצאות המשפטיות הנובעות ממסירה זו מאידך גיסא, לא רק שאין בהן כדי לקדם את מטרת המחוקק להשיב אבידה לבעליה אלא אף פוגמות הן במטרה זו.</w:t>
      </w:r>
    </w:p>
    <w:p w:rsidR="00827205" w:rsidRDefault="00827205" w:rsidP="00827205">
      <w:pPr>
        <w:spacing w:line="280" w:lineRule="exact"/>
        <w:ind w:left="360"/>
        <w:jc w:val="both"/>
        <w:rPr>
          <w:rFonts w:hint="cs"/>
          <w:rtl/>
        </w:rPr>
      </w:pPr>
    </w:p>
    <w:p w:rsidR="00827205" w:rsidRDefault="004978D2" w:rsidP="004978D2">
      <w:pPr>
        <w:spacing w:line="280" w:lineRule="exact"/>
        <w:ind w:left="360"/>
        <w:jc w:val="both"/>
        <w:rPr>
          <w:rFonts w:hint="cs"/>
          <w:rtl/>
        </w:rPr>
      </w:pPr>
      <w:r>
        <w:rPr>
          <w:rFonts w:hint="cs"/>
          <w:rtl/>
        </w:rPr>
        <w:t xml:space="preserve">שני יתרונות מונה חברי, לפי פירושו </w:t>
      </w:r>
      <w:hyperlink r:id="rId72" w:history="1">
        <w:r w:rsidR="00FC0712" w:rsidRPr="00FC0712">
          <w:rPr>
            <w:rStyle w:val="Hyperlink"/>
            <w:rFonts w:hint="eastAsia"/>
            <w:rtl/>
          </w:rPr>
          <w:t>לסעיף</w:t>
        </w:r>
        <w:r w:rsidR="00FC0712" w:rsidRPr="00FC0712">
          <w:rPr>
            <w:rStyle w:val="Hyperlink"/>
            <w:rtl/>
          </w:rPr>
          <w:t xml:space="preserve"> 3</w:t>
        </w:r>
      </w:hyperlink>
      <w:r>
        <w:rPr>
          <w:rFonts w:hint="cs"/>
          <w:rtl/>
        </w:rPr>
        <w:t>, בהשגת המטרה של עידוד המוצא להשיב האבידה לבעליה. על כך גופו יש מקום לבעל דין לחלוק. דומה שאין להגזים ביתרון של קביעת כתובתו של בעל הרשות אליה ישוב מי שאבד לו הנכס. מקובלנו כי כתובתה של המשטרה, או של משרד מסויים ברשות המקומית, משמשת בימינו כתובת נוחה ומתאימה כדי להפנות אליה את האזרח המבקש את אבידתו. מבחינה מסוימת כתובת זו אף עדיפה שהרי תפקידו של משרד ממשלתי או עירוני אינו אלא לשרת את האזרח שעה שבעל מוסד או עסק פרטי גם טובת הנאתו הוא עומדת לנגד עיניו.</w:t>
      </w:r>
    </w:p>
    <w:p w:rsidR="004978D2" w:rsidRDefault="004978D2" w:rsidP="004978D2">
      <w:pPr>
        <w:spacing w:line="280" w:lineRule="exact"/>
        <w:ind w:left="360"/>
        <w:jc w:val="both"/>
        <w:rPr>
          <w:rFonts w:hint="cs"/>
          <w:rtl/>
        </w:rPr>
      </w:pPr>
    </w:p>
    <w:p w:rsidR="004978D2" w:rsidRDefault="004978D2" w:rsidP="004978D2">
      <w:pPr>
        <w:spacing w:line="280" w:lineRule="exact"/>
        <w:ind w:left="360"/>
        <w:jc w:val="both"/>
        <w:rPr>
          <w:rtl/>
        </w:rPr>
      </w:pPr>
      <w:r>
        <w:rPr>
          <w:rFonts w:hint="cs"/>
          <w:rtl/>
        </w:rPr>
        <w:t xml:space="preserve">ואשר למעלה השנייה </w:t>
      </w:r>
      <w:r>
        <w:rPr>
          <w:rtl/>
        </w:rPr>
        <w:t>–</w:t>
      </w:r>
      <w:r>
        <w:rPr>
          <w:rFonts w:hint="cs"/>
          <w:rtl/>
        </w:rPr>
        <w:t xml:space="preserve"> האם אמנם סביר להניח שבעל המקום שבו נמצאה האבידה ישמור עליה לטובת בעל האבידה? ענין זה יש לבדוק לאור שאלה אחרת, שהיא בעלת חשיבות רבה מבחינת מטרת המחוקק לדאוג שהאבידה תושב לבעליה, והיא למי תהא שייכת האבידה במקרה שבעלה לא יתגלה. לפי דרך פירושו של חברי </w:t>
      </w:r>
      <w:hyperlink r:id="rId73" w:history="1">
        <w:r w:rsidR="00FC0712" w:rsidRPr="00FC0712">
          <w:rPr>
            <w:rStyle w:val="Hyperlink"/>
            <w:rFonts w:hint="eastAsia"/>
            <w:rtl/>
          </w:rPr>
          <w:t>לסעיף</w:t>
        </w:r>
        <w:r w:rsidR="00FC0712" w:rsidRPr="00FC0712">
          <w:rPr>
            <w:rStyle w:val="Hyperlink"/>
            <w:rtl/>
          </w:rPr>
          <w:t xml:space="preserve"> 3</w:t>
        </w:r>
      </w:hyperlink>
      <w:r>
        <w:rPr>
          <w:rFonts w:hint="cs"/>
          <w:rtl/>
        </w:rPr>
        <w:t xml:space="preserve"> של החוק, משעברו ארבעה חודשים ובעל האבידה לא נתגלה, תעבור הבעלות בה לא למי שמצא אותה אלא לבעל הרשות לו חייב המוצא למסור את האבידה לפי דרישתו. תוצאה זו, לא רק שמבטלת היא אחד הגורמים העיקריים לעידודו של המוצא לנהוג בדרך הישרה ולהשתדל קודם כל שהאבידה תושב לבעליה </w:t>
      </w:r>
      <w:r>
        <w:rPr>
          <w:rtl/>
        </w:rPr>
        <w:t>–</w:t>
      </w:r>
      <w:r>
        <w:rPr>
          <w:rFonts w:hint="cs"/>
          <w:rtl/>
        </w:rPr>
        <w:t xml:space="preserve"> ביודעו שאם אלה לא ימצאו יזכה הוא באבידה </w:t>
      </w:r>
      <w:r>
        <w:rPr>
          <w:rtl/>
        </w:rPr>
        <w:t>–</w:t>
      </w:r>
      <w:r>
        <w:rPr>
          <w:rFonts w:hint="cs"/>
          <w:rtl/>
        </w:rPr>
        <w:t xml:space="preserve"> ולא רק שפוגעת היא ברגש "הצדק" מאחר שבעל הרשות, שלא עמד בניסיון של העלמת האבידה מבעליה, יזכה בה והמוצא הישר שעמד בניסיון ונהג כדת וכדין יצא נקי מכל, אלא גם מעמידה היא בספק גדול אם אכן ישמור בעל הרשות על האבידה </w:t>
      </w:r>
    </w:p>
    <w:p w:rsidR="004978D2" w:rsidRDefault="004978D2" w:rsidP="004978D2">
      <w:pPr>
        <w:spacing w:line="280" w:lineRule="exact"/>
        <w:ind w:left="360"/>
        <w:jc w:val="both"/>
        <w:rPr>
          <w:rFonts w:hint="cs"/>
          <w:rtl/>
        </w:rPr>
      </w:pPr>
      <w:r>
        <w:rPr>
          <w:rtl/>
        </w:rPr>
        <w:br w:type="page"/>
      </w:r>
      <w:r w:rsidR="0057193C">
        <w:rPr>
          <w:rFonts w:hint="cs"/>
          <w:rtl/>
        </w:rPr>
        <w:lastRenderedPageBreak/>
        <w:t xml:space="preserve">במטרה להשיבה לבעליה. היטיב לתאר ולהסביר ספק זה המלומד </w:t>
      </w:r>
      <w:r w:rsidR="0057193C">
        <w:t>Riesman</w:t>
      </w:r>
      <w:r w:rsidR="0057193C">
        <w:rPr>
          <w:rFonts w:hint="cs"/>
          <w:rtl/>
        </w:rPr>
        <w:t xml:space="preserve"> אשר דבריו צוטטו על-ידי חברי, כמי שער לשיקולים שמעלה חברי, וניטיב לעשות אם נעיין בהם במפורט:</w:t>
      </w:r>
    </w:p>
    <w:p w:rsidR="0057193C" w:rsidRDefault="0057193C" w:rsidP="004978D2">
      <w:pPr>
        <w:spacing w:line="280" w:lineRule="exact"/>
        <w:ind w:left="360"/>
        <w:jc w:val="both"/>
        <w:rPr>
          <w:rFonts w:hint="cs"/>
          <w:rtl/>
        </w:rPr>
      </w:pPr>
    </w:p>
    <w:p w:rsidR="0057193C" w:rsidRDefault="0057193C" w:rsidP="00F55A95">
      <w:pPr>
        <w:bidi w:val="0"/>
        <w:spacing w:line="280" w:lineRule="exact"/>
        <w:ind w:left="720" w:right="1260"/>
        <w:jc w:val="both"/>
      </w:pPr>
      <w:r>
        <w:t>"I want to explore what seems to me the best rule for owner- protection and methods of enforcing it… The finder prevails against</w:t>
      </w:r>
      <w:r w:rsidR="00273D07">
        <w:t xml:space="preserve"> all but the true owner, except in</w:t>
      </w:r>
      <w:r>
        <w:t xml:space="preserve"> rare cases where there are countervailing ground </w:t>
      </w:r>
      <w:r w:rsidR="00273D07">
        <w:t xml:space="preserve">based on tort or contract favoring another claimant; or where a different result is necessary better to protect the owner. However, where the article is found in a quasi-public place, the occupier will be allowed to hold it, but he must relinquish </w:t>
      </w:r>
      <w:r w:rsidR="00655FFC">
        <w:t>it to the finder if the owner remains unascertained after a reasonable time. Conceivably the place of finding may so approach a private place that it would seem equitable that the occupier be allowe</w:t>
      </w:r>
      <w:r w:rsidR="00E94197">
        <w:t>d</w:t>
      </w:r>
      <w:r w:rsidR="00655FFC">
        <w:t xml:space="preserve"> </w:t>
      </w:r>
      <w:r w:rsidR="00E94197">
        <w:t>to retain it if the owner fails to appear. This should certainly be so, our morality would say, where something is found by a guest in the occupier's home… In any case, for a while at least</w:t>
      </w:r>
      <w:r w:rsidR="004E2294">
        <w:t>, the article will remains with the occupier. Everyone who discovers a loss retraces his steps, if possible, in order to find the article, or to inquire if it has been found. An occupier, more likely to remember</w:t>
      </w:r>
      <w:r w:rsidR="00F55A95">
        <w:t xml:space="preserve"> his visitors then they are to remember each other, will recall and check with them if some lost article</w:t>
      </w:r>
      <w:r w:rsidR="00273D07">
        <w:t xml:space="preserve"> </w:t>
      </w:r>
      <w:r w:rsidR="00F55A95">
        <w:t xml:space="preserve">turns up. Especially in hotels, trains, stores, theaters, if something is found, the occupier is likely </w:t>
      </w:r>
      <w:r w:rsidR="0016147F">
        <w:t>to be more responsible then employees, visitors or transient guests.</w:t>
      </w:r>
    </w:p>
    <w:p w:rsidR="0016147F" w:rsidRDefault="0016147F" w:rsidP="0016147F">
      <w:pPr>
        <w:bidi w:val="0"/>
        <w:spacing w:line="280" w:lineRule="exact"/>
        <w:ind w:left="720" w:right="1260"/>
        <w:jc w:val="both"/>
      </w:pPr>
    </w:p>
    <w:p w:rsidR="002575D9" w:rsidRDefault="0016147F" w:rsidP="004B4D1D">
      <w:pPr>
        <w:bidi w:val="0"/>
        <w:spacing w:line="280" w:lineRule="exact"/>
        <w:ind w:left="720" w:right="1260"/>
        <w:jc w:val="both"/>
      </w:pPr>
      <w:r>
        <w:t xml:space="preserve">The honesty of finders is in any case a necessary prerequisite to the effectiveness of such a rule. Beyond the marginal utility of </w:t>
      </w:r>
      <w:r w:rsidR="004B4D1D">
        <w:t xml:space="preserve">prosecutions for larceny it may be possible to increase finder honesty by making it, if not always the best policy, at least sometimes a profitable one. A reward has been the conventional temptation to finder honesty… But in the situation with which I am now </w:t>
      </w:r>
      <w:r w:rsidR="00445B2D">
        <w:t>concerned where the finding is in a dwelling, a place of business or a vehicle of transportation owner by someone not the finder – a different sort of reward can be offered the honest finder, namely the chance to own the ar</w:t>
      </w:r>
      <w:r w:rsidR="002575D9">
        <w:t>t</w:t>
      </w:r>
      <w:r w:rsidR="00445B2D">
        <w:t>icle if the true owner is not located after a reasonable search. Such a reward takes nothing in the way of an arbitrary levy from the owner who dose appear; the reward is posted only by the owners who do not claim for the benefit of those who do.</w:t>
      </w:r>
    </w:p>
    <w:p w:rsidR="002575D9" w:rsidRDefault="002575D9" w:rsidP="002575D9">
      <w:pPr>
        <w:bidi w:val="0"/>
        <w:spacing w:line="280" w:lineRule="exact"/>
        <w:ind w:left="720" w:right="1260"/>
        <w:jc w:val="both"/>
      </w:pPr>
      <w:r>
        <w:br w:type="page"/>
      </w:r>
    </w:p>
    <w:p w:rsidR="00441A31" w:rsidRDefault="002575D9" w:rsidP="002575D9">
      <w:pPr>
        <w:bidi w:val="0"/>
        <w:spacing w:line="280" w:lineRule="exact"/>
        <w:ind w:left="720" w:right="1260"/>
        <w:jc w:val="both"/>
      </w:pPr>
      <w:r>
        <w:t>The occupier may not always be honest either, but he is forced into an honest position by his anticipation of the owner's return and by the possibility of the finder's claim. Furthermore, my suggested rule puts the occupier who is not himself the finder in a disinterested position insofar as sea</w:t>
      </w:r>
      <w:r w:rsidR="009E3FF7">
        <w:t xml:space="preserve">rching for the owner is concerned. For it will not be to his, but to the finder's detriment if the true owner is located… In literature and in law we are all encouraged to believe that the finder has some moral claim to his find. Any rule which left the finder in the cold would permit him to rationalize his </w:t>
      </w:r>
      <w:r w:rsidR="00441A31">
        <w:t xml:space="preserve">disobedience to it". </w:t>
      </w:r>
    </w:p>
    <w:p w:rsidR="0016147F" w:rsidRDefault="00441A31" w:rsidP="00441A31">
      <w:pPr>
        <w:bidi w:val="0"/>
        <w:spacing w:line="280" w:lineRule="exact"/>
        <w:ind w:left="720" w:right="1260"/>
        <w:jc w:val="both"/>
      </w:pPr>
      <w:r>
        <w:t>(d. Reisman, Possession and Law of Finders, 52 Harvard Law Review 1105, 1125-1127).</w:t>
      </w:r>
      <w:r w:rsidR="004B4D1D">
        <w:t xml:space="preserve"> </w:t>
      </w:r>
    </w:p>
    <w:p w:rsidR="0057193C" w:rsidRDefault="0057193C" w:rsidP="004978D2">
      <w:pPr>
        <w:spacing w:line="280" w:lineRule="exact"/>
        <w:ind w:left="360"/>
        <w:jc w:val="both"/>
        <w:rPr>
          <w:rFonts w:hint="cs"/>
          <w:rtl/>
        </w:rPr>
      </w:pPr>
    </w:p>
    <w:p w:rsidR="00441A31" w:rsidRDefault="003175E1" w:rsidP="004978D2">
      <w:pPr>
        <w:spacing w:line="280" w:lineRule="exact"/>
        <w:ind w:left="360"/>
        <w:jc w:val="both"/>
        <w:rPr>
          <w:rFonts w:hint="cs"/>
          <w:rtl/>
        </w:rPr>
      </w:pPr>
      <w:r>
        <w:rPr>
          <w:rFonts w:hint="cs"/>
          <w:rtl/>
        </w:rPr>
        <w:t xml:space="preserve">התועלת שבמסירת האבידה, על-ידי מי שמצא אותה במקום שהוא מעין ציבורי, לבעליו של אותו מקום והסיכוי שאכן בעל המקום יעשה לשמירתה אבידה ולהשבתה לבעליה תלויים איפוא, בין היתר, בקביעת העיקרון שהאבידה תהא שייכת למוצא במקרה שלא יתגלה בעל האבידה, ומשקבע המחוקק שלנו, לפי פירושו של חברי, שבמקרה זה תהא שייכת האבידה לבעל הרשות ולא למוצא, נטלנו איפוא מההוראה שהאבידה תימסר לשמירתו של בעל הרשות הן את התועלת והן את הסיכוי שבכך נעודד השבת האבידה לבעליה. לכך יש להוסיף לשפי הוראת החוק אין </w:t>
      </w:r>
      <w:r>
        <w:rPr>
          <w:rFonts w:hint="cs"/>
          <w:b/>
          <w:bCs/>
          <w:rtl/>
        </w:rPr>
        <w:t>חובה</w:t>
      </w:r>
      <w:r>
        <w:rPr>
          <w:rFonts w:hint="cs"/>
          <w:rtl/>
        </w:rPr>
        <w:t xml:space="preserve"> על בעל הרשות להחזיק באבידה ולשמור עליה, ורשאי הוא למוסרה למשטרה, ואם כן </w:t>
      </w:r>
      <w:r>
        <w:rPr>
          <w:rtl/>
        </w:rPr>
        <w:t>–</w:t>
      </w:r>
      <w:r>
        <w:rPr>
          <w:rFonts w:hint="cs"/>
          <w:rtl/>
        </w:rPr>
        <w:t xml:space="preserve"> מה הועילו חכמים בתקנתם?</w:t>
      </w:r>
    </w:p>
    <w:p w:rsidR="0018178A" w:rsidRPr="003175E1" w:rsidRDefault="0018178A" w:rsidP="004978D2">
      <w:pPr>
        <w:spacing w:line="280" w:lineRule="exact"/>
        <w:ind w:left="360"/>
        <w:jc w:val="both"/>
        <w:rPr>
          <w:rFonts w:hint="cs"/>
          <w:rtl/>
        </w:rPr>
      </w:pPr>
    </w:p>
    <w:p w:rsidR="00827205" w:rsidRDefault="0018178A" w:rsidP="0018178A">
      <w:pPr>
        <w:numPr>
          <w:ilvl w:val="0"/>
          <w:numId w:val="25"/>
        </w:numPr>
        <w:spacing w:line="280" w:lineRule="exact"/>
        <w:jc w:val="both"/>
        <w:rPr>
          <w:rFonts w:hint="cs"/>
        </w:rPr>
      </w:pPr>
      <w:r>
        <w:rPr>
          <w:rFonts w:hint="cs"/>
          <w:rtl/>
        </w:rPr>
        <w:t xml:space="preserve">לא זו בלבד ששתי המעלות שמונה חברי בדרך פתרונו, ספק גדול אם אכן יתרון יש בהן, נראה לי כי במידה שיש בהן יתרון יוצא שכרם של יתרונות אלה בהפסדן של שתי תוצאות הנובעות מדרך פירושו של </w:t>
      </w:r>
      <w:hyperlink r:id="rId74" w:history="1">
        <w:r w:rsidR="00FC0712" w:rsidRPr="00FC0712">
          <w:rPr>
            <w:rStyle w:val="Hyperlink"/>
            <w:rFonts w:hint="eastAsia"/>
            <w:rtl/>
          </w:rPr>
          <w:t>סעיף</w:t>
        </w:r>
        <w:r w:rsidR="00FC0712" w:rsidRPr="00FC0712">
          <w:rPr>
            <w:rStyle w:val="Hyperlink"/>
            <w:rtl/>
          </w:rPr>
          <w:t xml:space="preserve"> 3</w:t>
        </w:r>
      </w:hyperlink>
      <w:r>
        <w:rPr>
          <w:rFonts w:hint="cs"/>
          <w:rtl/>
        </w:rPr>
        <w:t xml:space="preserve">, ולשתיהן רמזנו בדברינו לעיל. התוצאה האחת היא שאם וכאשר לא יתגלה בעל האבידה תוך ארבעה חודשים יהיה בעל הבנק או בעל הסופרמרקט לבעל האבידה, ולא מי שמצא את האבידה. בכך אנו מבטלים את אחד המניעים החשובים שמצא המחוקק לנכון לקבוע כדי לעודד את המוצא הישר להודיע על מציאת האבידה ולא להתפתות ליצרו ליטול אותה לעצמו. כפי שחברי מציין בדבריו אין על המוצא כל חובה שהיא להודיע על האבידה שמצא </w:t>
      </w:r>
      <w:r>
        <w:rPr>
          <w:rtl/>
        </w:rPr>
        <w:t>–</w:t>
      </w:r>
      <w:r>
        <w:rPr>
          <w:rFonts w:hint="cs"/>
          <w:rtl/>
        </w:rPr>
        <w:t xml:space="preserve"> בנוסף לחובת הודעתו לבעל הרשות ולמסירתה לו </w:t>
      </w:r>
      <w:r>
        <w:rPr>
          <w:rtl/>
        </w:rPr>
        <w:t>–</w:t>
      </w:r>
      <w:r>
        <w:rPr>
          <w:rFonts w:hint="cs"/>
          <w:rtl/>
        </w:rPr>
        <w:t xml:space="preserve"> גם למשטרה, ונמצא שמבחינתו של המוצא נותק כל קשר בינו לבין האבידה, ומבחינתו הוא אין בידו מכאן ואילך כל ידיעה וכל פיקוח בדבר הגורל שימצא את האבידה לאחר שזו תימסר על-ידו לידי בעל הרשות. האם בכך יש משום עידודו של המוצא לעשות למען השבתה לבעליה?</w:t>
      </w:r>
    </w:p>
    <w:p w:rsidR="0018178A" w:rsidRDefault="0018178A" w:rsidP="0018178A">
      <w:pPr>
        <w:spacing w:line="280" w:lineRule="exact"/>
        <w:ind w:left="360"/>
        <w:jc w:val="both"/>
        <w:rPr>
          <w:rFonts w:hint="cs"/>
          <w:rtl/>
        </w:rPr>
      </w:pPr>
    </w:p>
    <w:p w:rsidR="004723B0" w:rsidRDefault="0018178A" w:rsidP="0018178A">
      <w:pPr>
        <w:spacing w:line="280" w:lineRule="exact"/>
        <w:ind w:left="360"/>
        <w:jc w:val="both"/>
        <w:rPr>
          <w:rtl/>
        </w:rPr>
      </w:pPr>
      <w:r>
        <w:rPr>
          <w:rFonts w:hint="cs"/>
          <w:rtl/>
        </w:rPr>
        <w:t xml:space="preserve">התוצאה השנייה היא פגיעה בהכרה ובהרגשה המקננות בנו, שלפיהן משלא נתגלה בעל האבידה, מן הצדק ומן היושר שזו תהא שייכת למוצא הישר שטרח ודאג שאפשר </w:t>
      </w:r>
    </w:p>
    <w:p w:rsidR="0018178A" w:rsidRDefault="004723B0" w:rsidP="0018178A">
      <w:pPr>
        <w:spacing w:line="280" w:lineRule="exact"/>
        <w:ind w:left="360"/>
        <w:jc w:val="both"/>
        <w:rPr>
          <w:rFonts w:hint="cs"/>
          <w:rtl/>
        </w:rPr>
      </w:pPr>
      <w:r>
        <w:rPr>
          <w:rtl/>
        </w:rPr>
        <w:br w:type="page"/>
      </w:r>
      <w:r>
        <w:rPr>
          <w:rFonts w:hint="cs"/>
          <w:rtl/>
        </w:rPr>
        <w:lastRenderedPageBreak/>
        <w:t xml:space="preserve">יהיה לגלות את הבעל האמיתי של האבידה, ולא לבעל הרשות הזוכה בה "מן ההפקר". של ה- </w:t>
      </w:r>
      <w:r>
        <w:t>moral claim to his find</w:t>
      </w:r>
      <w:r>
        <w:rPr>
          <w:rFonts w:hint="cs"/>
          <w:rtl/>
        </w:rPr>
        <w:t xml:space="preserve"> שיש למוצא שמענו בדבריו של המלומד </w:t>
      </w:r>
      <w:r>
        <w:t>Riesman</w:t>
      </w:r>
      <w:r>
        <w:rPr>
          <w:rFonts w:hint="cs"/>
          <w:rtl/>
        </w:rPr>
        <w:t xml:space="preserve"> שהבאנו לעיל; ועמד על כך </w:t>
      </w:r>
      <w:r>
        <w:rPr>
          <w:rFonts w:hint="cs"/>
          <w:b/>
          <w:bCs/>
          <w:rtl/>
        </w:rPr>
        <w:t>השופט עציוני</w:t>
      </w:r>
      <w:r>
        <w:rPr>
          <w:rFonts w:hint="cs"/>
          <w:rtl/>
        </w:rPr>
        <w:t>, בכהנו כנשיא תורן של בית-המשפט המחוזי בחיפה, ב</w:t>
      </w:r>
      <w:hyperlink r:id="rId75" w:history="1">
        <w:r w:rsidR="00A36458" w:rsidRPr="00D95076">
          <w:rPr>
            <w:b/>
            <w:bCs/>
            <w:color w:val="0000FF"/>
            <w:u w:val="single"/>
            <w:rtl/>
          </w:rPr>
          <w:t>ע"א 123/63</w:t>
        </w:r>
      </w:hyperlink>
      <w:r>
        <w:rPr>
          <w:rFonts w:hint="cs"/>
          <w:b/>
          <w:bCs/>
          <w:rtl/>
        </w:rPr>
        <w:t xml:space="preserve"> ווסקובויניק ואח' נגד גולדברג</w:t>
      </w:r>
      <w:r>
        <w:rPr>
          <w:rFonts w:hint="cs"/>
          <w:rtl/>
        </w:rPr>
        <w:t xml:space="preserve">. פרטי הענין בפסק-דין זה דומים לענין שלפנינו. מבקרת בקולנוע מצאה מצלמה באולם הקולנוע, מסרה אותה לידי הסדרן, והלה, בהסכמת בעל הקולנוע, מסרה למשטרה. לאחר שבעל המצלמה לא נתגלה תוך תקופה מסוימת מסרה המשטרה את המצלמה לבעל הקולנוע. בית-משפט השלום פסק שהמצלמה צריך שתימסר לבעלותה שלה מוצאת ובית-המשפט המחוזי אישר מסקנה זו וקבע שזכותה של מוצאת המצלמה עדיפה על זכותו של בעל הקולנוע. בפסק-דין מפורט ומקיף זה עוד ידובר להלן, וכאן אציין את הנאמר לענין השאלה בה אנו דנים עתה. לטענתו של בא-כוח בעל בית הקולנוע "שטעמי טובת הכלל והסדר הצבורי מחייבים העדפת בעל המקום על המוצא הזר", נאמר מפי כבוד </w:t>
      </w:r>
      <w:r>
        <w:rPr>
          <w:rFonts w:hint="cs"/>
          <w:b/>
          <w:bCs/>
          <w:rtl/>
        </w:rPr>
        <w:t>השופט עציוני</w:t>
      </w:r>
      <w:r>
        <w:rPr>
          <w:rFonts w:hint="cs"/>
          <w:rtl/>
        </w:rPr>
        <w:t>:</w:t>
      </w:r>
    </w:p>
    <w:p w:rsidR="004723B0" w:rsidRDefault="004723B0" w:rsidP="0018178A">
      <w:pPr>
        <w:spacing w:line="280" w:lineRule="exact"/>
        <w:ind w:left="360"/>
        <w:jc w:val="both"/>
        <w:rPr>
          <w:rFonts w:hint="cs"/>
          <w:rtl/>
        </w:rPr>
      </w:pPr>
    </w:p>
    <w:p w:rsidR="004723B0" w:rsidRDefault="004723B0" w:rsidP="004723B0">
      <w:pPr>
        <w:spacing w:line="280" w:lineRule="exact"/>
        <w:ind w:left="720" w:right="1260"/>
        <w:jc w:val="both"/>
        <w:rPr>
          <w:rFonts w:hint="cs"/>
          <w:rtl/>
        </w:rPr>
      </w:pPr>
      <w:r>
        <w:rPr>
          <w:rFonts w:hint="cs"/>
          <w:rtl/>
        </w:rPr>
        <w:t>"במקרה שלנו, באותה המידה שטוען מר טויסטר שהצופה בקולנוע המשלם עבור כרטיס כניסה אין לו זכות לקבל כל דבר נוסף מאשר הרשות לחזות בהצגה וכי זו כל תמורתו עבור הכסף שהוא שילם, אפשר לטעון שגם לבעל הקולנוע אין כל זכות אחרת מאשר לקבל מהצופה את התמורה שמהווים דמי הכניסה. לא למציאות מקריות של הצופים צריך לצפות בעל הקולנוע; במקרה של השארת האבידות בידי המוצא לאחר שהבעלים לא נמצאו יתחלקו לכל הפחות המציאות בין המוצאים הרבים בהתאם למספרם, אולם במקרה ותמיד יזכה בהם בעל הקולנוע הרי כל המציאות תשארנה בידי אדם אחד ללא כל הצדקה מוסרית."</w:t>
      </w:r>
    </w:p>
    <w:p w:rsidR="004723B0" w:rsidRPr="004723B0" w:rsidRDefault="004723B0" w:rsidP="0018178A">
      <w:pPr>
        <w:spacing w:line="280" w:lineRule="exact"/>
        <w:ind w:left="360"/>
        <w:jc w:val="both"/>
        <w:rPr>
          <w:rFonts w:hint="cs"/>
          <w:rtl/>
        </w:rPr>
      </w:pPr>
    </w:p>
    <w:p w:rsidR="0018178A" w:rsidRDefault="004723B0" w:rsidP="0018178A">
      <w:pPr>
        <w:numPr>
          <w:ilvl w:val="0"/>
          <w:numId w:val="25"/>
        </w:numPr>
        <w:spacing w:line="280" w:lineRule="exact"/>
        <w:jc w:val="both"/>
        <w:rPr>
          <w:rFonts w:hint="cs"/>
        </w:rPr>
      </w:pPr>
      <w:r>
        <w:rPr>
          <w:rFonts w:hint="cs"/>
          <w:rtl/>
        </w:rPr>
        <w:t xml:space="preserve">משבאנו לכך, כיצד יתפרש האמור </w:t>
      </w:r>
      <w:hyperlink r:id="rId76" w:history="1">
        <w:r w:rsidR="00FC0712" w:rsidRPr="00FC0712">
          <w:rPr>
            <w:rStyle w:val="Hyperlink"/>
            <w:rFonts w:hint="eastAsia"/>
            <w:rtl/>
          </w:rPr>
          <w:t>בסעיף</w:t>
        </w:r>
        <w:r w:rsidR="00FC0712" w:rsidRPr="00FC0712">
          <w:rPr>
            <w:rStyle w:val="Hyperlink"/>
            <w:rtl/>
          </w:rPr>
          <w:t xml:space="preserve"> 3</w:t>
        </w:r>
      </w:hyperlink>
      <w:r>
        <w:rPr>
          <w:rFonts w:hint="cs"/>
          <w:rtl/>
        </w:rPr>
        <w:t xml:space="preserve"> לחוק, ויתר דיוק </w:t>
      </w:r>
      <w:r>
        <w:rPr>
          <w:rtl/>
        </w:rPr>
        <w:t>–</w:t>
      </w:r>
      <w:r>
        <w:rPr>
          <w:rFonts w:hint="cs"/>
          <w:rtl/>
        </w:rPr>
        <w:t xml:space="preserve"> מה משמעות ההגדרה "ברשותו של אדם אחר" שבסעיף זה? לדעתי, וכבר רמזתי לכך, כלל ועיקרו של החוק הוא </w:t>
      </w:r>
      <w:hyperlink r:id="rId77" w:history="1">
        <w:r w:rsidR="00FC0712" w:rsidRPr="00FC0712">
          <w:rPr>
            <w:rStyle w:val="Hyperlink"/>
            <w:rFonts w:hint="eastAsia"/>
            <w:rtl/>
          </w:rPr>
          <w:t>בסעיף</w:t>
        </w:r>
        <w:r w:rsidR="00FC0712" w:rsidRPr="00FC0712">
          <w:rPr>
            <w:rStyle w:val="Hyperlink"/>
            <w:rtl/>
          </w:rPr>
          <w:t xml:space="preserve"> 2</w:t>
        </w:r>
      </w:hyperlink>
      <w:r>
        <w:rPr>
          <w:rFonts w:hint="cs"/>
          <w:rtl/>
        </w:rPr>
        <w:t xml:space="preserve"> שבו, </w:t>
      </w:r>
      <w:hyperlink r:id="rId78" w:history="1">
        <w:r w:rsidR="00FC0712" w:rsidRPr="00FC0712">
          <w:rPr>
            <w:rStyle w:val="Hyperlink"/>
            <w:rFonts w:hint="eastAsia"/>
            <w:rtl/>
          </w:rPr>
          <w:t>וסעיף</w:t>
        </w:r>
        <w:r w:rsidR="00FC0712" w:rsidRPr="00FC0712">
          <w:rPr>
            <w:rStyle w:val="Hyperlink"/>
            <w:rtl/>
          </w:rPr>
          <w:t xml:space="preserve"> 3</w:t>
        </w:r>
      </w:hyperlink>
      <w:r>
        <w:rPr>
          <w:rFonts w:hint="cs"/>
          <w:rtl/>
        </w:rPr>
        <w:t xml:space="preserve"> בא להסדיר אותם מקרים שהם יוצאים מן הכלל, הן מבחינה עובדתית שדן הוא במקרים מועטים של אבידות שנמצאו ברשותו של אדם כשיש לאותו אדם שליטה ופיקוח על רשותו, והן מבחינה משפטית לרגל הבעיה המיוחדת המתעורר בענינן. הסדרה של בעיה זו ב</w:t>
      </w:r>
      <w:hyperlink r:id="rId79" w:history="1">
        <w:r w:rsidR="00CA17A5" w:rsidRPr="00CA17A5">
          <w:rPr>
            <w:rStyle w:val="Hyperlink"/>
            <w:rtl/>
          </w:rPr>
          <w:t>חוק השבת אבידה</w:t>
        </w:r>
      </w:hyperlink>
      <w:r>
        <w:rPr>
          <w:rFonts w:hint="cs"/>
          <w:rtl/>
        </w:rPr>
        <w:t xml:space="preserve"> הוא על דרך הסדרה של אותה בעיה עצמה ברוב המכריע של שיטות משפטיות אחרות, ויפה הוא לא רק לגופה של בעיה זו אלא למגמה הכללית של החוק </w:t>
      </w:r>
      <w:r>
        <w:rPr>
          <w:rtl/>
        </w:rPr>
        <w:t>–</w:t>
      </w:r>
      <w:r>
        <w:rPr>
          <w:rFonts w:hint="cs"/>
          <w:rtl/>
        </w:rPr>
        <w:t xml:space="preserve"> השבת אבידה לבעליה. אסביר את דברי.</w:t>
      </w:r>
    </w:p>
    <w:p w:rsidR="005E5D47" w:rsidRDefault="005E5D47" w:rsidP="005E5D47">
      <w:pPr>
        <w:spacing w:line="280" w:lineRule="exact"/>
        <w:ind w:left="360"/>
        <w:jc w:val="both"/>
        <w:rPr>
          <w:rFonts w:hint="cs"/>
          <w:rtl/>
        </w:rPr>
      </w:pPr>
    </w:p>
    <w:p w:rsidR="005E5D47" w:rsidRDefault="005E5D47" w:rsidP="005E5D47">
      <w:pPr>
        <w:spacing w:line="280" w:lineRule="exact"/>
        <w:ind w:left="360"/>
        <w:jc w:val="both"/>
        <w:rPr>
          <w:rtl/>
        </w:rPr>
      </w:pPr>
      <w:r>
        <w:rPr>
          <w:rFonts w:hint="cs"/>
          <w:rtl/>
        </w:rPr>
        <w:t xml:space="preserve">אבידה שאבדה לבעליה, יש והיא נמצאת ברשות הרבים, כגון ברחובה של עיר, יש ומצויה היא במקום שהוא אמנם רשותו של יחיד אךר הרבים מצויים שם, כגון חנות, בנק, בית קולנוע וכיוצא באלה, ויש והאבידה נמצאת ברשותו של היחיד שמיוחדת היא ליחיד ואין אדם אחר נכנס אליה אלא בהסכמתו, או לפחות בידיעתו, של אותו יחיד. משנמצאה האבידה ברשות היחיד, מתווספת לבעיה העיקרית והמרכזית של דרך השבת האבידה לבעליה, בעיה מיוחדת נוספת: אבידה זו, מי נחשב כמחזיק הראשון בה, האם המוצא, </w:t>
      </w:r>
    </w:p>
    <w:p w:rsidR="005E5D47" w:rsidRDefault="005E5D47" w:rsidP="005E5D47">
      <w:pPr>
        <w:spacing w:line="280" w:lineRule="exact"/>
        <w:ind w:left="360"/>
        <w:jc w:val="both"/>
        <w:rPr>
          <w:rFonts w:hint="cs"/>
          <w:rtl/>
        </w:rPr>
      </w:pPr>
      <w:r>
        <w:rPr>
          <w:rtl/>
        </w:rPr>
        <w:br w:type="page"/>
      </w:r>
      <w:r w:rsidR="005E46EE">
        <w:rPr>
          <w:rFonts w:hint="cs"/>
          <w:rtl/>
        </w:rPr>
        <w:lastRenderedPageBreak/>
        <w:t xml:space="preserve">משנטלה, או בעל המקום שמחזיק בה עוד בטרם שניטלה על-ידי המוצא; ומתוך כך, זכותו של מי משניהם </w:t>
      </w:r>
      <w:r w:rsidR="005E46EE">
        <w:rPr>
          <w:rtl/>
        </w:rPr>
        <w:t>–</w:t>
      </w:r>
      <w:r w:rsidR="005E46EE">
        <w:rPr>
          <w:rFonts w:hint="cs"/>
          <w:rtl/>
        </w:rPr>
        <w:t xml:space="preserve"> המוצא או בעל המקום </w:t>
      </w:r>
      <w:r w:rsidR="005E46EE">
        <w:rPr>
          <w:rtl/>
        </w:rPr>
        <w:t>–</w:t>
      </w:r>
      <w:r w:rsidR="005E46EE">
        <w:rPr>
          <w:rFonts w:hint="cs"/>
          <w:rtl/>
        </w:rPr>
        <w:t xml:space="preserve"> עדיפה לקבלת האבידה במקרה שלא נתגלו בעליה. שאלה זו גופה יכול ותהא משולבת בבחינה נוספת: אבידה הנמצאת ברשות היחיד, במיוחד כשרשות זו אינה פתוחה לרבים אלא מיוחדת ליחיד, הרי עובדה זו כשלעצמה, יכול ובנסיבות מסוימות יש בה להוכיח שאבדה לבעל המקום, ואם כך הוא צריך שתהא שייכת לו לא רק משום שהוא החזיק בה לפני שהחזיק בה המוצא אלא עובדת הימצאותה ברשותו יש ומוכיחה שהיא היתה שלו ואבדה לו.</w:t>
      </w:r>
    </w:p>
    <w:p w:rsidR="005E46EE" w:rsidRDefault="005E46EE" w:rsidP="005E5D47">
      <w:pPr>
        <w:spacing w:line="280" w:lineRule="exact"/>
        <w:ind w:left="360"/>
        <w:jc w:val="both"/>
        <w:rPr>
          <w:rFonts w:hint="cs"/>
          <w:rtl/>
        </w:rPr>
      </w:pPr>
    </w:p>
    <w:p w:rsidR="005E46EE" w:rsidRDefault="005E46EE" w:rsidP="005E5D47">
      <w:pPr>
        <w:spacing w:line="280" w:lineRule="exact"/>
        <w:ind w:left="360"/>
        <w:jc w:val="both"/>
        <w:rPr>
          <w:rFonts w:hint="cs"/>
          <w:rtl/>
        </w:rPr>
      </w:pPr>
      <w:r>
        <w:rPr>
          <w:rFonts w:hint="cs"/>
          <w:rtl/>
        </w:rPr>
        <w:t xml:space="preserve">בעיה זו נדונה </w:t>
      </w:r>
      <w:hyperlink r:id="rId80" w:history="1">
        <w:r w:rsidR="00FC0712" w:rsidRPr="00FC0712">
          <w:rPr>
            <w:rStyle w:val="Hyperlink"/>
            <w:rFonts w:hint="eastAsia"/>
            <w:rtl/>
          </w:rPr>
          <w:t>בסעיף</w:t>
        </w:r>
        <w:r w:rsidR="00FC0712" w:rsidRPr="00FC0712">
          <w:rPr>
            <w:rStyle w:val="Hyperlink"/>
            <w:rtl/>
          </w:rPr>
          <w:t xml:space="preserve"> 3</w:t>
        </w:r>
      </w:hyperlink>
      <w:r>
        <w:rPr>
          <w:rFonts w:hint="cs"/>
          <w:rtl/>
        </w:rPr>
        <w:t xml:space="preserve"> לחוק. משמעות המונח "ברשותו של אדם אחר" שבסעיף זה, כוונתו לרשותו של אדם שיש לאותו אדם שליטה ופיקוח על רשות זו. הדוגמה הפשוטה והשכיחה ביותר למקרה זה היא בית מגורים או כל שטח אחר של אדם, שאינו מיועד לשימושם של הרבים, שאין אדם נכנס לתוכו אלא לאחר שביקש תחילה הסכמתו של בעל אותו מקום. אך יכול הוא לכלול גם רשות של אדם שמישהו אחר יכול ליכנס לתוכה בלי לבקש בכל פעם הסכמתו מראש של בעל המקום, ובלבד שבעל המקום יכול לקיים פיקוח מתמיד על כל המתרחש במקום. חנות, בית קולנוע, אולם הכניסה של בנק הם דוגמה מובהקת לרשותו של אדם שאין לבעל הרשות שליטה ופיקוח על אשר קורה במקומות אלה, שהרי מקומות אלה מיועדים הם מעצם טיבם ומטרתם להיות פתוחים לכל הבא ליכנס ונכנס. משום כך, אבידה הנמצאת במקום זה אינה כלולה באמור </w:t>
      </w:r>
      <w:hyperlink r:id="rId81" w:history="1">
        <w:r w:rsidR="00FC0712" w:rsidRPr="00FC0712">
          <w:rPr>
            <w:rStyle w:val="Hyperlink"/>
            <w:rFonts w:hint="eastAsia"/>
            <w:rtl/>
          </w:rPr>
          <w:t>בסעיף</w:t>
        </w:r>
        <w:r w:rsidR="00FC0712" w:rsidRPr="00FC0712">
          <w:rPr>
            <w:rStyle w:val="Hyperlink"/>
            <w:rtl/>
          </w:rPr>
          <w:t xml:space="preserve"> 3</w:t>
        </w:r>
      </w:hyperlink>
      <w:r>
        <w:rPr>
          <w:rFonts w:hint="cs"/>
          <w:rtl/>
        </w:rPr>
        <w:t xml:space="preserve"> של החוק אלא </w:t>
      </w:r>
      <w:hyperlink r:id="rId82" w:history="1">
        <w:r w:rsidR="00FC0712" w:rsidRPr="00FC0712">
          <w:rPr>
            <w:rStyle w:val="Hyperlink"/>
            <w:rFonts w:hint="eastAsia"/>
            <w:rtl/>
          </w:rPr>
          <w:t>בסעיף</w:t>
        </w:r>
        <w:r w:rsidR="00FC0712" w:rsidRPr="00FC0712">
          <w:rPr>
            <w:rStyle w:val="Hyperlink"/>
            <w:rtl/>
          </w:rPr>
          <w:t xml:space="preserve"> 2</w:t>
        </w:r>
      </w:hyperlink>
      <w:r>
        <w:rPr>
          <w:rFonts w:hint="cs"/>
          <w:rtl/>
        </w:rPr>
        <w:t xml:space="preserve"> שבו, והמוצא אותה חייב להשיבה לבעליה או להודיע עליה למשטרה, ואם לא נתגלו בעליה תוך ארבעה חודשים שייכת היא למוצא, לפי האמור </w:t>
      </w:r>
      <w:hyperlink r:id="rId83" w:history="1">
        <w:r w:rsidR="00FC0712" w:rsidRPr="00FC0712">
          <w:rPr>
            <w:rStyle w:val="Hyperlink"/>
            <w:rFonts w:hint="eastAsia"/>
            <w:rtl/>
          </w:rPr>
          <w:t>בסעיף</w:t>
        </w:r>
        <w:r w:rsidR="00FC0712" w:rsidRPr="00FC0712">
          <w:rPr>
            <w:rStyle w:val="Hyperlink"/>
            <w:rtl/>
          </w:rPr>
          <w:t xml:space="preserve"> 4</w:t>
        </w:r>
      </w:hyperlink>
      <w:r>
        <w:rPr>
          <w:rFonts w:hint="cs"/>
          <w:rtl/>
        </w:rPr>
        <w:t xml:space="preserve"> לחוק. </w:t>
      </w:r>
      <w:r w:rsidR="000101F0">
        <w:rPr>
          <w:rFonts w:hint="cs"/>
          <w:rtl/>
        </w:rPr>
        <w:t xml:space="preserve">לעומת זאת אבידה שנמצאת במקום מגוריו של אדם אחר או במקום כל שהוא של אדם אחר שהכניסה אליו אינה מותרת ואינה אפשרית אלא לאחר שהוסבה שימת לבו של בעל המקום לכניסתו של אותו אדם מסויים, אבידה כגון זו כלולה היא באמור </w:t>
      </w:r>
      <w:hyperlink r:id="rId84" w:history="1">
        <w:r w:rsidR="00FC0712" w:rsidRPr="00FC0712">
          <w:rPr>
            <w:rStyle w:val="Hyperlink"/>
            <w:rFonts w:hint="eastAsia"/>
            <w:rtl/>
          </w:rPr>
          <w:t>בסעיף</w:t>
        </w:r>
        <w:r w:rsidR="00FC0712" w:rsidRPr="00FC0712">
          <w:rPr>
            <w:rStyle w:val="Hyperlink"/>
            <w:rtl/>
          </w:rPr>
          <w:t xml:space="preserve"> 3</w:t>
        </w:r>
      </w:hyperlink>
      <w:r w:rsidR="000101F0">
        <w:rPr>
          <w:rFonts w:hint="cs"/>
          <w:rtl/>
        </w:rPr>
        <w:t xml:space="preserve"> של החוק. במקרה זה חייב המוצא להודיע על כך לבעל המקום ולמסור לו האבידה לפי דרישתו, ואם לא יתגלה בעל האבידה תוך ארבעה חודשים תהא היא שייכת לבעת המקום. כך מוצדק הוא, ואף הכרחי הוא, מבחינת זכותו המשפטית של בעל המקום, שמכוח שליטתו ופיקוחו עליו קדמה חזקתו באבידה לחזקתו של המוצא, ואף יתכן, כאמור, שהוא הוא אשר האבידה אבדה לו. וזכות משפטית זו ראה המחוקק לנכון שתקדם ותגבר על הזכות באבידה שמבקש הוא להעניק למוצא אבידה ברשות הרבים או ברשות היחיד שהיא פתוחה לרבים. </w:t>
      </w:r>
    </w:p>
    <w:p w:rsidR="000101F0" w:rsidRDefault="000101F0" w:rsidP="005E5D47">
      <w:pPr>
        <w:spacing w:line="280" w:lineRule="exact"/>
        <w:ind w:left="360"/>
        <w:jc w:val="both"/>
      </w:pPr>
    </w:p>
    <w:p w:rsidR="004723B0" w:rsidRDefault="004B45E3" w:rsidP="0018178A">
      <w:pPr>
        <w:numPr>
          <w:ilvl w:val="0"/>
          <w:numId w:val="25"/>
        </w:numPr>
        <w:spacing w:line="280" w:lineRule="exact"/>
        <w:jc w:val="both"/>
        <w:rPr>
          <w:rFonts w:hint="cs"/>
        </w:rPr>
      </w:pPr>
      <w:r>
        <w:rPr>
          <w:rFonts w:hint="cs"/>
          <w:rtl/>
        </w:rPr>
        <w:t xml:space="preserve">תוצאה עובדתית ומשפטית זו, העולה </w:t>
      </w:r>
      <w:r w:rsidR="00B263A8">
        <w:rPr>
          <w:rFonts w:hint="cs"/>
          <w:rtl/>
        </w:rPr>
        <w:t xml:space="preserve">מפירושנו </w:t>
      </w:r>
      <w:hyperlink r:id="rId85" w:history="1">
        <w:r w:rsidR="00BB26B5" w:rsidRPr="00BB26B5">
          <w:rPr>
            <w:rStyle w:val="Hyperlink"/>
            <w:rFonts w:hint="eastAsia"/>
            <w:rtl/>
          </w:rPr>
          <w:t>לסעיף</w:t>
        </w:r>
        <w:r w:rsidR="00BB26B5" w:rsidRPr="00BB26B5">
          <w:rPr>
            <w:rStyle w:val="Hyperlink"/>
            <w:rtl/>
          </w:rPr>
          <w:t xml:space="preserve"> 3</w:t>
        </w:r>
      </w:hyperlink>
      <w:r w:rsidR="00B263A8">
        <w:rPr>
          <w:rFonts w:hint="cs"/>
          <w:rtl/>
        </w:rPr>
        <w:t>, לא נתחדשה בבית מדרשו של המחוקק בישראל, אלא מקובלת היא ברובן של השיטות המשפטיות השונות. אנו לא נאריך במחקר השוואתי זה, ונציין תחילה בקצירת האומר למשפט האנגלי ולמשפטן של ארצות הברית.</w:t>
      </w:r>
    </w:p>
    <w:p w:rsidR="00B263A8" w:rsidRDefault="00B263A8" w:rsidP="00B263A8">
      <w:pPr>
        <w:spacing w:line="280" w:lineRule="exact"/>
        <w:ind w:left="360"/>
        <w:jc w:val="both"/>
        <w:rPr>
          <w:rFonts w:hint="cs"/>
          <w:rtl/>
        </w:rPr>
      </w:pPr>
    </w:p>
    <w:p w:rsidR="00B263A8" w:rsidRDefault="00B263A8" w:rsidP="00B263A8">
      <w:pPr>
        <w:spacing w:line="280" w:lineRule="exact"/>
        <w:ind w:left="360"/>
        <w:jc w:val="both"/>
        <w:rPr>
          <w:rtl/>
        </w:rPr>
      </w:pPr>
      <w:r>
        <w:rPr>
          <w:rFonts w:hint="cs"/>
          <w:rtl/>
        </w:rPr>
        <w:t xml:space="preserve">עיקרי הפסיקה של המשפט האנגלי בבעיה זו נדונו במפורט בפסק-דינו של </w:t>
      </w:r>
      <w:r>
        <w:rPr>
          <w:rFonts w:hint="cs"/>
          <w:b/>
          <w:bCs/>
          <w:rtl/>
        </w:rPr>
        <w:t xml:space="preserve">השופט עציוני, </w:t>
      </w:r>
      <w:hyperlink r:id="rId86" w:history="1">
        <w:r w:rsidR="00A36458" w:rsidRPr="00D95076">
          <w:rPr>
            <w:b/>
            <w:bCs/>
            <w:color w:val="0000FF"/>
            <w:u w:val="single"/>
            <w:rtl/>
          </w:rPr>
          <w:t>ע"א (חי) 123/63</w:t>
        </w:r>
      </w:hyperlink>
      <w:r>
        <w:rPr>
          <w:rFonts w:hint="cs"/>
          <w:rtl/>
        </w:rPr>
        <w:t xml:space="preserve">, המצוטט לעיל, ועל-פיו, בין היתר, נפסק בפסק-דין זה, </w:t>
      </w:r>
    </w:p>
    <w:p w:rsidR="00B263A8" w:rsidRDefault="00B263A8" w:rsidP="00B263A8">
      <w:pPr>
        <w:spacing w:line="280" w:lineRule="exact"/>
        <w:ind w:left="360"/>
        <w:jc w:val="both"/>
        <w:rPr>
          <w:rFonts w:hint="cs"/>
          <w:rtl/>
        </w:rPr>
      </w:pPr>
      <w:r>
        <w:rPr>
          <w:rtl/>
        </w:rPr>
        <w:br w:type="page"/>
      </w:r>
      <w:r>
        <w:rPr>
          <w:rFonts w:hint="cs"/>
          <w:rtl/>
        </w:rPr>
        <w:lastRenderedPageBreak/>
        <w:t xml:space="preserve">כמוזכר לעיל, כי המצלמה שנמצאה בבית הקולנוע שייכת היא למוצא אותה ולא לבעל הרשות, הוא בעל הקולנוע; והמעיין יעיין בפסק-דין מפורט זה. פסק-הדין המנחה במשפט האנגלי הוא </w:t>
      </w:r>
      <w:r w:rsidR="003313CD">
        <w:t xml:space="preserve">Bridges v. Hawkesworth (1851) </w:t>
      </w:r>
      <w:smartTag w:uri="urn:schemas-microsoft-com:office:smarttags" w:element="metricconverter">
        <w:smartTagPr>
          <w:attr w:name="ProductID" w:val="21 L"/>
        </w:smartTagPr>
        <w:r w:rsidR="003313CD">
          <w:t>21 L</w:t>
        </w:r>
      </w:smartTag>
      <w:r w:rsidR="003313CD">
        <w:t>.J.Q.B. 75; (1843-60) All E.R. 122;</w:t>
      </w:r>
      <w:smartTag w:uri="urn:schemas-microsoft-com:office:smarttags" w:element="metricconverter">
        <w:smartTagPr>
          <w:attr w:name="ProductID" w:val="18 L"/>
        </w:smartTagPr>
        <w:r w:rsidR="003313CD">
          <w:t>18 L</w:t>
        </w:r>
      </w:smartTag>
      <w:r w:rsidR="003313CD">
        <w:t>.T.O.S. 154; 15 Jur. 1079</w:t>
      </w:r>
      <w:r w:rsidR="008F65F8">
        <w:rPr>
          <w:rFonts w:hint="cs"/>
          <w:rtl/>
        </w:rPr>
        <w:t xml:space="preserve"> והוא חזר ונתפרש במספר פסקי דין נוספים, ובמיוחד </w:t>
      </w:r>
      <w:r w:rsidR="008F65F8">
        <w:t xml:space="preserve">Hannah v. Peel (1954) </w:t>
      </w:r>
      <w:smartTag w:uri="urn:schemas-microsoft-com:office:smarttags" w:element="metricconverter">
        <w:smartTagPr>
          <w:attr w:name="ProductID" w:val="2 A"/>
        </w:smartTagPr>
        <w:r w:rsidR="008F65F8">
          <w:t>2 A</w:t>
        </w:r>
      </w:smartTag>
      <w:r w:rsidR="008F65F8">
        <w:t xml:space="preserve">.E.R.; (1945) 2 All E.R.288; (1945) K.B. 509; </w:t>
      </w:r>
      <w:smartTag w:uri="urn:schemas-microsoft-com:office:smarttags" w:element="metricconverter">
        <w:smartTagPr>
          <w:attr w:name="ProductID" w:val="144 L"/>
        </w:smartTagPr>
        <w:r w:rsidR="008F65F8">
          <w:t>144 L</w:t>
        </w:r>
      </w:smartTag>
      <w:r w:rsidR="008F65F8">
        <w:t>.J.K.B. 533; 61 T.L.R. 502; 82 Sol. Jo. 307</w:t>
      </w:r>
      <w:r w:rsidR="00570A51">
        <w:rPr>
          <w:rFonts w:hint="cs"/>
          <w:rtl/>
        </w:rPr>
        <w:t>.</w:t>
      </w:r>
    </w:p>
    <w:p w:rsidR="00570A51" w:rsidRPr="00B263A8" w:rsidRDefault="00570A51" w:rsidP="00B263A8">
      <w:pPr>
        <w:spacing w:line="280" w:lineRule="exact"/>
        <w:ind w:left="360"/>
        <w:jc w:val="both"/>
        <w:rPr>
          <w:rFonts w:hint="cs"/>
          <w:rtl/>
        </w:rPr>
      </w:pPr>
    </w:p>
    <w:p w:rsidR="00B263A8" w:rsidRDefault="00570A51" w:rsidP="003361CD">
      <w:pPr>
        <w:numPr>
          <w:ilvl w:val="0"/>
          <w:numId w:val="25"/>
        </w:numPr>
        <w:spacing w:line="280" w:lineRule="exact"/>
        <w:jc w:val="both"/>
        <w:rPr>
          <w:rFonts w:hint="cs"/>
        </w:rPr>
      </w:pPr>
      <w:r>
        <w:rPr>
          <w:rFonts w:hint="cs"/>
          <w:rtl/>
        </w:rPr>
        <w:t xml:space="preserve">הפסיקה האמריקאית בדיני אבידה דומה היא, בעיקרי יסודותיה, לפסיקתה של אנגליה, ומדגישה היא מספר הבחנות נוספות (במיוחד ההבחנה בין דבר שהוא </w:t>
      </w:r>
      <w:r>
        <w:t>Mislaid</w:t>
      </w:r>
      <w:r>
        <w:rPr>
          <w:rFonts w:hint="cs"/>
          <w:rtl/>
        </w:rPr>
        <w:t xml:space="preserve"> לבין חפץ שהוא </w:t>
      </w:r>
      <w:r>
        <w:t>Lost</w:t>
      </w:r>
      <w:r>
        <w:rPr>
          <w:rFonts w:hint="cs"/>
          <w:rtl/>
        </w:rPr>
        <w:t xml:space="preserve">; השווה להבחנה במשפט העברי בין "דרך הינוח" או "דרך הנחה" לבין "דרך נפילה" </w:t>
      </w:r>
      <w:r>
        <w:rPr>
          <w:rtl/>
        </w:rPr>
        <w:t>–</w:t>
      </w:r>
      <w:r>
        <w:rPr>
          <w:rFonts w:hint="cs"/>
          <w:rtl/>
        </w:rPr>
        <w:t xml:space="preserve"> ראה בבא מציעא, כה, ב; רמב"ם, הלכות גזילה ואבידה, פרק טו, הלכות א-ב). על פסיקה זו עמדו מחברים מלומדים ואנו לא נאריך בכך (ראה מאמרו הנ"ל של </w:t>
      </w:r>
      <w:r>
        <w:t>Riesman</w:t>
      </w:r>
      <w:r>
        <w:rPr>
          <w:rFonts w:hint="cs"/>
          <w:rtl/>
        </w:rPr>
        <w:t xml:space="preserve"> וכן </w:t>
      </w:r>
      <w:r>
        <w:t>(R.W. Aigler, Rights of Finders 21 Mi</w:t>
      </w:r>
      <w:r w:rsidR="003361CD">
        <w:t>chigan L.R. 664</w:t>
      </w:r>
      <w:r w:rsidR="003361CD">
        <w:rPr>
          <w:rFonts w:hint="cs"/>
          <w:rtl/>
        </w:rPr>
        <w:t xml:space="preserve"> טוב נעשה אם נציין לפסק-דין אחד </w:t>
      </w:r>
      <w:r w:rsidR="003361CD">
        <w:t>Toledo Trust Co. v. Simmons 3 North Eastern Reporter, 2d Series, 661</w:t>
      </w:r>
      <w:r w:rsidR="003361CD">
        <w:rPr>
          <w:rFonts w:hint="cs"/>
          <w:rtl/>
        </w:rPr>
        <w:t>) אשר עיקרי עובדותיו דומות הן לענין שלפנינו, וההנמקה שניתנה בו יש בה כדי לאלפנו.</w:t>
      </w:r>
    </w:p>
    <w:p w:rsidR="003361CD" w:rsidRDefault="003361CD" w:rsidP="003361CD">
      <w:pPr>
        <w:spacing w:line="280" w:lineRule="exact"/>
        <w:ind w:left="360"/>
        <w:jc w:val="both"/>
        <w:rPr>
          <w:rFonts w:hint="cs"/>
          <w:rtl/>
        </w:rPr>
      </w:pPr>
    </w:p>
    <w:p w:rsidR="003361CD" w:rsidRDefault="003361CD" w:rsidP="003361CD">
      <w:pPr>
        <w:spacing w:line="280" w:lineRule="exact"/>
        <w:ind w:left="360"/>
        <w:jc w:val="both"/>
        <w:rPr>
          <w:rFonts w:hint="cs"/>
          <w:rtl/>
        </w:rPr>
      </w:pPr>
      <w:r>
        <w:rPr>
          <w:rFonts w:hint="cs"/>
          <w:rtl/>
        </w:rPr>
        <w:t>אחת מעובדות בנק טולדו מצאה על הרצפה של אחת מדרכי הכניסה לחדר הכספות מעטפה ובה 500 לירות שטרלינג</w:t>
      </w:r>
      <w:r w:rsidR="00C14DCD">
        <w:rPr>
          <w:rFonts w:hint="cs"/>
          <w:rtl/>
        </w:rPr>
        <w:t>. היא מסרה את המעטפה למנהל הבנק, וברור היה כי נהגה כך כדי שזה יאתר את הבעלים, ואם אלה לא יתגלו יהא הכסף שייך למוצאת. הבעלים לא נתגלו והעובדת דרשה מהבנק לקבל את המעטפה עם הכסף; הבנק סירב והיא זכתה בדין. בנימוקי פסק-הדין נאמר, בין היתר:</w:t>
      </w:r>
    </w:p>
    <w:p w:rsidR="00C14DCD" w:rsidRDefault="00C14DCD" w:rsidP="003361CD">
      <w:pPr>
        <w:spacing w:line="280" w:lineRule="exact"/>
        <w:ind w:left="360"/>
        <w:jc w:val="both"/>
        <w:rPr>
          <w:rFonts w:hint="cs"/>
          <w:rtl/>
        </w:rPr>
      </w:pPr>
    </w:p>
    <w:p w:rsidR="00C14DCD" w:rsidRDefault="00C14DCD" w:rsidP="00684FCA">
      <w:pPr>
        <w:bidi w:val="0"/>
        <w:spacing w:line="280" w:lineRule="exact"/>
        <w:ind w:left="720" w:right="1260"/>
        <w:jc w:val="both"/>
      </w:pPr>
      <w:r>
        <w:t xml:space="preserve">"It was probably her duty as an employee of the bank to report her find at once to the bank, but by so doing, she did not relinquish her rights as finder, but </w:t>
      </w:r>
      <w:r w:rsidR="000D61E3">
        <w:t>specifically reserved her rights as finder if the owner should not</w:t>
      </w:r>
      <w:r w:rsidR="0072775F">
        <w:t xml:space="preserve"> appear to claim it. This money was not found in the safe deposit vault , not in the safe deposit doorway, but</w:t>
      </w:r>
      <w:r w:rsidR="00684FCA">
        <w:t xml:space="preserve"> was found on the floor in an entryway or small lobby through which many persons passed every day; persons who were not customers of the safety deposit department of the bank, and some persons who were not even customers of the bank at all, were allowed by the bank to go through this passageway or lobby to see various employees of the bank for personal calls…</w:t>
      </w:r>
    </w:p>
    <w:p w:rsidR="00684FCA" w:rsidRDefault="00684FCA" w:rsidP="00684FCA">
      <w:pPr>
        <w:bidi w:val="0"/>
        <w:spacing w:line="280" w:lineRule="exact"/>
        <w:ind w:left="720" w:right="1260"/>
        <w:jc w:val="both"/>
      </w:pPr>
    </w:p>
    <w:p w:rsidR="00B40D3B" w:rsidRDefault="00684FCA" w:rsidP="00B40D3B">
      <w:pPr>
        <w:bidi w:val="0"/>
        <w:spacing w:line="280" w:lineRule="exact"/>
        <w:ind w:left="720" w:right="1260"/>
        <w:jc w:val="both"/>
      </w:pPr>
      <w:r>
        <w:t xml:space="preserve">Under the authorities, where property is found </w:t>
      </w:r>
      <w:r w:rsidR="00B40D3B">
        <w:t xml:space="preserve">in a public or semipublic place, it is held that the owner or proprietor of the premises occupies no relationship of agent of fiduciary toward the owner of the property lost, and the right of possession and custody of the finder is superior, even though the finder be a servant of </w:t>
      </w:r>
    </w:p>
    <w:p w:rsidR="00684FCA" w:rsidRPr="0072775F" w:rsidRDefault="00B40D3B" w:rsidP="00B40D3B">
      <w:pPr>
        <w:bidi w:val="0"/>
        <w:spacing w:line="280" w:lineRule="exact"/>
        <w:ind w:left="720" w:right="1260"/>
        <w:jc w:val="both"/>
      </w:pPr>
      <w:r>
        <w:br w:type="page"/>
      </w:r>
      <w:r w:rsidR="000B044F">
        <w:lastRenderedPageBreak/>
        <w:t>Employee of the proprietor or owner of the premises where the personal property was found. The law is clear that the finder of "lost" personal property is entitled to the possession thereof as against all the world, except the rightful owner, and this is the law even though the finder is a servant or employee of the owner or proprietor of the premises wherein or whereon it is found".</w:t>
      </w:r>
      <w:r>
        <w:t xml:space="preserve"> </w:t>
      </w:r>
    </w:p>
    <w:p w:rsidR="00C14DCD" w:rsidRDefault="00C14DCD" w:rsidP="003361CD">
      <w:pPr>
        <w:spacing w:line="280" w:lineRule="exact"/>
        <w:ind w:left="360"/>
        <w:jc w:val="both"/>
        <w:rPr>
          <w:rFonts w:hint="cs"/>
          <w:rtl/>
        </w:rPr>
      </w:pPr>
    </w:p>
    <w:p w:rsidR="000B044F" w:rsidRDefault="000B044F" w:rsidP="003361CD">
      <w:pPr>
        <w:spacing w:line="280" w:lineRule="exact"/>
        <w:ind w:left="360"/>
        <w:jc w:val="both"/>
        <w:rPr>
          <w:rFonts w:hint="cs"/>
          <w:rtl/>
        </w:rPr>
      </w:pPr>
      <w:r>
        <w:rPr>
          <w:rFonts w:hint="cs"/>
          <w:rtl/>
        </w:rPr>
        <w:t xml:space="preserve">וכך מסוכמת </w:t>
      </w:r>
      <w:r w:rsidR="008C250F">
        <w:rPr>
          <w:rFonts w:hint="cs"/>
          <w:rtl/>
        </w:rPr>
        <w:t xml:space="preserve">הפסיקה בנושאנו על-ידי המלומד </w:t>
      </w:r>
      <w:r w:rsidR="008C250F">
        <w:t xml:space="preserve">Aigler </w:t>
      </w:r>
      <w:r w:rsidR="008C250F">
        <w:rPr>
          <w:rFonts w:hint="cs"/>
          <w:rtl/>
        </w:rPr>
        <w:t xml:space="preserve"> (במאמרו שצוטט לעיל):</w:t>
      </w:r>
    </w:p>
    <w:p w:rsidR="008C250F" w:rsidRDefault="008C250F" w:rsidP="003361CD">
      <w:pPr>
        <w:spacing w:line="280" w:lineRule="exact"/>
        <w:ind w:left="360"/>
        <w:jc w:val="both"/>
        <w:rPr>
          <w:rFonts w:hint="cs"/>
          <w:rtl/>
        </w:rPr>
      </w:pPr>
    </w:p>
    <w:p w:rsidR="008C250F" w:rsidRDefault="008C250F" w:rsidP="008C250F">
      <w:pPr>
        <w:bidi w:val="0"/>
        <w:spacing w:line="280" w:lineRule="exact"/>
        <w:ind w:left="720" w:right="1260"/>
        <w:jc w:val="both"/>
      </w:pPr>
      <w:r>
        <w:t>"the general principle seems to me to be that where a person has possession of house of land, with a manifest intention to exercise control over it, and the things which may be upon or in it, then, if something is found on the land, whether by an employee of the owner or by a stranger, the presumption is that the possession</w:t>
      </w:r>
      <w:r w:rsidR="00A17C3F">
        <w:t xml:space="preserve"> of that thing is in the owner of the locus in quo.</w:t>
      </w:r>
    </w:p>
    <w:p w:rsidR="00A17C3F" w:rsidRDefault="00A17C3F" w:rsidP="00A17C3F">
      <w:pPr>
        <w:bidi w:val="0"/>
        <w:spacing w:line="280" w:lineRule="exact"/>
        <w:ind w:left="720" w:right="1260"/>
        <w:jc w:val="both"/>
      </w:pPr>
    </w:p>
    <w:p w:rsidR="00A17C3F" w:rsidRDefault="00A17C3F" w:rsidP="00A17C3F">
      <w:pPr>
        <w:bidi w:val="0"/>
        <w:spacing w:line="280" w:lineRule="exact"/>
        <w:ind w:left="720" w:right="1260"/>
        <w:jc w:val="both"/>
        <w:rPr>
          <w:rtl/>
        </w:rPr>
      </w:pPr>
      <w:r>
        <w:t>If the premises on which the lost property is are open to the public, the whole basis for ascribing possession to the land possessor – the purpose to exclude – is missing, and the result should be the opposite".</w:t>
      </w:r>
    </w:p>
    <w:p w:rsidR="008C250F" w:rsidRDefault="008C250F" w:rsidP="003361CD">
      <w:pPr>
        <w:spacing w:line="280" w:lineRule="exact"/>
        <w:ind w:left="360"/>
        <w:jc w:val="both"/>
        <w:rPr>
          <w:rFonts w:hint="cs"/>
          <w:rtl/>
        </w:rPr>
      </w:pPr>
    </w:p>
    <w:p w:rsidR="00A17C3F" w:rsidRDefault="005B6F70" w:rsidP="003361CD">
      <w:pPr>
        <w:spacing w:line="280" w:lineRule="exact"/>
        <w:ind w:left="360"/>
        <w:jc w:val="both"/>
        <w:rPr>
          <w:rFonts w:hint="cs"/>
          <w:rtl/>
        </w:rPr>
      </w:pPr>
      <w:r>
        <w:rPr>
          <w:rFonts w:hint="cs"/>
          <w:rtl/>
        </w:rPr>
        <w:t>להלן מסכם הוא לאמור:</w:t>
      </w:r>
    </w:p>
    <w:p w:rsidR="005B6F70" w:rsidRDefault="005B6F70" w:rsidP="003361CD">
      <w:pPr>
        <w:spacing w:line="280" w:lineRule="exact"/>
        <w:ind w:left="360"/>
        <w:jc w:val="both"/>
        <w:rPr>
          <w:rFonts w:hint="cs"/>
          <w:rtl/>
        </w:rPr>
      </w:pPr>
    </w:p>
    <w:p w:rsidR="005B6F70" w:rsidRDefault="005B6F70" w:rsidP="00D32A6D">
      <w:pPr>
        <w:bidi w:val="0"/>
        <w:spacing w:line="280" w:lineRule="exact"/>
        <w:ind w:left="720" w:right="1260"/>
        <w:jc w:val="both"/>
        <w:rPr>
          <w:rtl/>
        </w:rPr>
      </w:pPr>
      <w:r>
        <w:t>"Summing up, it may be said that finding, in order to confer any rights upon the finder, necessitates talking possession; such possession when once a</w:t>
      </w:r>
      <w:r w:rsidR="0099412F">
        <w:t>c</w:t>
      </w:r>
      <w:r>
        <w:t>quired, is normally pro</w:t>
      </w:r>
      <w:r w:rsidR="0099412F">
        <w:t xml:space="preserve">tected as against all but those who can show a better right; and such better right rests either on ownership or prior possession. In short, the rights of the finder are possessory and are protected in the same way and to the same extent as any other type of possession. To say that the place of finding is immaterial in one sense is true, but in another it is not. It may be of vital importance in </w:t>
      </w:r>
      <w:r w:rsidR="00D32A6D">
        <w:t>determining whether the finder's contestant can make out a case of prior possession".</w:t>
      </w:r>
    </w:p>
    <w:p w:rsidR="005B6F70" w:rsidRDefault="005B6F70" w:rsidP="003361CD">
      <w:pPr>
        <w:spacing w:line="280" w:lineRule="exact"/>
        <w:ind w:left="360"/>
        <w:jc w:val="both"/>
        <w:rPr>
          <w:rFonts w:hint="cs"/>
          <w:rtl/>
        </w:rPr>
      </w:pPr>
    </w:p>
    <w:p w:rsidR="00D32A6D" w:rsidRDefault="00D32A6D" w:rsidP="003361CD">
      <w:pPr>
        <w:spacing w:line="280" w:lineRule="exact"/>
        <w:ind w:left="360"/>
        <w:jc w:val="both"/>
        <w:rPr>
          <w:rtl/>
        </w:rPr>
      </w:pPr>
      <w:r>
        <w:rPr>
          <w:rFonts w:hint="cs"/>
          <w:rtl/>
        </w:rPr>
        <w:t xml:space="preserve">כדי שלבעל הרשות יהא משום </w:t>
      </w:r>
      <w:r>
        <w:t>possession</w:t>
      </w:r>
      <w:r>
        <w:rPr>
          <w:rFonts w:hint="cs"/>
          <w:rtl/>
        </w:rPr>
        <w:t xml:space="preserve"> בחפצים המצויים בה צריך איפוא שתהא לו </w:t>
      </w:r>
      <w:r>
        <w:t>a manifest intention to exercise control over it</w:t>
      </w:r>
      <w:r>
        <w:rPr>
          <w:rFonts w:hint="cs"/>
          <w:rtl/>
        </w:rPr>
        <w:t xml:space="preserve">. עיקרון החוזר ועולה בפסיקתם של בתי-המשפט באנגליה ובארצות שונות שבארצות הברית, כמבואר במאמריהם של המלומדים הנ"ל, והוא הוא אשר פירשנו לענין המושג "רשותו של אדם </w:t>
      </w:r>
    </w:p>
    <w:p w:rsidR="00D32A6D" w:rsidRDefault="00D32A6D" w:rsidP="003361CD">
      <w:pPr>
        <w:spacing w:line="280" w:lineRule="exact"/>
        <w:ind w:left="360"/>
        <w:jc w:val="both"/>
        <w:rPr>
          <w:rFonts w:hint="cs"/>
          <w:rtl/>
        </w:rPr>
      </w:pPr>
      <w:r>
        <w:rPr>
          <w:rtl/>
        </w:rPr>
        <w:br w:type="page"/>
      </w:r>
      <w:r>
        <w:rPr>
          <w:rFonts w:hint="cs"/>
          <w:rtl/>
        </w:rPr>
        <w:lastRenderedPageBreak/>
        <w:t xml:space="preserve">אחר" </w:t>
      </w:r>
      <w:hyperlink r:id="rId87" w:history="1">
        <w:r w:rsidR="00BB26B5" w:rsidRPr="00BB26B5">
          <w:rPr>
            <w:rStyle w:val="Hyperlink"/>
            <w:rFonts w:hint="eastAsia"/>
            <w:rtl/>
          </w:rPr>
          <w:t>שבסעיף</w:t>
        </w:r>
        <w:r w:rsidR="00BB26B5" w:rsidRPr="00BB26B5">
          <w:rPr>
            <w:rStyle w:val="Hyperlink"/>
            <w:rtl/>
          </w:rPr>
          <w:t xml:space="preserve"> 3</w:t>
        </w:r>
      </w:hyperlink>
      <w:r>
        <w:rPr>
          <w:rFonts w:hint="cs"/>
          <w:rtl/>
        </w:rPr>
        <w:t xml:space="preserve"> ל</w:t>
      </w:r>
      <w:hyperlink r:id="rId88" w:history="1">
        <w:r w:rsidR="00CA17A5" w:rsidRPr="00CA17A5">
          <w:rPr>
            <w:rStyle w:val="Hyperlink"/>
            <w:rtl/>
          </w:rPr>
          <w:t>חוק השבת אבידה</w:t>
        </w:r>
      </w:hyperlink>
      <w:r>
        <w:rPr>
          <w:rFonts w:hint="cs"/>
          <w:rtl/>
        </w:rPr>
        <w:t>.</w:t>
      </w:r>
    </w:p>
    <w:p w:rsidR="00D32A6D" w:rsidRDefault="00D32A6D" w:rsidP="003361CD">
      <w:pPr>
        <w:spacing w:line="280" w:lineRule="exact"/>
        <w:ind w:left="360"/>
        <w:jc w:val="both"/>
        <w:rPr>
          <w:rFonts w:hint="cs"/>
          <w:rtl/>
        </w:rPr>
      </w:pPr>
    </w:p>
    <w:p w:rsidR="003361CD" w:rsidRDefault="00D32A6D" w:rsidP="003361CD">
      <w:pPr>
        <w:numPr>
          <w:ilvl w:val="0"/>
          <w:numId w:val="25"/>
        </w:numPr>
        <w:spacing w:line="280" w:lineRule="exact"/>
        <w:jc w:val="both"/>
        <w:rPr>
          <w:rFonts w:hint="cs"/>
        </w:rPr>
      </w:pPr>
      <w:r>
        <w:rPr>
          <w:rFonts w:hint="cs"/>
          <w:rtl/>
        </w:rPr>
        <w:t xml:space="preserve">ואחרון אחרון, חביב וחשוב </w:t>
      </w:r>
      <w:r>
        <w:rPr>
          <w:rtl/>
        </w:rPr>
        <w:t>–</w:t>
      </w:r>
      <w:r>
        <w:rPr>
          <w:rFonts w:hint="cs"/>
          <w:rtl/>
        </w:rPr>
        <w:t xml:space="preserve"> דרך פירוש זו למונח "רשותו של אדם אחר" ולמגמתו של </w:t>
      </w:r>
      <w:hyperlink r:id="rId89" w:history="1">
        <w:r w:rsidR="00BB26B5" w:rsidRPr="00BB26B5">
          <w:rPr>
            <w:rStyle w:val="Hyperlink"/>
            <w:rFonts w:hint="eastAsia"/>
            <w:rtl/>
          </w:rPr>
          <w:t>סעיף</w:t>
        </w:r>
        <w:r w:rsidR="00BB26B5" w:rsidRPr="00BB26B5">
          <w:rPr>
            <w:rStyle w:val="Hyperlink"/>
            <w:rtl/>
          </w:rPr>
          <w:t xml:space="preserve"> 3</w:t>
        </w:r>
      </w:hyperlink>
      <w:r>
        <w:rPr>
          <w:rFonts w:hint="cs"/>
          <w:rtl/>
        </w:rPr>
        <w:t xml:space="preserve"> מוצא אני במערכת המשפט העברי. </w:t>
      </w:r>
      <w:hyperlink r:id="rId90" w:history="1">
        <w:r w:rsidR="00CA17A5" w:rsidRPr="00CA17A5">
          <w:rPr>
            <w:rStyle w:val="Hyperlink"/>
            <w:rtl/>
          </w:rPr>
          <w:t>חוק השבת אבידה</w:t>
        </w:r>
      </w:hyperlink>
      <w:r>
        <w:rPr>
          <w:rFonts w:hint="cs"/>
          <w:rtl/>
        </w:rPr>
        <w:t>, תשל"ג-1973, הריהו אחד הפרקים בחקיקה הישראלית העצמאית של דיני המשפט האזרחי, וככל הנוגע לקודיפיקציה עצמאית זו, מקום בראש נתיחס למשפט העברי בפרשנותה. בענין שאלה נכבדה זו דנתי במפורט ב</w:t>
      </w:r>
      <w:hyperlink r:id="rId91" w:history="1">
        <w:r w:rsidR="00A36458" w:rsidRPr="00D95076">
          <w:rPr>
            <w:b/>
            <w:bCs/>
            <w:color w:val="0000FF"/>
            <w:u w:val="single"/>
            <w:rtl/>
          </w:rPr>
          <w:t>ע"א 148/77 רוט שאול, ואח' נגד ישופה (בניה) בע"מ, פ"ד לג</w:t>
        </w:r>
      </w:hyperlink>
      <w:r w:rsidR="00163BE0">
        <w:rPr>
          <w:rFonts w:hint="cs"/>
          <w:rtl/>
        </w:rPr>
        <w:t xml:space="preserve">(1) 617, </w:t>
      </w:r>
      <w:r w:rsidR="00163BE0">
        <w:rPr>
          <w:rFonts w:hint="cs"/>
          <w:b/>
          <w:bCs/>
          <w:rtl/>
        </w:rPr>
        <w:t>בע'</w:t>
      </w:r>
      <w:r w:rsidR="00163BE0">
        <w:rPr>
          <w:rFonts w:hint="cs"/>
          <w:rtl/>
        </w:rPr>
        <w:t xml:space="preserve"> </w:t>
      </w:r>
      <w:r w:rsidR="00163BE0" w:rsidRPr="00163BE0">
        <w:rPr>
          <w:rFonts w:hint="cs"/>
          <w:b/>
          <w:bCs/>
          <w:rtl/>
        </w:rPr>
        <w:t>633-632</w:t>
      </w:r>
      <w:r w:rsidR="00163BE0">
        <w:rPr>
          <w:rFonts w:hint="cs"/>
          <w:rtl/>
        </w:rPr>
        <w:t>, והמעיין יעיין שם. כלליו-הערותיו של חברי הנכבד השופט ברק בשאלה זו אינם נראים לי מספיקים ומקיפים כל צורכם. ודאי, אין צריך לומר, כי פרשנותה של חקיקה עצמאית זו על-פי המשפט העברי אינה במקומה כאשר ברור מתוכנו של החוק המסויים אותו באים אנו לפרש שנוגד הוא את עמדתו ומגמתו של המשפט העברי בסוגיה זו; אל לו לשופט "לאנוס" את החוק או סעיף מסעיפיו בדרך פרשנות העומדת בניגוד לאמור בחוק, ומכל שכן שאל לו לערב מין בשאינו מינו. אך כאשר מצב הדברים אינו כן, ומתעורר ספק שאין לו הכרע מתוכו ומתוכנו של החוק, עלינו להיזקק בראש ובראשונה לעקרונות המשפט העברי, כמקור ראשי וראשון במעלה, שאמנם אינו מחייב אך שיש בו כדי להנחותנו בפתרונה של הבעיה העומדת לפנינו.</w:t>
      </w:r>
    </w:p>
    <w:p w:rsidR="00163BE0" w:rsidRDefault="00163BE0" w:rsidP="00163BE0">
      <w:pPr>
        <w:spacing w:line="280" w:lineRule="exact"/>
        <w:ind w:left="360"/>
        <w:jc w:val="both"/>
        <w:rPr>
          <w:rFonts w:hint="cs"/>
        </w:rPr>
      </w:pPr>
    </w:p>
    <w:p w:rsidR="00163BE0" w:rsidRDefault="0070142F" w:rsidP="003361CD">
      <w:pPr>
        <w:numPr>
          <w:ilvl w:val="0"/>
          <w:numId w:val="25"/>
        </w:numPr>
        <w:spacing w:line="280" w:lineRule="exact"/>
        <w:jc w:val="both"/>
        <w:rPr>
          <w:rFonts w:hint="cs"/>
        </w:rPr>
      </w:pPr>
      <w:r>
        <w:rPr>
          <w:rFonts w:hint="cs"/>
          <w:rtl/>
        </w:rPr>
        <w:t xml:space="preserve">משהתעורר בענין שלפנינו ספק בדבר משמעות האמור </w:t>
      </w:r>
      <w:hyperlink r:id="rId92" w:history="1">
        <w:r w:rsidR="00BB26B5" w:rsidRPr="00BB26B5">
          <w:rPr>
            <w:rStyle w:val="Hyperlink"/>
            <w:rFonts w:hint="eastAsia"/>
            <w:rtl/>
          </w:rPr>
          <w:t>בסעיף</w:t>
        </w:r>
        <w:r w:rsidR="00BB26B5" w:rsidRPr="00BB26B5">
          <w:rPr>
            <w:rStyle w:val="Hyperlink"/>
            <w:rtl/>
          </w:rPr>
          <w:t xml:space="preserve"> 3</w:t>
        </w:r>
      </w:hyperlink>
      <w:r>
        <w:rPr>
          <w:rFonts w:hint="cs"/>
          <w:rtl/>
        </w:rPr>
        <w:t xml:space="preserve"> לחוק ומובנו של המושג "רשותו של אדם אחר", ואין לספק זה הכרע מתוכו ומתוכנו של החוק, מן הראוי הוא איפוא שנפנה למערכת המשפט העברי למציאת פתרונה של בעיה זו. ובוודאי שכך הוא משעלה בידינו כי </w:t>
      </w:r>
      <w:hyperlink r:id="rId93" w:history="1">
        <w:r w:rsidR="00CA17A5" w:rsidRPr="00CA17A5">
          <w:rPr>
            <w:rStyle w:val="Hyperlink"/>
            <w:rtl/>
          </w:rPr>
          <w:t>חוק השבת אבידה</w:t>
        </w:r>
      </w:hyperlink>
      <w:r>
        <w:rPr>
          <w:rFonts w:hint="cs"/>
          <w:rtl/>
        </w:rPr>
        <w:t xml:space="preserve"> של הכנסת ודיני השבת אבידה שבמשפט העברי, מטרה מרכזית אחת משותפת לשניהם </w:t>
      </w:r>
      <w:r>
        <w:rPr>
          <w:rtl/>
        </w:rPr>
        <w:t>–</w:t>
      </w:r>
      <w:r>
        <w:rPr>
          <w:rFonts w:hint="cs"/>
          <w:rtl/>
        </w:rPr>
        <w:t xml:space="preserve"> השבת אבידה לבעליה. על כך עמדנו בתחילתם של דברינו ואף ראינו כי הכנסת, בעת הקריאה השנייה והשלישית לחוק, מצאה לנכון לשנות מהשם של חוק </w:t>
      </w:r>
      <w:r>
        <w:rPr>
          <w:rFonts w:hint="cs"/>
          <w:b/>
          <w:bCs/>
          <w:rtl/>
        </w:rPr>
        <w:t>לטיפול באבידה</w:t>
      </w:r>
      <w:r>
        <w:rPr>
          <w:rFonts w:hint="cs"/>
          <w:rtl/>
        </w:rPr>
        <w:t xml:space="preserve"> לשם </w:t>
      </w:r>
      <w:hyperlink r:id="rId94" w:history="1">
        <w:r w:rsidR="00CA17A5" w:rsidRPr="00CA17A5">
          <w:rPr>
            <w:rStyle w:val="Hyperlink"/>
            <w:rtl/>
          </w:rPr>
          <w:t>חוק השבת אבידה</w:t>
        </w:r>
      </w:hyperlink>
      <w:r>
        <w:rPr>
          <w:rFonts w:hint="cs"/>
          <w:rtl/>
        </w:rPr>
        <w:t xml:space="preserve"> משום שזוהי מגמתו של החוק ומשום שזה השם הניתן למערכת דינים זו במשפט העברי. יתירה מזו, הדאגה למציאת בעליה של האבידה כה מרחיקה לכת היא במשפט העברי עד שקובע הוא שבאבידות מסוימות, שיש בהן סימן ושאין להניח שהבעלים התיאשו מהן, אין הן עוברות לעולם לבעלותו של המוצא, אלא יהיו מונחים "עד שיבוא אליהו: ויימצאו בעליהן (בבא מציעא, ל, א; רמב"ם, הלכות גזילה ואבידה, פרק יג, הלכה י; שו"ע, חו"מ, סימן רסז, סעיף טו). ושעה שבמשפט העברי במקורו נקבע שהאבידה שלגביה יש להניח שהבעלים התיאשו ממנה מותר למוצא ליטול אותה לעצמו, נקבע עוד בסופה של המאה העשירית, בתפוצה שבבבל ובאשכנז, שגם לגבי אבידה זו צריך המוצא להחזירה לבעלים שבאו לדרוש אותה (שו"ת רבינו גרשום מאור, הגולה, סימן סז, מהדורה אידלברג, ע' 158-154; תשובות הגאונים שערי צדק, חלק ד, שער א, סימן כ; וכך נתקבל להלכה ולמעשה. וראה מנחם אלון, המשפט העברי, חלק ב, ע' 566-564 והערה 32, שם).</w:t>
      </w:r>
    </w:p>
    <w:p w:rsidR="0070142F" w:rsidRDefault="0070142F" w:rsidP="0070142F">
      <w:pPr>
        <w:spacing w:line="280" w:lineRule="exact"/>
        <w:jc w:val="both"/>
        <w:rPr>
          <w:rFonts w:hint="cs"/>
        </w:rPr>
      </w:pPr>
    </w:p>
    <w:p w:rsidR="0070142F" w:rsidRDefault="0070142F" w:rsidP="0070142F">
      <w:pPr>
        <w:numPr>
          <w:ilvl w:val="0"/>
          <w:numId w:val="25"/>
        </w:numPr>
        <w:spacing w:line="280" w:lineRule="exact"/>
        <w:jc w:val="both"/>
        <w:rPr>
          <w:rFonts w:hint="cs"/>
          <w:rtl/>
        </w:rPr>
      </w:pPr>
      <w:r>
        <w:rPr>
          <w:rFonts w:hint="cs"/>
          <w:rtl/>
        </w:rPr>
        <w:t xml:space="preserve">יחד עם מגמה יסודית זו שבדיני השבת אבידה במשפט העברי, ובנוסף לה, הסדירה מערכת משפטית זו את הבעיה המיוחדת שהיא נשוא דיוננו, בדרך שפירשנוה </w:t>
      </w:r>
    </w:p>
    <w:p w:rsidR="0070142F" w:rsidRDefault="0070142F" w:rsidP="0070142F">
      <w:pPr>
        <w:spacing w:line="280" w:lineRule="exact"/>
        <w:ind w:left="360"/>
        <w:jc w:val="both"/>
        <w:rPr>
          <w:rFonts w:hint="cs"/>
          <w:rtl/>
        </w:rPr>
      </w:pPr>
      <w:r>
        <w:rPr>
          <w:rtl/>
        </w:rPr>
        <w:br w:type="page"/>
      </w:r>
      <w:hyperlink r:id="rId95" w:history="1">
        <w:r w:rsidR="00BB26B5" w:rsidRPr="00BB26B5">
          <w:rPr>
            <w:rStyle w:val="Hyperlink"/>
            <w:rFonts w:hint="eastAsia"/>
            <w:rtl/>
          </w:rPr>
          <w:t>בסעיף</w:t>
        </w:r>
        <w:r w:rsidR="00BB26B5" w:rsidRPr="00BB26B5">
          <w:rPr>
            <w:rStyle w:val="Hyperlink"/>
            <w:rtl/>
          </w:rPr>
          <w:t xml:space="preserve"> 3</w:t>
        </w:r>
      </w:hyperlink>
      <w:r w:rsidR="007105AB">
        <w:rPr>
          <w:rFonts w:hint="cs"/>
          <w:rtl/>
        </w:rPr>
        <w:t xml:space="preserve"> ל</w:t>
      </w:r>
      <w:hyperlink r:id="rId96" w:history="1">
        <w:r w:rsidR="00CA17A5" w:rsidRPr="00CA17A5">
          <w:rPr>
            <w:rStyle w:val="Hyperlink"/>
            <w:rtl/>
          </w:rPr>
          <w:t>חוק השבת אבידה</w:t>
        </w:r>
      </w:hyperlink>
      <w:r w:rsidR="007105AB">
        <w:rPr>
          <w:rFonts w:hint="cs"/>
          <w:rtl/>
        </w:rPr>
        <w:t>. ואף במשפט העברי נדונה בעיה זו, בין היתר, בהקשר לאבידה שנמצאה ברשותו של הבנקאי, הלא הוא השולחני שבאותם הימים. וכך אנו שונים במסכת בבא מציעא, פרק ב, משנה ד:</w:t>
      </w:r>
    </w:p>
    <w:p w:rsidR="007105AB" w:rsidRDefault="007105AB" w:rsidP="0070142F">
      <w:pPr>
        <w:spacing w:line="280" w:lineRule="exact"/>
        <w:ind w:left="360"/>
        <w:jc w:val="both"/>
        <w:rPr>
          <w:rFonts w:hint="cs"/>
          <w:rtl/>
        </w:rPr>
      </w:pPr>
    </w:p>
    <w:p w:rsidR="007105AB" w:rsidRDefault="007105AB" w:rsidP="007105AB">
      <w:pPr>
        <w:spacing w:line="280" w:lineRule="exact"/>
        <w:ind w:left="720" w:right="1260"/>
        <w:jc w:val="both"/>
        <w:rPr>
          <w:rFonts w:hint="cs"/>
          <w:rtl/>
        </w:rPr>
      </w:pPr>
      <w:r>
        <w:rPr>
          <w:rFonts w:hint="cs"/>
          <w:rtl/>
        </w:rPr>
        <w:t xml:space="preserve">"מצא בחנות, הרי אלו שלו (= של המוצא); בין התיבה לחנוני </w:t>
      </w:r>
      <w:r>
        <w:rPr>
          <w:rtl/>
        </w:rPr>
        <w:t>–</w:t>
      </w:r>
      <w:r>
        <w:rPr>
          <w:rFonts w:hint="cs"/>
          <w:rtl/>
        </w:rPr>
        <w:t xml:space="preserve"> של החנוני (= שהחנוני יושב לפניה </w:t>
      </w:r>
      <w:r>
        <w:rPr>
          <w:rtl/>
        </w:rPr>
        <w:t>–</w:t>
      </w:r>
      <w:r>
        <w:rPr>
          <w:rFonts w:hint="cs"/>
          <w:rtl/>
        </w:rPr>
        <w:t xml:space="preserve"> לפני התיבה </w:t>
      </w:r>
      <w:r>
        <w:rPr>
          <w:rtl/>
        </w:rPr>
        <w:t>–</w:t>
      </w:r>
      <w:r>
        <w:rPr>
          <w:rFonts w:hint="cs"/>
          <w:rtl/>
        </w:rPr>
        <w:t xml:space="preserve"> ותמיד נוטל ממנה ונותן לפניו ומוכר, ומעות שנותנין לו נותן לתוכה, ולא נפל שום דבר אלא מיד חנוני </w:t>
      </w:r>
      <w:r>
        <w:rPr>
          <w:rtl/>
        </w:rPr>
        <w:t>–</w:t>
      </w:r>
      <w:r>
        <w:rPr>
          <w:rFonts w:hint="cs"/>
          <w:rtl/>
        </w:rPr>
        <w:t xml:space="preserve"> רש"י, בבא מציעא כו, ב ד"ה בין התיבה);</w:t>
      </w:r>
    </w:p>
    <w:p w:rsidR="007105AB" w:rsidRDefault="007105AB" w:rsidP="007105AB">
      <w:pPr>
        <w:spacing w:line="280" w:lineRule="exact"/>
        <w:ind w:left="720" w:right="1260"/>
        <w:jc w:val="both"/>
        <w:rPr>
          <w:rFonts w:hint="cs"/>
          <w:rtl/>
        </w:rPr>
      </w:pPr>
    </w:p>
    <w:p w:rsidR="007105AB" w:rsidRDefault="007105AB" w:rsidP="007105AB">
      <w:pPr>
        <w:spacing w:line="280" w:lineRule="exact"/>
        <w:ind w:left="720" w:right="1260"/>
        <w:jc w:val="both"/>
        <w:rPr>
          <w:rFonts w:hint="cs"/>
          <w:rtl/>
        </w:rPr>
      </w:pPr>
      <w:r>
        <w:rPr>
          <w:rFonts w:hint="cs"/>
          <w:rtl/>
        </w:rPr>
        <w:t xml:space="preserve">(מצא) לפני שלחני (= מחליף מעות, ונותן מטבעותיו בשלחן שלפניו, והבאין להחליף אף הן נותנין שם מעותיהן </w:t>
      </w:r>
      <w:r>
        <w:rPr>
          <w:rtl/>
        </w:rPr>
        <w:t>–</w:t>
      </w:r>
      <w:r>
        <w:rPr>
          <w:rFonts w:hint="cs"/>
          <w:rtl/>
        </w:rPr>
        <w:t xml:space="preserve"> רש"י) </w:t>
      </w:r>
      <w:r>
        <w:rPr>
          <w:rtl/>
        </w:rPr>
        <w:t>–</w:t>
      </w:r>
      <w:r>
        <w:rPr>
          <w:rFonts w:hint="cs"/>
          <w:rtl/>
        </w:rPr>
        <w:t xml:space="preserve"> הרי אלו שלו (= דאמרינן מן הבאין נפלו, שהרי שלחן מפסיק בין שולחני למעות שנמצאו; ואם מן השלחני נפלו </w:t>
      </w:r>
      <w:r>
        <w:rPr>
          <w:rtl/>
        </w:rPr>
        <w:t>–</w:t>
      </w:r>
      <w:r>
        <w:rPr>
          <w:rFonts w:hint="cs"/>
          <w:rtl/>
        </w:rPr>
        <w:t xml:space="preserve"> היה להם להמצא בינו לכסא שהשולחן מונח עליו </w:t>
      </w:r>
      <w:r>
        <w:rPr>
          <w:rtl/>
        </w:rPr>
        <w:t>–</w:t>
      </w:r>
      <w:r>
        <w:rPr>
          <w:rFonts w:hint="cs"/>
          <w:rtl/>
        </w:rPr>
        <w:t xml:space="preserve"> רש"י); בין הכסא ולשולחני </w:t>
      </w:r>
      <w:r>
        <w:rPr>
          <w:rtl/>
        </w:rPr>
        <w:t>–</w:t>
      </w:r>
      <w:r>
        <w:rPr>
          <w:rFonts w:hint="cs"/>
          <w:rtl/>
        </w:rPr>
        <w:t xml:space="preserve"> הרי אלו של שולחני".</w:t>
      </w:r>
    </w:p>
    <w:p w:rsidR="007105AB" w:rsidRDefault="007105AB" w:rsidP="0070142F">
      <w:pPr>
        <w:spacing w:line="280" w:lineRule="exact"/>
        <w:ind w:left="360"/>
        <w:jc w:val="both"/>
        <w:rPr>
          <w:rFonts w:hint="cs"/>
          <w:rtl/>
        </w:rPr>
      </w:pPr>
    </w:p>
    <w:p w:rsidR="007105AB" w:rsidRDefault="007105AB" w:rsidP="0070142F">
      <w:pPr>
        <w:spacing w:line="280" w:lineRule="exact"/>
        <w:ind w:left="360"/>
        <w:jc w:val="both"/>
        <w:rPr>
          <w:rFonts w:hint="cs"/>
          <w:rtl/>
        </w:rPr>
      </w:pPr>
      <w:r>
        <w:rPr>
          <w:rFonts w:hint="cs"/>
          <w:rtl/>
        </w:rPr>
        <w:t xml:space="preserve">מעות שנמצאו בחנות שבה נמכרים דרים שונים או בחנות שבה מחליף השולחני מעות (כך הוא הנוסח ברמב"ם, הלכות גזילה ואבידה, טז, ה "בחנות השלחני"), הרי אם מצאם בחלק שבו מצוי הקהל שבא לקנות או להחליף המעות, דהיינו בין התיבה או הכסא </w:t>
      </w:r>
      <w:r>
        <w:rPr>
          <w:rFonts w:hint="cs"/>
          <w:b/>
          <w:bCs/>
          <w:rtl/>
        </w:rPr>
        <w:t>ולחוץ</w:t>
      </w:r>
      <w:r>
        <w:rPr>
          <w:rFonts w:hint="cs"/>
          <w:rtl/>
        </w:rPr>
        <w:t xml:space="preserve">, יש להניח שאבדו לאחד מן הקונים ואזי זוכה מהם המוצא ולא בעל החנות; אם נמצאו בין התיבה ולפנים, לצד השולחני או החנוני </w:t>
      </w:r>
      <w:r>
        <w:rPr>
          <w:rtl/>
        </w:rPr>
        <w:t>–</w:t>
      </w:r>
      <w:r>
        <w:rPr>
          <w:rFonts w:hint="cs"/>
          <w:rtl/>
        </w:rPr>
        <w:t xml:space="preserve"> הרי אלו של החנווני או השולחני כי יש להניח שהם נפלו מהחנווני והשולחני.</w:t>
      </w:r>
    </w:p>
    <w:p w:rsidR="007105AB" w:rsidRDefault="007105AB" w:rsidP="0070142F">
      <w:pPr>
        <w:spacing w:line="280" w:lineRule="exact"/>
        <w:ind w:left="360"/>
        <w:jc w:val="both"/>
        <w:rPr>
          <w:rFonts w:hint="cs"/>
          <w:rtl/>
        </w:rPr>
      </w:pPr>
    </w:p>
    <w:p w:rsidR="007105AB" w:rsidRDefault="007105AB" w:rsidP="0070142F">
      <w:pPr>
        <w:spacing w:line="280" w:lineRule="exact"/>
        <w:ind w:left="360"/>
        <w:jc w:val="both"/>
        <w:rPr>
          <w:rFonts w:hint="cs"/>
          <w:rtl/>
        </w:rPr>
      </w:pPr>
      <w:r>
        <w:rPr>
          <w:rFonts w:hint="cs"/>
          <w:rtl/>
        </w:rPr>
        <w:t xml:space="preserve">בתלמוד נאמר כי גם כאשר המעות נמצאו על </w:t>
      </w:r>
      <w:r>
        <w:rPr>
          <w:rFonts w:hint="cs"/>
          <w:b/>
          <w:bCs/>
          <w:rtl/>
        </w:rPr>
        <w:t>גבי</w:t>
      </w:r>
      <w:r>
        <w:rPr>
          <w:rFonts w:hint="cs"/>
          <w:rtl/>
        </w:rPr>
        <w:t xml:space="preserve"> השולחן </w:t>
      </w:r>
      <w:r>
        <w:rPr>
          <w:rtl/>
        </w:rPr>
        <w:t>–</w:t>
      </w:r>
      <w:r>
        <w:rPr>
          <w:rFonts w:hint="cs"/>
          <w:rtl/>
        </w:rPr>
        <w:t xml:space="preserve"> שייכים הם למוצא (בבא מציעא, שם), ולדעתם של רוב הפוסקים כך הוא הדין גם במקרה שהמעות נמצאו על </w:t>
      </w:r>
      <w:r>
        <w:rPr>
          <w:rFonts w:hint="cs"/>
          <w:b/>
          <w:bCs/>
          <w:rtl/>
        </w:rPr>
        <w:t>גבי</w:t>
      </w:r>
      <w:r>
        <w:rPr>
          <w:rFonts w:hint="cs"/>
          <w:rtl/>
        </w:rPr>
        <w:t xml:space="preserve"> התיבה שאצל החנווני (רמב"ם, שם, הלכה ד; שו"ע, חו"מ, סימן רס, סעיף ה). </w:t>
      </w:r>
      <w:r w:rsidR="002D1E2B">
        <w:rPr>
          <w:rFonts w:hint="cs"/>
          <w:rtl/>
        </w:rPr>
        <w:t>רבי יעקב בעל הטורים מבחין בין שני המקרים, ומענינת היא הנמקתו:</w:t>
      </w:r>
    </w:p>
    <w:p w:rsidR="002D1E2B" w:rsidRDefault="002D1E2B" w:rsidP="0070142F">
      <w:pPr>
        <w:spacing w:line="280" w:lineRule="exact"/>
        <w:ind w:left="360"/>
        <w:jc w:val="both"/>
        <w:rPr>
          <w:rFonts w:hint="cs"/>
          <w:rtl/>
        </w:rPr>
      </w:pPr>
    </w:p>
    <w:p w:rsidR="002D1E2B" w:rsidRDefault="002D1E2B" w:rsidP="002D1E2B">
      <w:pPr>
        <w:spacing w:line="280" w:lineRule="exact"/>
        <w:ind w:left="720" w:right="1260"/>
        <w:jc w:val="both"/>
        <w:rPr>
          <w:rFonts w:hint="cs"/>
          <w:rtl/>
        </w:rPr>
      </w:pPr>
      <w:r>
        <w:rPr>
          <w:rFonts w:hint="cs"/>
          <w:rtl/>
        </w:rPr>
        <w:t xml:space="preserve">"המוצא בחנות בין התיבה לחנוני הרי הוא של החנוני; ובשאר כל החנות </w:t>
      </w:r>
      <w:r>
        <w:rPr>
          <w:rtl/>
        </w:rPr>
        <w:t>–</w:t>
      </w:r>
      <w:r>
        <w:rPr>
          <w:rFonts w:hint="cs"/>
          <w:rtl/>
        </w:rPr>
        <w:t xml:space="preserve"> הרי הוא של מוצאו;</w:t>
      </w:r>
    </w:p>
    <w:p w:rsidR="002D1E2B" w:rsidRDefault="002D1E2B" w:rsidP="002D1E2B">
      <w:pPr>
        <w:spacing w:line="280" w:lineRule="exact"/>
        <w:ind w:left="720" w:right="1260"/>
        <w:jc w:val="both"/>
        <w:rPr>
          <w:rFonts w:hint="cs"/>
          <w:rtl/>
        </w:rPr>
      </w:pPr>
    </w:p>
    <w:p w:rsidR="002D1E2B" w:rsidRDefault="002D1E2B" w:rsidP="002D1E2B">
      <w:pPr>
        <w:spacing w:line="280" w:lineRule="exact"/>
        <w:ind w:left="720" w:right="1260"/>
        <w:jc w:val="both"/>
        <w:rPr>
          <w:rFonts w:hint="cs"/>
          <w:rtl/>
        </w:rPr>
      </w:pPr>
      <w:r>
        <w:rPr>
          <w:rFonts w:hint="cs"/>
          <w:rtl/>
        </w:rPr>
        <w:t>המוצא מעות בין כסא לשלחני, הרי הם של שלחני; והנמצא אפילו על השלחן הוא של מוצאו ואין צריך לומר לפני השלחן לצד חוץ;</w:t>
      </w:r>
    </w:p>
    <w:p w:rsidR="002D1E2B" w:rsidRDefault="002D1E2B" w:rsidP="002D1E2B">
      <w:pPr>
        <w:spacing w:line="280" w:lineRule="exact"/>
        <w:ind w:left="720" w:right="1260"/>
        <w:jc w:val="both"/>
        <w:rPr>
          <w:rFonts w:hint="cs"/>
          <w:rtl/>
        </w:rPr>
      </w:pPr>
    </w:p>
    <w:p w:rsidR="002D1E2B" w:rsidRDefault="002D1E2B" w:rsidP="002D1E2B">
      <w:pPr>
        <w:spacing w:line="280" w:lineRule="exact"/>
        <w:ind w:left="720" w:right="1260"/>
        <w:jc w:val="both"/>
        <w:rPr>
          <w:rFonts w:hint="cs"/>
          <w:rtl/>
        </w:rPr>
      </w:pPr>
      <w:r>
        <w:rPr>
          <w:rFonts w:hint="cs"/>
          <w:rtl/>
        </w:rPr>
        <w:t>והרמב"ם ז"ל כתב: דבחנות גם כן, הנמצא על התיבה של מוצאו;</w:t>
      </w:r>
    </w:p>
    <w:p w:rsidR="002D1E2B" w:rsidRDefault="002D1E2B" w:rsidP="002D1E2B">
      <w:pPr>
        <w:spacing w:line="280" w:lineRule="exact"/>
        <w:ind w:left="720" w:right="1260"/>
        <w:jc w:val="both"/>
        <w:rPr>
          <w:rFonts w:hint="cs"/>
          <w:rtl/>
        </w:rPr>
      </w:pPr>
    </w:p>
    <w:p w:rsidR="002D1E2B" w:rsidRDefault="002D1E2B" w:rsidP="002D1E2B">
      <w:pPr>
        <w:spacing w:line="280" w:lineRule="exact"/>
        <w:ind w:left="720" w:right="1260"/>
        <w:jc w:val="both"/>
        <w:rPr>
          <w:rFonts w:hint="cs"/>
          <w:rtl/>
        </w:rPr>
      </w:pPr>
      <w:r>
        <w:rPr>
          <w:rFonts w:hint="cs"/>
          <w:rtl/>
        </w:rPr>
        <w:t xml:space="preserve">ואיןנו נראה כך מתוך הגמרא אלא הוא של החנווני; וטעמא </w:t>
      </w:r>
      <w:r>
        <w:rPr>
          <w:rtl/>
        </w:rPr>
        <w:t>–</w:t>
      </w:r>
      <w:r>
        <w:rPr>
          <w:rFonts w:hint="cs"/>
          <w:rtl/>
        </w:rPr>
        <w:t xml:space="preserve"> שדרך הבאים להחליף ליתן מעותיהן על השלחן, מה שאין כן בחנות, שאין דרך הבאים לקנות ליתן חפציהם על התיבה" (טור, חו"מ, סימן רס, סעיפים ד-ה).</w:t>
      </w:r>
    </w:p>
    <w:p w:rsidR="002D1E2B" w:rsidRDefault="00470AA5" w:rsidP="0070142F">
      <w:pPr>
        <w:spacing w:line="280" w:lineRule="exact"/>
        <w:ind w:left="360"/>
        <w:jc w:val="both"/>
        <w:rPr>
          <w:rFonts w:hint="cs"/>
          <w:rtl/>
        </w:rPr>
      </w:pPr>
      <w:r>
        <w:rPr>
          <w:rtl/>
        </w:rPr>
        <w:br w:type="page"/>
      </w:r>
    </w:p>
    <w:p w:rsidR="00470AA5" w:rsidRDefault="00470AA5" w:rsidP="0070142F">
      <w:pPr>
        <w:spacing w:line="280" w:lineRule="exact"/>
        <w:ind w:left="360"/>
        <w:jc w:val="both"/>
        <w:rPr>
          <w:rFonts w:hint="cs"/>
          <w:rtl/>
        </w:rPr>
      </w:pPr>
      <w:r>
        <w:rPr>
          <w:rFonts w:hint="cs"/>
          <w:rtl/>
        </w:rPr>
        <w:t>כלומר, בחנות המוכר הוא ששם את החפצים שלו על השולחן כדי להציעם לקונה ולכן מה שעל השולחן הוא של הח</w:t>
      </w:r>
      <w:r w:rsidR="001C560C">
        <w:rPr>
          <w:rFonts w:hint="cs"/>
          <w:rtl/>
        </w:rPr>
        <w:t>נ</w:t>
      </w:r>
      <w:r>
        <w:rPr>
          <w:rFonts w:hint="cs"/>
          <w:rtl/>
        </w:rPr>
        <w:t xml:space="preserve">ווני. מה שאין כן בשולחני; האדם הבא מבחוץ להחליף מעותיו הוא אשר שם את המעות על השולחן ומראה אותם לשולחני, ולכן המעות שעל גבי השולחן הם של המוצא ולא של השולחני. </w:t>
      </w:r>
    </w:p>
    <w:p w:rsidR="00470AA5" w:rsidRDefault="00470AA5" w:rsidP="0070142F">
      <w:pPr>
        <w:spacing w:line="280" w:lineRule="exact"/>
        <w:ind w:left="360"/>
        <w:jc w:val="both"/>
        <w:rPr>
          <w:rFonts w:hint="cs"/>
          <w:rtl/>
        </w:rPr>
      </w:pPr>
    </w:p>
    <w:p w:rsidR="00470AA5" w:rsidRDefault="00470AA5" w:rsidP="0070142F">
      <w:pPr>
        <w:spacing w:line="280" w:lineRule="exact"/>
        <w:ind w:left="360"/>
        <w:jc w:val="both"/>
        <w:rPr>
          <w:rFonts w:hint="cs"/>
          <w:rtl/>
        </w:rPr>
      </w:pPr>
      <w:r>
        <w:rPr>
          <w:rFonts w:hint="cs"/>
          <w:rtl/>
        </w:rPr>
        <w:t xml:space="preserve">עד כאן לענין אבידה שנמצאה ברשות היחיד, במקום כזה </w:t>
      </w:r>
      <w:r w:rsidR="001C560C">
        <w:rPr>
          <w:rFonts w:hint="cs"/>
          <w:rtl/>
        </w:rPr>
        <w:t xml:space="preserve">שיש להניח שהיא אבדה לבעל הרשות </w:t>
      </w:r>
      <w:r>
        <w:rPr>
          <w:rFonts w:hint="cs"/>
          <w:rtl/>
        </w:rPr>
        <w:t>ושייכת היא לו. המפרשים והפוסקים דנים ושואלים</w:t>
      </w:r>
      <w:r w:rsidR="001C560C">
        <w:rPr>
          <w:rFonts w:hint="cs"/>
          <w:rtl/>
        </w:rPr>
        <w:t xml:space="preserve"> </w:t>
      </w:r>
      <w:r w:rsidR="001C560C">
        <w:rPr>
          <w:rtl/>
        </w:rPr>
        <w:t>–</w:t>
      </w:r>
      <w:r w:rsidR="001C560C">
        <w:rPr>
          <w:rFonts w:hint="cs"/>
          <w:rtl/>
        </w:rPr>
        <w:t xml:space="preserve"> גם כאשר נמצאה האבידה באותו חלק של החנות שבו יש להניח שהאבידה לא נפלה מבעל המקום אלא מאחד מאלה שבאים מן החוץ, משום מה שייכת האבידה במקרה זה למוצא, הרי היא נמצאה ברשות היחיד של בעל החנות או השולחני ורשותו זכתה לו </w:t>
      </w:r>
      <w:r w:rsidR="001C560C">
        <w:rPr>
          <w:rFonts w:hint="cs"/>
          <w:b/>
          <w:bCs/>
          <w:rtl/>
        </w:rPr>
        <w:t>לפני</w:t>
      </w:r>
      <w:r w:rsidR="001C560C">
        <w:rPr>
          <w:rFonts w:hint="cs"/>
          <w:rtl/>
        </w:rPr>
        <w:t xml:space="preserve"> שהמוצא מצא את האבידה? וכך מנוסחת השאלה, והתשובה עליה, ברמב"ם:</w:t>
      </w:r>
    </w:p>
    <w:p w:rsidR="001C560C" w:rsidRDefault="001C560C" w:rsidP="0070142F">
      <w:pPr>
        <w:spacing w:line="280" w:lineRule="exact"/>
        <w:ind w:left="360"/>
        <w:jc w:val="both"/>
        <w:rPr>
          <w:rFonts w:hint="cs"/>
          <w:rtl/>
        </w:rPr>
      </w:pPr>
    </w:p>
    <w:p w:rsidR="001C560C" w:rsidRDefault="001C560C" w:rsidP="001C560C">
      <w:pPr>
        <w:spacing w:line="280" w:lineRule="exact"/>
        <w:ind w:left="720" w:right="1260"/>
        <w:jc w:val="both"/>
        <w:rPr>
          <w:rFonts w:hint="cs"/>
          <w:rtl/>
        </w:rPr>
      </w:pPr>
      <w:r>
        <w:rPr>
          <w:rFonts w:hint="cs"/>
          <w:rtl/>
        </w:rPr>
        <w:t>"ולמה לא תקנה החנות לבעליה? לפי שאינה חצר המשתמרת" (רמב"ם, שם, טז, ד, וכן ראה רמב"ם, שם, יז, ח);</w:t>
      </w:r>
    </w:p>
    <w:p w:rsidR="001C560C" w:rsidRDefault="001C560C" w:rsidP="0070142F">
      <w:pPr>
        <w:spacing w:line="280" w:lineRule="exact"/>
        <w:ind w:left="360"/>
        <w:jc w:val="both"/>
        <w:rPr>
          <w:rFonts w:hint="cs"/>
          <w:rtl/>
        </w:rPr>
      </w:pPr>
    </w:p>
    <w:p w:rsidR="001C560C" w:rsidRDefault="001C560C" w:rsidP="0070142F">
      <w:pPr>
        <w:spacing w:line="280" w:lineRule="exact"/>
        <w:ind w:left="360"/>
        <w:jc w:val="both"/>
        <w:rPr>
          <w:rFonts w:hint="cs"/>
          <w:rtl/>
        </w:rPr>
      </w:pPr>
      <w:r>
        <w:rPr>
          <w:rFonts w:hint="cs"/>
          <w:rtl/>
        </w:rPr>
        <w:t xml:space="preserve">כלומר, רשותו של אדם קונה לו רק אם היא בשליטתו ומשתמרת, אבל כאן זוהי, בלשונו של הרשב"א </w:t>
      </w:r>
      <w:r>
        <w:rPr>
          <w:rtl/>
        </w:rPr>
        <w:t>–</w:t>
      </w:r>
    </w:p>
    <w:p w:rsidR="001C560C" w:rsidRDefault="001C560C" w:rsidP="0070142F">
      <w:pPr>
        <w:spacing w:line="280" w:lineRule="exact"/>
        <w:ind w:left="360"/>
        <w:jc w:val="both"/>
        <w:rPr>
          <w:rFonts w:hint="cs"/>
          <w:rtl/>
        </w:rPr>
      </w:pPr>
    </w:p>
    <w:p w:rsidR="001C560C" w:rsidRDefault="001C560C" w:rsidP="001C560C">
      <w:pPr>
        <w:spacing w:line="280" w:lineRule="exact"/>
        <w:ind w:left="720" w:right="1260"/>
        <w:jc w:val="both"/>
        <w:rPr>
          <w:rFonts w:hint="cs"/>
          <w:rtl/>
        </w:rPr>
      </w:pPr>
      <w:r>
        <w:rPr>
          <w:rFonts w:hint="cs"/>
          <w:rtl/>
        </w:rPr>
        <w:t xml:space="preserve">"חצר שאינה משתמרת... דהיא רשות הרבים, שהחנוני רוצה הוא בכניסת הרבים שיקנו ממנו, והרי היא כרשות הרבים" (רשב"א </w:t>
      </w:r>
      <w:r>
        <w:rPr>
          <w:rtl/>
        </w:rPr>
        <w:t>–</w:t>
      </w:r>
      <w:r>
        <w:rPr>
          <w:rFonts w:hint="cs"/>
          <w:rtl/>
        </w:rPr>
        <w:t xml:space="preserve"> ר' שלמה בר' אברהם אדרת, ספרד, סוף המאה השלוש-עשרה </w:t>
      </w:r>
      <w:r>
        <w:rPr>
          <w:rtl/>
        </w:rPr>
        <w:t>–</w:t>
      </w:r>
      <w:r>
        <w:rPr>
          <w:rFonts w:hint="cs"/>
          <w:rtl/>
        </w:rPr>
        <w:t xml:space="preserve"> במובא בשיטה מקובצת בבא מציעא, כו, ב, ד"ה מתניתין מצא בחנות וכו')."</w:t>
      </w:r>
    </w:p>
    <w:p w:rsidR="001C560C" w:rsidRDefault="001C560C" w:rsidP="0070142F">
      <w:pPr>
        <w:spacing w:line="280" w:lineRule="exact"/>
        <w:ind w:left="360"/>
        <w:jc w:val="both"/>
        <w:rPr>
          <w:rFonts w:hint="cs"/>
          <w:rtl/>
        </w:rPr>
      </w:pPr>
    </w:p>
    <w:p w:rsidR="001C560C" w:rsidRDefault="001C560C" w:rsidP="0070142F">
      <w:pPr>
        <w:spacing w:line="280" w:lineRule="exact"/>
        <w:ind w:left="360"/>
        <w:jc w:val="both"/>
        <w:rPr>
          <w:rFonts w:hint="cs"/>
          <w:rtl/>
        </w:rPr>
      </w:pPr>
      <w:r>
        <w:rPr>
          <w:rFonts w:hint="cs"/>
          <w:rtl/>
        </w:rPr>
        <w:t>והיטיב להסביר את הדבר ר' אשר בר' יחיאל, הרש"א, בן דורו של הרשב"א:</w:t>
      </w:r>
    </w:p>
    <w:p w:rsidR="001C560C" w:rsidRDefault="001C560C" w:rsidP="0070142F">
      <w:pPr>
        <w:spacing w:line="280" w:lineRule="exact"/>
        <w:ind w:left="360"/>
        <w:jc w:val="both"/>
        <w:rPr>
          <w:rFonts w:hint="cs"/>
          <w:rtl/>
        </w:rPr>
      </w:pPr>
    </w:p>
    <w:p w:rsidR="001C560C" w:rsidRDefault="001C560C" w:rsidP="001C560C">
      <w:pPr>
        <w:spacing w:line="280" w:lineRule="exact"/>
        <w:ind w:left="720" w:right="1260"/>
        <w:jc w:val="both"/>
        <w:rPr>
          <w:rFonts w:hint="cs"/>
          <w:rtl/>
        </w:rPr>
      </w:pPr>
      <w:r>
        <w:rPr>
          <w:rFonts w:hint="cs"/>
          <w:rtl/>
        </w:rPr>
        <w:t>"וחצירו לא קנתה, דלא סמכא דעתיה, כיון דרבים נכנסין ויוצאין. ואפילו איתיה בחנות (= אפילו ישנו בעל החנות בחנות), לא מהני עומד בצד חצירו אלא היכא דמצי לשומרו ויכול לעכב שלא יטלוהו אחרים; אבל הכא כיון דלא ידע דאיתיה שם (= בעל החנות אינו יודע שהאבידה מצויה בחנותו) ורבים מציין שם לא קניא ליה חצירו". (פסקי הרש"א, בבא מציעא, פרק ב, סימן י).</w:t>
      </w:r>
    </w:p>
    <w:p w:rsidR="001C560C" w:rsidRDefault="001C560C" w:rsidP="0070142F">
      <w:pPr>
        <w:spacing w:line="280" w:lineRule="exact"/>
        <w:ind w:left="360"/>
        <w:jc w:val="both"/>
        <w:rPr>
          <w:rFonts w:hint="cs"/>
          <w:rtl/>
        </w:rPr>
      </w:pPr>
    </w:p>
    <w:p w:rsidR="001C560C" w:rsidRDefault="001C560C" w:rsidP="0070142F">
      <w:pPr>
        <w:spacing w:line="280" w:lineRule="exact"/>
        <w:ind w:left="360"/>
        <w:jc w:val="both"/>
        <w:rPr>
          <w:rFonts w:hint="cs"/>
          <w:rtl/>
        </w:rPr>
      </w:pPr>
      <w:r>
        <w:rPr>
          <w:rFonts w:hint="cs"/>
          <w:rtl/>
        </w:rPr>
        <w:t>עיקרון זה בדבר רשותו של אדם שאינה זוכה לו אלא אם משתמרת היא, היינו שנתונה לשליטתו ולפיקוחו, נדון רבות במפרשים (ראה אוצר מפרשי התלמוד, הוצאת מכון ירושלים, בבא מציעא, חלק ב, ע' רפח ואילך, בספרות הפוסקים והשו"ת, ולא כאן המקום להאריך. נציין עוד לדבריו של ר' שבתי כהן, מגדולי מפרשי השו"ע במחציתה של המאה השבע עשרה, המביא הלכה נוספת בשם הראבן"ן (ר' אליעזר בר' נתן, מבעלי התוספות הראשונים באשכנז, המאה השתים עשרה), בדבר ישומו של עיקרון זה:</w:t>
      </w:r>
    </w:p>
    <w:p w:rsidR="001C560C" w:rsidRDefault="00576ECA" w:rsidP="0070142F">
      <w:pPr>
        <w:spacing w:line="280" w:lineRule="exact"/>
        <w:ind w:left="360"/>
        <w:jc w:val="both"/>
        <w:rPr>
          <w:rFonts w:hint="cs"/>
          <w:rtl/>
        </w:rPr>
      </w:pPr>
      <w:r>
        <w:rPr>
          <w:rtl/>
        </w:rPr>
        <w:br w:type="page"/>
      </w:r>
    </w:p>
    <w:p w:rsidR="00576ECA" w:rsidRDefault="00576ECA" w:rsidP="00576ECA">
      <w:pPr>
        <w:spacing w:line="280" w:lineRule="exact"/>
        <w:ind w:left="720" w:right="1260"/>
        <w:jc w:val="both"/>
        <w:rPr>
          <w:rFonts w:hint="cs"/>
          <w:rtl/>
        </w:rPr>
      </w:pPr>
      <w:r>
        <w:rPr>
          <w:rFonts w:hint="cs"/>
          <w:rtl/>
        </w:rPr>
        <w:t xml:space="preserve">"וכתב, ונראה לי, דבתים שלנו שהרבים דורסים בהן ומצא שם, הרי הוא שלו, דדומה לחנות הוא, ותנן: מצא בחנות </w:t>
      </w:r>
      <w:r>
        <w:rPr>
          <w:rtl/>
        </w:rPr>
        <w:t>–</w:t>
      </w:r>
      <w:r>
        <w:rPr>
          <w:rFonts w:hint="cs"/>
          <w:rtl/>
        </w:rPr>
        <w:t xml:space="preserve"> הרי הוא שלו, משום דרבים מצוים שם, ולא קניא ליה חנותו" (ש"ך על שו"ע, חו"מ, סימן רס, סעיף קטן יח).</w:t>
      </w:r>
    </w:p>
    <w:p w:rsidR="00576ECA" w:rsidRDefault="00576ECA" w:rsidP="0070142F">
      <w:pPr>
        <w:spacing w:line="280" w:lineRule="exact"/>
        <w:ind w:left="360"/>
        <w:jc w:val="both"/>
        <w:rPr>
          <w:rFonts w:hint="cs"/>
          <w:rtl/>
        </w:rPr>
      </w:pPr>
    </w:p>
    <w:p w:rsidR="00576ECA" w:rsidRPr="001C560C" w:rsidRDefault="00576ECA" w:rsidP="0070142F">
      <w:pPr>
        <w:spacing w:line="280" w:lineRule="exact"/>
        <w:ind w:left="360"/>
        <w:jc w:val="both"/>
        <w:rPr>
          <w:rFonts w:hint="cs"/>
        </w:rPr>
      </w:pPr>
      <w:r>
        <w:rPr>
          <w:rFonts w:hint="cs"/>
          <w:rtl/>
        </w:rPr>
        <w:t>לא עלה בידי לברר למה כוונת הדברים בדבר "בתים שלנו שהרבים דורסים בהן", ויתכן שהכוונה היא לחצר שלפני הבתים שפתוחה היא לרבים. על כל פנים, זוהי דוגמה נוספת ליישומו ולפיתוחו של העיקרון עליו עמדנו לעיל.</w:t>
      </w:r>
    </w:p>
    <w:p w:rsidR="0070142F" w:rsidRDefault="0070142F" w:rsidP="0070142F">
      <w:pPr>
        <w:spacing w:line="280" w:lineRule="exact"/>
        <w:jc w:val="both"/>
        <w:rPr>
          <w:rFonts w:hint="cs"/>
          <w:rtl/>
        </w:rPr>
      </w:pPr>
    </w:p>
    <w:p w:rsidR="0070142F" w:rsidRDefault="00F84A04" w:rsidP="003361CD">
      <w:pPr>
        <w:numPr>
          <w:ilvl w:val="0"/>
          <w:numId w:val="25"/>
        </w:numPr>
        <w:spacing w:line="280" w:lineRule="exact"/>
        <w:jc w:val="both"/>
        <w:rPr>
          <w:rFonts w:hint="cs"/>
        </w:rPr>
      </w:pPr>
      <w:r>
        <w:rPr>
          <w:rFonts w:hint="cs"/>
          <w:rtl/>
        </w:rPr>
        <w:t xml:space="preserve">השופט המלומד בבית-המשפט המחוזי, בפרשו את האמור </w:t>
      </w:r>
      <w:hyperlink r:id="rId97" w:history="1">
        <w:r w:rsidR="00BB26B5" w:rsidRPr="00BB26B5">
          <w:rPr>
            <w:rStyle w:val="Hyperlink"/>
            <w:rFonts w:hint="eastAsia"/>
            <w:rtl/>
          </w:rPr>
          <w:t>בסעיף</w:t>
        </w:r>
        <w:r w:rsidR="00BB26B5" w:rsidRPr="00BB26B5">
          <w:rPr>
            <w:rStyle w:val="Hyperlink"/>
            <w:rtl/>
          </w:rPr>
          <w:t xml:space="preserve"> 3</w:t>
        </w:r>
      </w:hyperlink>
      <w:r>
        <w:rPr>
          <w:rFonts w:hint="cs"/>
          <w:rtl/>
        </w:rPr>
        <w:t xml:space="preserve"> לחוק, נזקק, בין היתר, לדיני המשפט העברי; ויפה עשה, כמפורט וכמבואר בדברינו לעיל. להבהרת עמדתו של המשפט העברי בעניננו הגיש בא-כוחו המלומד של המבקש (המשיב דנן) שלוש חוות דעת של פוסקים בני זמננו ובהן מובא דיון במקורות המשפט העברי לבירור עמדתו של המשפט העברי בשאלה כגון זו המתעורר בעניננו. על כך נאמר בפסק-דינו של בית המשפט המחוזי:</w:t>
      </w:r>
    </w:p>
    <w:p w:rsidR="00F84A04" w:rsidRDefault="00F84A04" w:rsidP="00F84A04">
      <w:pPr>
        <w:spacing w:line="280" w:lineRule="exact"/>
        <w:ind w:left="360"/>
        <w:jc w:val="both"/>
        <w:rPr>
          <w:rFonts w:hint="cs"/>
          <w:rtl/>
        </w:rPr>
      </w:pPr>
    </w:p>
    <w:p w:rsidR="00F84A04" w:rsidRDefault="00F84A04" w:rsidP="00F84A04">
      <w:pPr>
        <w:spacing w:line="280" w:lineRule="exact"/>
        <w:ind w:left="720" w:right="1260"/>
        <w:jc w:val="both"/>
        <w:rPr>
          <w:rFonts w:hint="cs"/>
          <w:rtl/>
        </w:rPr>
      </w:pPr>
      <w:r>
        <w:rPr>
          <w:rFonts w:hint="cs"/>
          <w:rtl/>
        </w:rPr>
        <w:t>"במהלך הדיון לפני הוגשו לי על-ידי עורך דין שרשבסקי שלש חוות דעת של פוסקים ידועים בעלי שעור קומה בימינו בדבר המצב ההלכתי בסוגיה זאת... בא-כח הבנק, עורך דין ברוש, הסתייגה מהגשת חוות דעת אלו, אך לא ירדתי לסוף דעתה. מעשה ביום (צ"ל יום) יום הוא שבית משפט נזקק ונעזר בספרות שו"ת לפתרון בעיה המעסיקה אותו, והאם כשמדובר הוא בפוסקים בני דורנו הענין פסול?"</w:t>
      </w:r>
    </w:p>
    <w:p w:rsidR="00F84A04" w:rsidRDefault="00F84A04" w:rsidP="00F84A04">
      <w:pPr>
        <w:spacing w:line="280" w:lineRule="exact"/>
        <w:ind w:left="360"/>
        <w:jc w:val="both"/>
        <w:rPr>
          <w:rFonts w:hint="cs"/>
          <w:rtl/>
        </w:rPr>
      </w:pPr>
    </w:p>
    <w:p w:rsidR="00F84A04" w:rsidRDefault="00F84A04" w:rsidP="00F84A04">
      <w:pPr>
        <w:spacing w:line="280" w:lineRule="exact"/>
        <w:ind w:left="360"/>
        <w:jc w:val="both"/>
        <w:rPr>
          <w:rFonts w:hint="cs"/>
          <w:rtl/>
        </w:rPr>
      </w:pPr>
      <w:r>
        <w:rPr>
          <w:rFonts w:hint="cs"/>
          <w:rtl/>
        </w:rPr>
        <w:t>חברי הנכבד השופט ברק מסתייג מדעתו של בית-המשפט המחוזי: "לומדים עליה (על שיטת המשפט העברי) מתוך הספרים הפתוחים לציבור. לא נראה לי כי ראוי הוא, בנסיבות אלה, להיזקק לשאלה הנוגעת במישרין לענין נשוא המשפט, ושהוזמנה לצורכי המשפט ולתשובה הניתנת בעקבותיה".</w:t>
      </w:r>
    </w:p>
    <w:p w:rsidR="00F84A04" w:rsidRDefault="00F84A04" w:rsidP="00F84A04">
      <w:pPr>
        <w:spacing w:line="280" w:lineRule="exact"/>
        <w:ind w:left="360"/>
        <w:jc w:val="both"/>
        <w:rPr>
          <w:rFonts w:hint="cs"/>
          <w:rtl/>
        </w:rPr>
      </w:pPr>
    </w:p>
    <w:p w:rsidR="00F84A04" w:rsidRDefault="00F84A04" w:rsidP="00F84A04">
      <w:pPr>
        <w:spacing w:line="280" w:lineRule="exact"/>
        <w:ind w:left="360"/>
        <w:jc w:val="both"/>
        <w:rPr>
          <w:rFonts w:hint="cs"/>
          <w:rtl/>
        </w:rPr>
      </w:pPr>
      <w:r>
        <w:rPr>
          <w:rFonts w:hint="cs"/>
          <w:rtl/>
        </w:rPr>
        <w:t>עם כל הכבוד, הסתייגות זו של חברי אינה נראית לי. מר שרשבסקי הבהיר כי חוות הדעת מוגשות לשם הבהרת עמדת המשפט העביר ומקורותיו בשאלה העקרונית העומדת לדיון, וכך הוסיף וקבע השופט המלומד מדיליה: "החומר יתקבל כמובן כחומר משפטי, איננו מחייב, בגדר מחקר עיוני" (ע' 73 לפרוטוקול). לא זו בלבד שאין למצוא כל פגם וכל דופי בכך, אלא יש בכך כדי לקדם ולהקל על אפשרות עיונם של שופטי ישראל בדיני המשפט העברי. כידוע, יש ועיון זה כרוך ביגיעה מרובה. מדובר לא נקל על מלאכתו זו של השופט על-ידי הגשת חוות דעת של יודעי משפט עברי המבהירה עמדתו של המשפט העברי בסוגיה הנדונה? על כגון דא יש לומר כי כל המרבה לספר במשפט העברי, לתארו ולהסבירו, הרי זה משובח, וחוות דעת אלה יש בהן כדי לסייע בידי שופטי ישראל בבירורו של הדין ובפסיקתו, כפי שאכן היה בענין שלפנינו.</w:t>
      </w:r>
    </w:p>
    <w:p w:rsidR="00F84A04" w:rsidRDefault="00787BBF" w:rsidP="00F84A04">
      <w:pPr>
        <w:spacing w:line="280" w:lineRule="exact"/>
        <w:ind w:left="360"/>
        <w:jc w:val="both"/>
        <w:rPr>
          <w:rFonts w:hint="cs"/>
        </w:rPr>
      </w:pPr>
      <w:r>
        <w:rPr>
          <w:rtl/>
        </w:rPr>
        <w:br w:type="page"/>
      </w:r>
    </w:p>
    <w:p w:rsidR="00F84A04" w:rsidRDefault="006B5E0B" w:rsidP="003361CD">
      <w:pPr>
        <w:numPr>
          <w:ilvl w:val="0"/>
          <w:numId w:val="25"/>
        </w:numPr>
        <w:spacing w:line="280" w:lineRule="exact"/>
        <w:jc w:val="both"/>
        <w:rPr>
          <w:rFonts w:hint="cs"/>
        </w:rPr>
      </w:pPr>
      <w:r>
        <w:rPr>
          <w:rFonts w:hint="cs"/>
          <w:rtl/>
        </w:rPr>
        <w:t xml:space="preserve">סיכומו של דבר. עיקרו של </w:t>
      </w:r>
      <w:hyperlink r:id="rId98" w:history="1">
        <w:r w:rsidR="00CA17A5" w:rsidRPr="00CA17A5">
          <w:rPr>
            <w:rStyle w:val="Hyperlink"/>
            <w:rtl/>
          </w:rPr>
          <w:t>חוק השבת אבידה</w:t>
        </w:r>
      </w:hyperlink>
      <w:r>
        <w:rPr>
          <w:rFonts w:hint="cs"/>
          <w:rtl/>
        </w:rPr>
        <w:t xml:space="preserve"> מצוי הוא בהוראות </w:t>
      </w:r>
      <w:hyperlink r:id="rId99" w:history="1">
        <w:r w:rsidR="00BB26B5" w:rsidRPr="00BB26B5">
          <w:rPr>
            <w:rStyle w:val="Hyperlink"/>
            <w:rFonts w:hint="eastAsia"/>
            <w:rtl/>
          </w:rPr>
          <w:t>שבסעיף</w:t>
        </w:r>
        <w:r w:rsidR="00BB26B5" w:rsidRPr="00BB26B5">
          <w:rPr>
            <w:rStyle w:val="Hyperlink"/>
            <w:rtl/>
          </w:rPr>
          <w:t xml:space="preserve"> 2</w:t>
        </w:r>
      </w:hyperlink>
      <w:r>
        <w:rPr>
          <w:rFonts w:hint="cs"/>
          <w:rtl/>
        </w:rPr>
        <w:t xml:space="preserve">, והוראותיו של סעיף זה חלות הן לענין כל אבידה שנמצאה ברשות הרבים או ברשות היחיד הפתוחה לרבים. לגבי אבידה כזו הבעיה המשפטית האחת הדורשת ומחייבת פיתרון היא כיצד לעודד השבת האבידה לבעליה. </w:t>
      </w:r>
      <w:hyperlink r:id="rId100" w:history="1">
        <w:r w:rsidR="00BB26B5" w:rsidRPr="00BB26B5">
          <w:rPr>
            <w:color w:val="0000FF"/>
            <w:u w:val="single"/>
            <w:rtl/>
          </w:rPr>
          <w:t>סעיף 3</w:t>
        </w:r>
      </w:hyperlink>
      <w:r>
        <w:rPr>
          <w:rFonts w:hint="cs"/>
          <w:rtl/>
        </w:rPr>
        <w:t xml:space="preserve"> בא להשלים ההוראה הכללית </w:t>
      </w:r>
      <w:hyperlink r:id="rId101" w:history="1">
        <w:r w:rsidR="00BB26B5" w:rsidRPr="00BB26B5">
          <w:rPr>
            <w:color w:val="0000FF"/>
            <w:u w:val="single"/>
            <w:rtl/>
          </w:rPr>
          <w:t>שבסעיף 2</w:t>
        </w:r>
      </w:hyperlink>
      <w:r>
        <w:rPr>
          <w:rFonts w:hint="cs"/>
          <w:rtl/>
        </w:rPr>
        <w:t xml:space="preserve"> לענין אותם מקרים שבהם מתעוררת גם טענה משפטית של בעל המקום שבו נמצאה האבידה, היינו כאשר האבידה נמצאה ברשותו של אחר כשלאחר יש שליטה על אותה רשות והיא בבחינת חצר המשתמרת. במקרה כגון זה קובע </w:t>
      </w:r>
      <w:hyperlink r:id="rId102" w:history="1">
        <w:r w:rsidR="00BB26B5" w:rsidRPr="00BB26B5">
          <w:rPr>
            <w:color w:val="0000FF"/>
            <w:u w:val="single"/>
            <w:rtl/>
          </w:rPr>
          <w:t>סעיף 3</w:t>
        </w:r>
      </w:hyperlink>
      <w:r>
        <w:rPr>
          <w:rFonts w:hint="cs"/>
          <w:rtl/>
        </w:rPr>
        <w:t xml:space="preserve"> שיש להודיע לבעל הרשות ולמסור לו האבידה לפי דרישתו, כי באם לא יימצא בעל האבידה תהא האבידה שייכת לבעל הרשות, אם מכוח חזקת הרשות שבשליטתו ובפיקוחו ואם משום שיתכן שהדבר אבד לו. כאמור, זוהי בעיה שכל חוק הדן בדיני השבת אבידה חייב להסדירה וכך עשה גם המחוקק שלנו.</w:t>
      </w:r>
    </w:p>
    <w:p w:rsidR="006B5E0B" w:rsidRDefault="006B5E0B" w:rsidP="006B5E0B">
      <w:pPr>
        <w:spacing w:line="280" w:lineRule="exact"/>
        <w:ind w:left="360"/>
        <w:jc w:val="both"/>
        <w:rPr>
          <w:rFonts w:hint="cs"/>
          <w:rtl/>
        </w:rPr>
      </w:pPr>
    </w:p>
    <w:p w:rsidR="006B5E0B" w:rsidRDefault="006B5E0B" w:rsidP="006B5E0B">
      <w:pPr>
        <w:spacing w:line="280" w:lineRule="exact"/>
        <w:ind w:left="360"/>
        <w:jc w:val="both"/>
        <w:rPr>
          <w:rFonts w:hint="cs"/>
          <w:rtl/>
        </w:rPr>
      </w:pPr>
      <w:r>
        <w:rPr>
          <w:rFonts w:hint="cs"/>
          <w:rtl/>
        </w:rPr>
        <w:t xml:space="preserve">מן הראוי לציין כי על ענינו של המחוקק בהסדרן של בעיות משפטיות המתעוררות תוך כדי הסדר דיני השבת אבידה נימצא למדים גם מהניסוח המיוחד שנקבע </w:t>
      </w:r>
      <w:r>
        <w:rPr>
          <w:rtl/>
        </w:rPr>
        <w:t>–</w:t>
      </w:r>
      <w:r>
        <w:rPr>
          <w:rFonts w:hint="cs"/>
          <w:rtl/>
        </w:rPr>
        <w:t xml:space="preserve"> בקריאה השנייה והשלישית </w:t>
      </w:r>
      <w:r>
        <w:rPr>
          <w:rtl/>
        </w:rPr>
        <w:t>–</w:t>
      </w:r>
      <w:r>
        <w:rPr>
          <w:rFonts w:hint="cs"/>
          <w:rtl/>
        </w:rPr>
        <w:t xml:space="preserve"> </w:t>
      </w:r>
      <w:hyperlink r:id="rId103" w:history="1">
        <w:r w:rsidR="00BB26B5" w:rsidRPr="00BB26B5">
          <w:rPr>
            <w:color w:val="0000FF"/>
            <w:u w:val="single"/>
            <w:rtl/>
          </w:rPr>
          <w:t>לסעיף 4</w:t>
        </w:r>
      </w:hyperlink>
      <w:r>
        <w:rPr>
          <w:rFonts w:hint="cs"/>
          <w:rtl/>
        </w:rPr>
        <w:t xml:space="preserve"> של החוק. וכך נאמר </w:t>
      </w:r>
      <w:hyperlink r:id="rId104" w:history="1">
        <w:r w:rsidR="00BB26B5" w:rsidRPr="00BB26B5">
          <w:rPr>
            <w:color w:val="0000FF"/>
            <w:u w:val="single"/>
            <w:rtl/>
          </w:rPr>
          <w:t>בסעיף 4(א)</w:t>
        </w:r>
      </w:hyperlink>
      <w:r>
        <w:rPr>
          <w:rFonts w:hint="cs"/>
          <w:rtl/>
        </w:rPr>
        <w:t xml:space="preserve">: "קיים המוצא הוראות </w:t>
      </w:r>
      <w:hyperlink r:id="rId105" w:history="1">
        <w:r w:rsidR="00BB26B5" w:rsidRPr="00BB26B5">
          <w:rPr>
            <w:color w:val="0000FF"/>
            <w:u w:val="single"/>
            <w:rtl/>
          </w:rPr>
          <w:t>סעיף 2</w:t>
        </w:r>
      </w:hyperlink>
      <w:r>
        <w:rPr>
          <w:rFonts w:hint="cs"/>
          <w:rtl/>
        </w:rPr>
        <w:t xml:space="preserve"> ולא נתגלה בעל האבידה תוך ארבעה חדשים, יראו כאילו התייאש ממנה והמוצא יהיה לבעל האבידה;" (וכן הוא </w:t>
      </w:r>
      <w:hyperlink r:id="rId106" w:history="1">
        <w:r w:rsidR="00BB26B5" w:rsidRPr="00BB26B5">
          <w:rPr>
            <w:color w:val="0000FF"/>
            <w:u w:val="single"/>
            <w:rtl/>
          </w:rPr>
          <w:t>בסעיף 4(ב)</w:t>
        </w:r>
      </w:hyperlink>
      <w:r>
        <w:rPr>
          <w:rFonts w:hint="cs"/>
          <w:rtl/>
        </w:rPr>
        <w:t xml:space="preserve"> לחוק). נוסח זה "יראו כאילו התייאש ממנה" לא מצוי היה בהצעת החוק, ובהביא חבר הכנסת ביבי את החוק לקריאה שנייה ושלישית מסביר הוא ואומר:</w:t>
      </w:r>
    </w:p>
    <w:p w:rsidR="006B5E0B" w:rsidRDefault="006B5E0B" w:rsidP="006B5E0B">
      <w:pPr>
        <w:spacing w:line="280" w:lineRule="exact"/>
        <w:ind w:left="360"/>
        <w:jc w:val="both"/>
        <w:rPr>
          <w:rFonts w:hint="cs"/>
          <w:rtl/>
        </w:rPr>
      </w:pPr>
    </w:p>
    <w:p w:rsidR="006B5E0B" w:rsidRDefault="006B5E0B" w:rsidP="006B5E0B">
      <w:pPr>
        <w:spacing w:line="280" w:lineRule="exact"/>
        <w:ind w:left="720" w:right="1260"/>
        <w:jc w:val="both"/>
        <w:rPr>
          <w:rFonts w:hint="cs"/>
          <w:rtl/>
        </w:rPr>
      </w:pPr>
      <w:r>
        <w:rPr>
          <w:rFonts w:hint="cs"/>
          <w:rtl/>
        </w:rPr>
        <w:t xml:space="preserve">"רוב חברי הוועדה החליטו להוסיף לסעיף זה את הבסיס החוקי לזכייה </w:t>
      </w:r>
      <w:r w:rsidR="00E14364">
        <w:rPr>
          <w:rFonts w:hint="cs"/>
          <w:rtl/>
        </w:rPr>
        <w:t>באבידה על-ידי פרסומציה שאינה ניתנת לסתירה, שבתום התקופה האמורה בחוק יש לראות את הבעל כאילו התייאש מהאבידה, ואז המוצא יזכה בה או המדינה תזכה בה. היאוש מהאבידה הוא עקרון שגם המשפט העברי רואה אותו כמספיק להפקעת הבעלות של הבעל הקודם והקנייתה לבעל החדש, למוצא".</w:t>
      </w:r>
    </w:p>
    <w:p w:rsidR="006B5E0B" w:rsidRDefault="006B5E0B" w:rsidP="006B5E0B">
      <w:pPr>
        <w:spacing w:line="280" w:lineRule="exact"/>
        <w:ind w:left="360"/>
        <w:jc w:val="both"/>
        <w:rPr>
          <w:rFonts w:hint="cs"/>
          <w:rtl/>
        </w:rPr>
      </w:pPr>
    </w:p>
    <w:p w:rsidR="00E14364" w:rsidRDefault="00E14364" w:rsidP="006B5E0B">
      <w:pPr>
        <w:spacing w:line="280" w:lineRule="exact"/>
        <w:ind w:left="360"/>
        <w:jc w:val="both"/>
        <w:rPr>
          <w:rFonts w:hint="cs"/>
          <w:rtl/>
        </w:rPr>
      </w:pPr>
      <w:r>
        <w:rPr>
          <w:rFonts w:hint="cs"/>
          <w:rtl/>
        </w:rPr>
        <w:t xml:space="preserve">ניסוח מיוחד זה, כשם שבא הוא ללמדנו על ענינו של המחוקק להסדרן של בעיות משפטיות המתעוררות בהוראותיו בדיני השבת אבידה, כך חוזר ומעמיד הוא אותנו על זיקתו של החוק לעקרונות המשפט העברי. ולשיטה אחרונה אוסיף ואציין כי קשר זה שבין המושג "רשות" למושג השליטה והפיקוח על רשות זו מקובל הוא בעולמו של המשפט העברי והלשון העברית. כך אנו גורסים, דרך משל, בבבא קמא, דף ע, ע' א: "גזל ולא נתייאשו הבלעים, שניהם אינם יכולים להקדישו (= את החפץ שנגזל); זה (=הגזל) לפי שאינו שלו וזה (= הנגזל) לפי </w:t>
      </w:r>
      <w:r>
        <w:rPr>
          <w:rFonts w:hint="cs"/>
          <w:b/>
          <w:bCs/>
          <w:rtl/>
        </w:rPr>
        <w:t>שאינו ברשותו</w:t>
      </w:r>
      <w:r>
        <w:rPr>
          <w:rFonts w:hint="cs"/>
          <w:rtl/>
        </w:rPr>
        <w:t>", היינו שאינו בשליטתו. וכך מובנו בלשון בני אדם בהקשריו השונים; דרך משל: "אדם עומד ברשות עצמו", שפירושו בשליטת עצמו.</w:t>
      </w:r>
    </w:p>
    <w:p w:rsidR="00E14364" w:rsidRPr="00E14364" w:rsidRDefault="00E14364" w:rsidP="006B5E0B">
      <w:pPr>
        <w:spacing w:line="280" w:lineRule="exact"/>
        <w:ind w:left="360"/>
        <w:jc w:val="both"/>
        <w:rPr>
          <w:rFonts w:hint="cs"/>
        </w:rPr>
      </w:pPr>
    </w:p>
    <w:p w:rsidR="006B5E0B" w:rsidRDefault="00E14364" w:rsidP="003361CD">
      <w:pPr>
        <w:numPr>
          <w:ilvl w:val="0"/>
          <w:numId w:val="25"/>
        </w:numPr>
        <w:spacing w:line="280" w:lineRule="exact"/>
        <w:jc w:val="both"/>
        <w:rPr>
          <w:rFonts w:hint="cs"/>
        </w:rPr>
      </w:pPr>
      <w:r>
        <w:rPr>
          <w:rFonts w:hint="cs"/>
          <w:rtl/>
        </w:rPr>
        <w:t xml:space="preserve">ומשבאנו לכך, נחזור לענין שלפנינו. השופט המלומד קבע בפסק-דינו כי המבקש מצא "מעטפה שהיתה מונחת כשהיא מושלכת לארץ, באופן שהיה ברור כי </w:t>
      </w:r>
    </w:p>
    <w:p w:rsidR="006447E6" w:rsidRDefault="006447E6" w:rsidP="006447E6">
      <w:pPr>
        <w:spacing w:line="280" w:lineRule="exact"/>
        <w:ind w:left="360"/>
        <w:jc w:val="both"/>
        <w:rPr>
          <w:rFonts w:hint="cs"/>
          <w:rtl/>
        </w:rPr>
      </w:pPr>
      <w:r>
        <w:rPr>
          <w:rtl/>
        </w:rPr>
        <w:br w:type="page"/>
      </w:r>
      <w:r>
        <w:rPr>
          <w:rFonts w:hint="cs"/>
          <w:rtl/>
        </w:rPr>
        <w:lastRenderedPageBreak/>
        <w:t xml:space="preserve">אבדה למי שהוא", </w:t>
      </w:r>
      <w:r w:rsidR="00914CB9">
        <w:rPr>
          <w:rFonts w:hint="cs"/>
          <w:rtl/>
        </w:rPr>
        <w:t xml:space="preserve">וכן כי "בכפוף לפתיחת שערי הבנק ושערי חדר הכספות שהגישה לבעלי הכספות למקום היתה גישה חפשית, ואפילו נתלוו למבקש אנשים זרים ללא מפריע". אבידה שנמצאה בנסיבות אלה באה היא, איפוא, במסגרת </w:t>
      </w:r>
      <w:hyperlink r:id="rId107" w:history="1">
        <w:r w:rsidR="00BB26B5" w:rsidRPr="00BB26B5">
          <w:rPr>
            <w:color w:val="0000FF"/>
            <w:u w:val="single"/>
            <w:rtl/>
          </w:rPr>
          <w:t>סעיף 2</w:t>
        </w:r>
      </w:hyperlink>
      <w:r w:rsidR="00914CB9">
        <w:rPr>
          <w:rFonts w:hint="cs"/>
          <w:rtl/>
        </w:rPr>
        <w:t xml:space="preserve"> של החוק המורה כי "המוצא אבידה ונוטלה חייב להשיבה לבעלה או להודיע עליה בהקדם למשטרה". המוצא דנן מילא אחר הוראות החוק ועשה ככל אשר הוא מצווה. תחילה ביקש להשיב האבידה לבעליה; ולשם כך פנה לפקיד הבנק כדי לברר אולי ידוע להם מי הוא שאיבד את האגרות שהיו במעטפה. אלא חקרו ודרשו ומשלא נמצא בעל האבידה, הודיע המוצא למשטרה על המציאה שמצא ומסר את האגרות לידיה של זו. אל נכון אומר השופט המלומד "כי ברור לי שעמדתו התקיפה למסור את האגרות אך ורק לידי המשטרה, נבעה אך ורק מתוך דאגה כנה למציאת בעל האבידה... לו היו לו שיקולים זרים, לא היה דבר קל יותר מאשר ליטול את האבידה לעצמו מאחר ואיש לא היה עמו בעת שמצא את האבידה". אשר על כן דרישת הבנק  למסור את האגרות לידו, בהסתמכו על האמור </w:t>
      </w:r>
      <w:hyperlink r:id="rId108" w:history="1">
        <w:r w:rsidR="00BB26B5" w:rsidRPr="00BB26B5">
          <w:rPr>
            <w:color w:val="0000FF"/>
            <w:u w:val="single"/>
            <w:rtl/>
          </w:rPr>
          <w:t>בסעיף 3</w:t>
        </w:r>
      </w:hyperlink>
      <w:r w:rsidR="00914CB9">
        <w:rPr>
          <w:rFonts w:hint="cs"/>
          <w:rtl/>
        </w:rPr>
        <w:t xml:space="preserve"> לחוק, דרישה בטעות היתה, שהרי האבידה לא נמצאה ברשותו של הבנק שהיא בשליטתו ומשתמרת על-ידו, והוראות </w:t>
      </w:r>
      <w:hyperlink r:id="rId109" w:history="1">
        <w:r w:rsidR="00BB26B5" w:rsidRPr="00BB26B5">
          <w:rPr>
            <w:color w:val="0000FF"/>
            <w:u w:val="single"/>
            <w:rtl/>
          </w:rPr>
          <w:t>סעיף 3</w:t>
        </w:r>
      </w:hyperlink>
      <w:r w:rsidR="00914CB9">
        <w:rPr>
          <w:rFonts w:hint="cs"/>
          <w:rtl/>
        </w:rPr>
        <w:t xml:space="preserve"> אינן חלות לגביה. ומאחר שהמשיב קיים את כל שמצווה היה לעשות לפי </w:t>
      </w:r>
      <w:hyperlink r:id="rId110" w:history="1">
        <w:r w:rsidR="00BB26B5" w:rsidRPr="00BB26B5">
          <w:rPr>
            <w:color w:val="0000FF"/>
            <w:u w:val="single"/>
            <w:rtl/>
          </w:rPr>
          <w:t>סעיף 2</w:t>
        </w:r>
      </w:hyperlink>
      <w:r w:rsidR="00914CB9">
        <w:rPr>
          <w:rFonts w:hint="cs"/>
          <w:rtl/>
        </w:rPr>
        <w:t xml:space="preserve"> לחוק, הרי משלא נתגלה בעל האגרות תוך ארבעה חודשים, היה הוא לבעל האבידה, כאמור </w:t>
      </w:r>
      <w:hyperlink r:id="rId111" w:history="1">
        <w:r w:rsidR="00BB26B5" w:rsidRPr="00BB26B5">
          <w:rPr>
            <w:color w:val="0000FF"/>
            <w:u w:val="single"/>
            <w:rtl/>
          </w:rPr>
          <w:t>בסעיף 4(א)</w:t>
        </w:r>
      </w:hyperlink>
      <w:r w:rsidR="00914CB9">
        <w:rPr>
          <w:rFonts w:hint="cs"/>
          <w:rtl/>
        </w:rPr>
        <w:t xml:space="preserve"> לחוק; מה שהצהיר בית-המשפט המחוזי בפסק-דינו שהמשיב הוא המוצא של האגרות </w:t>
      </w:r>
      <w:r w:rsidR="00914CB9">
        <w:rPr>
          <w:rtl/>
        </w:rPr>
        <w:t>–</w:t>
      </w:r>
      <w:r w:rsidR="00914CB9">
        <w:rPr>
          <w:rFonts w:hint="cs"/>
          <w:rtl/>
        </w:rPr>
        <w:t xml:space="preserve"> בדין הצהיר, ואלה צריך שתימסרנה לבעלותו.</w:t>
      </w:r>
    </w:p>
    <w:p w:rsidR="00914CB9" w:rsidRDefault="00914CB9" w:rsidP="006447E6">
      <w:pPr>
        <w:spacing w:line="280" w:lineRule="exact"/>
        <w:ind w:left="360"/>
        <w:jc w:val="both"/>
        <w:rPr>
          <w:rFonts w:hint="cs"/>
        </w:rPr>
      </w:pPr>
    </w:p>
    <w:p w:rsidR="00E14364" w:rsidRDefault="00F51D65" w:rsidP="003361CD">
      <w:pPr>
        <w:numPr>
          <w:ilvl w:val="0"/>
          <w:numId w:val="25"/>
        </w:numPr>
        <w:spacing w:line="280" w:lineRule="exact"/>
        <w:jc w:val="both"/>
        <w:rPr>
          <w:rFonts w:hint="cs"/>
        </w:rPr>
      </w:pPr>
      <w:r>
        <w:rPr>
          <w:rFonts w:hint="cs"/>
          <w:rtl/>
        </w:rPr>
        <w:t xml:space="preserve">משבאתי למסקנה כי הוראות </w:t>
      </w:r>
      <w:hyperlink r:id="rId112" w:history="1">
        <w:r w:rsidR="00BB26B5" w:rsidRPr="00BB26B5">
          <w:rPr>
            <w:color w:val="0000FF"/>
            <w:u w:val="single"/>
            <w:rtl/>
          </w:rPr>
          <w:t>סעיף 3</w:t>
        </w:r>
      </w:hyperlink>
      <w:r>
        <w:rPr>
          <w:rFonts w:hint="cs"/>
          <w:rtl/>
        </w:rPr>
        <w:t xml:space="preserve"> אינן חלות בענין שלפנינו פטור אני מלדון בשאלה נוספת שהתעוררה בעניננו, והיא פירושו של הסיפא של סעיף זה; אך משתנו עררה שאלה זו אוסיף לגביה הערה אחת. בסיפא של </w:t>
      </w:r>
      <w:hyperlink r:id="rId113" w:history="1">
        <w:r w:rsidR="00BB26B5" w:rsidRPr="00BB26B5">
          <w:rPr>
            <w:color w:val="0000FF"/>
            <w:u w:val="single"/>
            <w:rtl/>
          </w:rPr>
          <w:t>סעיף 3</w:t>
        </w:r>
      </w:hyperlink>
      <w:r>
        <w:rPr>
          <w:rFonts w:hint="cs"/>
          <w:rtl/>
        </w:rPr>
        <w:t xml:space="preserve"> נאמר: "קיבל בעל הרשות את האבידה לידו, יראו אותו כמוצא"; אומר חברי הנכבד כי תנאי זה של קבלה בפועל על-ידי בעל הרשות כדי שיראוהו כמוצא לאו דווקא הוא, ודי </w:t>
      </w:r>
      <w:r>
        <w:rPr>
          <w:rFonts w:hint="cs"/>
          <w:b/>
          <w:bCs/>
          <w:rtl/>
        </w:rPr>
        <w:t>בדרישתו</w:t>
      </w:r>
      <w:r>
        <w:rPr>
          <w:rFonts w:hint="cs"/>
          <w:rtl/>
        </w:rPr>
        <w:t xml:space="preserve"> לקבל את האבידה משהודיע לו המוצא עליה. שאם אי אתה אומר כן נמצאנו באים לתוצאה אבסורדים שהמוצא, על-ידי התנהגותו הפלילית של אי מסירת האבידה לידי בעל הרשות, יגרום לכך שבעל הרשות לא יזכה באבידה באם לא יתגלו בעליה בניגוד למגמתו של החוק שהוא אשר יזכה בה; ותוצאה זו שמי שהמרה את החוק ועבר עבירה פלילית יהא מצבו טוב יותר ממצבו של המוצא השומר על הוראות החוק, מביאה לידי כך שהחוטא נשכר.</w:t>
      </w:r>
    </w:p>
    <w:p w:rsidR="00F51D65" w:rsidRDefault="00F51D65" w:rsidP="00F51D65">
      <w:pPr>
        <w:spacing w:line="280" w:lineRule="exact"/>
        <w:ind w:left="360"/>
        <w:jc w:val="both"/>
        <w:rPr>
          <w:rFonts w:hint="cs"/>
          <w:rtl/>
        </w:rPr>
      </w:pPr>
    </w:p>
    <w:p w:rsidR="0046332E" w:rsidRDefault="00F51D65" w:rsidP="00F51D65">
      <w:pPr>
        <w:spacing w:line="280" w:lineRule="exact"/>
        <w:ind w:left="360"/>
        <w:jc w:val="both"/>
      </w:pPr>
      <w:r>
        <w:rPr>
          <w:rFonts w:hint="cs"/>
          <w:rtl/>
        </w:rPr>
        <w:t xml:space="preserve">מסכים אני, עם כל הכבוד, להיגיון שביסוד נימוקים אלה, אך לשונו של החוק מעורר ספק בלבי. הרי לשונו של </w:t>
      </w:r>
      <w:hyperlink r:id="rId114" w:history="1">
        <w:r w:rsidR="00BB26B5" w:rsidRPr="00BB26B5">
          <w:rPr>
            <w:color w:val="0000FF"/>
            <w:u w:val="single"/>
            <w:rtl/>
          </w:rPr>
          <w:t>סעיף 3</w:t>
        </w:r>
      </w:hyperlink>
      <w:r>
        <w:rPr>
          <w:rFonts w:hint="cs"/>
          <w:rtl/>
        </w:rPr>
        <w:t xml:space="preserve"> כך הוא: "המוצא אבידה ברשותו של אדם אחר חייב להודיע עליה לבעל הרשות ולמסרה לו לפי דרישתו; קיבל בעל הרשות את האבידה לידו, יראו אותו כמוצא". אם אכן נכון הוא שקבלת האבידה לידו של בעל הרשות לאו דווקא היא, הרי המלים "קיבל בעל הרשות את האבידה לידו" מיותרות הן לחלוטין, ונוסח הסיפא צריך היה להיות כך: "ומשדרש כך, יראו אותו כמוצא". ומשניסח המחוקק כפי שניסח, האם אין כאן הוראה מפורשת שלא יראו את בעל הרשות כמוצא אלא אם יקבל בפועל את האבידה לידו? וטעם ניתן למצוא להוראה מיוחדת זו. נראה לי שגם אם </w:t>
      </w:r>
    </w:p>
    <w:p w:rsidR="00F51D65" w:rsidRDefault="0046332E" w:rsidP="00F51D65">
      <w:pPr>
        <w:spacing w:line="280" w:lineRule="exact"/>
        <w:ind w:left="360"/>
        <w:jc w:val="both"/>
        <w:rPr>
          <w:rFonts w:hint="cs"/>
          <w:rtl/>
        </w:rPr>
      </w:pPr>
      <w:r>
        <w:br w:type="page"/>
      </w:r>
      <w:r w:rsidR="001B382D">
        <w:rPr>
          <w:rFonts w:hint="cs"/>
          <w:rtl/>
        </w:rPr>
        <w:lastRenderedPageBreak/>
        <w:t xml:space="preserve">המוצא יהא לבעל האבידה, יכול בעל הרשות לבוא עליו בתביעה של הפר חובה חקוקה לפי </w:t>
      </w:r>
      <w:hyperlink r:id="rId115" w:history="1">
        <w:r w:rsidR="00BB26B5" w:rsidRPr="00BB26B5">
          <w:rPr>
            <w:color w:val="0000FF"/>
            <w:u w:val="single"/>
            <w:rtl/>
          </w:rPr>
          <w:t>סעיף 63</w:t>
        </w:r>
      </w:hyperlink>
      <w:r w:rsidR="001B382D">
        <w:rPr>
          <w:rFonts w:hint="cs"/>
          <w:rtl/>
        </w:rPr>
        <w:t xml:space="preserve"> ל</w:t>
      </w:r>
      <w:hyperlink r:id="rId116" w:history="1">
        <w:r w:rsidR="00CA17A5" w:rsidRPr="00CA17A5">
          <w:rPr>
            <w:rStyle w:val="Hyperlink"/>
            <w:rtl/>
          </w:rPr>
          <w:t>פקודת הנזיקין</w:t>
        </w:r>
      </w:hyperlink>
      <w:r w:rsidR="001B382D">
        <w:rPr>
          <w:rFonts w:hint="cs"/>
          <w:rtl/>
        </w:rPr>
        <w:t xml:space="preserve"> [נוסח חדש], שהרי לכאורה נתקיים כל הנדרש בסעיף זה. אי מסירת האבידה על-ידי המוצא לידי בעל הרשות היא הפרת חובה המוטלת על המוצא לפי </w:t>
      </w:r>
      <w:hyperlink r:id="rId117" w:history="1">
        <w:r w:rsidR="00BB26B5" w:rsidRPr="00BB26B5">
          <w:rPr>
            <w:color w:val="0000FF"/>
            <w:u w:val="single"/>
            <w:rtl/>
          </w:rPr>
          <w:t>סעיף 3</w:t>
        </w:r>
      </w:hyperlink>
      <w:r w:rsidR="001B382D">
        <w:rPr>
          <w:rFonts w:hint="cs"/>
          <w:rtl/>
        </w:rPr>
        <w:t xml:space="preserve"> של </w:t>
      </w:r>
      <w:hyperlink r:id="rId118" w:history="1">
        <w:r w:rsidR="00CA17A5" w:rsidRPr="00CA17A5">
          <w:rPr>
            <w:rStyle w:val="Hyperlink"/>
            <w:rtl/>
          </w:rPr>
          <w:t>חוק השבת אבידה</w:t>
        </w:r>
      </w:hyperlink>
      <w:r w:rsidR="001B382D">
        <w:rPr>
          <w:rFonts w:hint="cs"/>
          <w:rtl/>
        </w:rPr>
        <w:t xml:space="preserve">; ההוראה למסור את האבידה לידי בעל הרשות נועדה לטובתו של בעל הרשות שיזכה באבידה באם לא יתגלו בעליה; ואי קיומה של החובה על-ידי המוצא גרמה לבעל הרשות נזק שהאבידה לא תעבור לבעלותו כאשר בעליה לא יתגלו. בעל הרשות יבוא איפוא על תיקון הנזק שנגרם לו אם יגיש תביעה מתאימה על כך, ויתכן שהמחוקק מצא לנכון שלא לתת לבעל הרשות זכות </w:t>
      </w:r>
      <w:r w:rsidR="001B382D">
        <w:rPr>
          <w:rFonts w:hint="cs"/>
          <w:b/>
          <w:bCs/>
          <w:rtl/>
        </w:rPr>
        <w:t>קנינית</w:t>
      </w:r>
      <w:r w:rsidR="001B382D">
        <w:rPr>
          <w:rFonts w:hint="cs"/>
          <w:rtl/>
        </w:rPr>
        <w:t xml:space="preserve"> באבידה </w:t>
      </w:r>
      <w:r w:rsidR="001B382D">
        <w:rPr>
          <w:rtl/>
        </w:rPr>
        <w:t>–</w:t>
      </w:r>
      <w:r w:rsidR="001B382D">
        <w:rPr>
          <w:rFonts w:hint="cs"/>
          <w:rtl/>
        </w:rPr>
        <w:t xml:space="preserve"> זכות שיסודה בפיקציה של "יראו אותו" </w:t>
      </w:r>
      <w:r w:rsidR="001B382D">
        <w:rPr>
          <w:rtl/>
        </w:rPr>
        <w:t>–</w:t>
      </w:r>
      <w:r w:rsidR="001B382D">
        <w:rPr>
          <w:rFonts w:hint="cs"/>
          <w:rtl/>
        </w:rPr>
        <w:t xml:space="preserve"> אלא אם קיבל </w:t>
      </w:r>
      <w:r w:rsidR="001B382D">
        <w:rPr>
          <w:rFonts w:hint="cs"/>
          <w:b/>
          <w:bCs/>
          <w:rtl/>
        </w:rPr>
        <w:t>בפועל</w:t>
      </w:r>
      <w:r w:rsidR="001B382D">
        <w:rPr>
          <w:rFonts w:hint="cs"/>
          <w:rtl/>
        </w:rPr>
        <w:t xml:space="preserve"> את האבידה לידיו, ואם לא נתמלא תנאי זה אין לו אלא זכות תביעה על הנזק שנגרם לו על-ידי המוצא שהפר חובה המוטלת עליו על-פי החוק.</w:t>
      </w:r>
    </w:p>
    <w:p w:rsidR="001B382D" w:rsidRDefault="001B382D" w:rsidP="00F51D65">
      <w:pPr>
        <w:spacing w:line="280" w:lineRule="exact"/>
        <w:ind w:left="360"/>
        <w:jc w:val="both"/>
        <w:rPr>
          <w:rFonts w:hint="cs"/>
          <w:rtl/>
        </w:rPr>
      </w:pPr>
    </w:p>
    <w:p w:rsidR="001B382D" w:rsidRDefault="00BB26B5" w:rsidP="00F51D65">
      <w:pPr>
        <w:spacing w:line="280" w:lineRule="exact"/>
        <w:ind w:left="360"/>
        <w:jc w:val="both"/>
        <w:rPr>
          <w:rFonts w:hint="cs"/>
          <w:rtl/>
        </w:rPr>
      </w:pPr>
      <w:hyperlink r:id="rId119" w:history="1">
        <w:r w:rsidRPr="00BB26B5">
          <w:rPr>
            <w:color w:val="0000FF"/>
            <w:u w:val="single"/>
            <w:rtl/>
          </w:rPr>
          <w:t>בסעיף 3</w:t>
        </w:r>
      </w:hyperlink>
      <w:r w:rsidR="001B382D">
        <w:rPr>
          <w:rFonts w:hint="cs"/>
          <w:rtl/>
        </w:rPr>
        <w:t xml:space="preserve"> להיטיב עמנו המחוקק בניסוחו. ברישא, לענין המלים "ברשותו של אדם אחר", </w:t>
      </w:r>
      <w:r w:rsidR="001B382D">
        <w:rPr>
          <w:rFonts w:hint="cs"/>
          <w:b/>
          <w:bCs/>
          <w:rtl/>
        </w:rPr>
        <w:t>קימץ</w:t>
      </w:r>
      <w:r w:rsidR="001B382D">
        <w:rPr>
          <w:rFonts w:hint="cs"/>
          <w:rtl/>
        </w:rPr>
        <w:t xml:space="preserve"> בדבריו, סתם ולא פירש רשותו של אדם אחר מהי, ונאלצים היינו, הן על-פי דרכו של חברי והן על-פי דרכי להשלים את דבריו כמבואר בתחילתם של דברי; בסיפא, לענין שרואים את בעל הרשות כמוצא, </w:t>
      </w:r>
      <w:r w:rsidR="001B382D">
        <w:rPr>
          <w:rFonts w:hint="cs"/>
          <w:b/>
          <w:bCs/>
          <w:rtl/>
        </w:rPr>
        <w:t>הירבה</w:t>
      </w:r>
      <w:r w:rsidR="001B382D">
        <w:rPr>
          <w:rFonts w:hint="cs"/>
          <w:rtl/>
        </w:rPr>
        <w:t xml:space="preserve"> המחוקק בדבריו והוסיף מלים מפורשות שלכאורה מביאות הן לתוצאה לא רצויה. וספק בלבי אם הרשות נתונה בידינו להתעלם ממלים מפורשות אלה, כפי שכך עולה מדרך פירושו של חברי, במיוחד כאשר ניתן לישבן </w:t>
      </w:r>
      <w:r w:rsidR="005E0CFE">
        <w:rPr>
          <w:rFonts w:hint="cs"/>
          <w:rtl/>
        </w:rPr>
        <w:t>באופן שהתוצאה לא תגיע לכדי חוסר סבירות. כאמור, ספק הוא עמדי ולא אאריך דברים בהתרתו מאחר שאין הדבר צריך לצורך המסקנה אליה הגעתי לגופו של הענין שלפנינו.</w:t>
      </w:r>
    </w:p>
    <w:p w:rsidR="005E0CFE" w:rsidRPr="001B382D" w:rsidRDefault="005E0CFE" w:rsidP="00F51D65">
      <w:pPr>
        <w:spacing w:line="280" w:lineRule="exact"/>
        <w:ind w:left="360"/>
        <w:jc w:val="both"/>
        <w:rPr>
          <w:rFonts w:hint="cs"/>
        </w:rPr>
      </w:pPr>
    </w:p>
    <w:p w:rsidR="00F51D65" w:rsidRDefault="00FA17CB" w:rsidP="003361CD">
      <w:pPr>
        <w:numPr>
          <w:ilvl w:val="0"/>
          <w:numId w:val="25"/>
        </w:numPr>
        <w:spacing w:line="280" w:lineRule="exact"/>
        <w:jc w:val="both"/>
        <w:rPr>
          <w:rFonts w:hint="cs"/>
        </w:rPr>
      </w:pPr>
      <w:r>
        <w:rPr>
          <w:rFonts w:hint="cs"/>
          <w:rtl/>
        </w:rPr>
        <w:t xml:space="preserve">מסקנה זו היא, כאמור, כי מקרה האבידה דנן כלול הוא בהוראות </w:t>
      </w:r>
      <w:hyperlink r:id="rId120" w:history="1">
        <w:r w:rsidR="00BB26B5" w:rsidRPr="00BB26B5">
          <w:rPr>
            <w:color w:val="0000FF"/>
            <w:u w:val="single"/>
            <w:rtl/>
          </w:rPr>
          <w:t>סעיף 2</w:t>
        </w:r>
      </w:hyperlink>
      <w:r>
        <w:rPr>
          <w:rFonts w:hint="cs"/>
          <w:rtl/>
        </w:rPr>
        <w:t xml:space="preserve"> לחוק; המשיב מילא אחר האמור בו ואף יותר מכך; תחילה טרח למצוא את בעל האגרות כדי להשיבן לו, ומשזה לא נמצא הודיע על האבידה למשטרה ומסרה לה לפי דרישתה. ומשקיים את אשר מצווה היה לפי הוראות </w:t>
      </w:r>
      <w:hyperlink r:id="rId121" w:history="1">
        <w:r w:rsidR="00BB26B5" w:rsidRPr="00BB26B5">
          <w:rPr>
            <w:color w:val="0000FF"/>
            <w:u w:val="single"/>
            <w:rtl/>
          </w:rPr>
          <w:t>סעיף 2</w:t>
        </w:r>
      </w:hyperlink>
      <w:r>
        <w:rPr>
          <w:rFonts w:hint="cs"/>
          <w:rtl/>
        </w:rPr>
        <w:t xml:space="preserve">, ועברו ארבעה חודשים ובעלי האגרות לא נתגלו, יהיה הוא, המשיב, לבעליהן, כאמור </w:t>
      </w:r>
      <w:hyperlink r:id="rId122" w:history="1">
        <w:r w:rsidR="00BB26B5" w:rsidRPr="00BB26B5">
          <w:rPr>
            <w:color w:val="0000FF"/>
            <w:u w:val="single"/>
            <w:rtl/>
          </w:rPr>
          <w:t>בסעיף 4(א)</w:t>
        </w:r>
      </w:hyperlink>
      <w:r>
        <w:rPr>
          <w:rFonts w:hint="cs"/>
          <w:rtl/>
        </w:rPr>
        <w:t xml:space="preserve"> לחוק.</w:t>
      </w:r>
    </w:p>
    <w:p w:rsidR="00FA17CB" w:rsidRDefault="00FA17CB" w:rsidP="00FA17CB">
      <w:pPr>
        <w:spacing w:line="280" w:lineRule="exact"/>
        <w:ind w:left="360"/>
        <w:jc w:val="both"/>
        <w:rPr>
          <w:rFonts w:hint="cs"/>
          <w:rtl/>
        </w:rPr>
      </w:pPr>
    </w:p>
    <w:p w:rsidR="00FA17CB" w:rsidRDefault="00FA17CB" w:rsidP="00FA17CB">
      <w:pPr>
        <w:spacing w:line="280" w:lineRule="exact"/>
        <w:ind w:left="360"/>
        <w:jc w:val="both"/>
        <w:rPr>
          <w:rFonts w:hint="cs"/>
          <w:rtl/>
        </w:rPr>
      </w:pPr>
      <w:r>
        <w:rPr>
          <w:rFonts w:hint="cs"/>
          <w:rtl/>
        </w:rPr>
        <w:t>אשר על כן יש, לדעתי, לדחות את הערעור.</w:t>
      </w:r>
    </w:p>
    <w:p w:rsidR="00FA17CB" w:rsidRDefault="00FA17CB" w:rsidP="00FA17CB">
      <w:pPr>
        <w:spacing w:line="280" w:lineRule="exact"/>
        <w:jc w:val="both"/>
        <w:rPr>
          <w:rFonts w:hint="cs"/>
          <w:rtl/>
        </w:rPr>
      </w:pPr>
    </w:p>
    <w:p w:rsidR="00FA17CB" w:rsidRDefault="00FA17CB" w:rsidP="00FA17CB">
      <w:pPr>
        <w:spacing w:line="280" w:lineRule="exact"/>
        <w:jc w:val="both"/>
        <w:rPr>
          <w:rFonts w:hint="cs"/>
          <w:rtl/>
        </w:rPr>
      </w:pPr>
      <w:r>
        <w:rPr>
          <w:rFonts w:hint="cs"/>
          <w:b/>
          <w:bCs/>
          <w:rtl/>
        </w:rPr>
        <w:t>מ"מ הנשיא (לנדוי):</w:t>
      </w:r>
      <w:r>
        <w:rPr>
          <w:rFonts w:hint="cs"/>
          <w:rtl/>
        </w:rPr>
        <w:t xml:space="preserve"> עיינתי בחוות הדעת המקיפות והמעמיקות שכתבו חברי הנכבדים והחלטתי לצרף דעתי לדעת חברי השופט ברק.</w:t>
      </w:r>
    </w:p>
    <w:p w:rsidR="00FA17CB" w:rsidRDefault="00FA17CB" w:rsidP="00FA17CB">
      <w:pPr>
        <w:spacing w:line="280" w:lineRule="exact"/>
        <w:jc w:val="both"/>
        <w:rPr>
          <w:rFonts w:hint="cs"/>
          <w:rtl/>
        </w:rPr>
      </w:pPr>
    </w:p>
    <w:p w:rsidR="00FA17CB" w:rsidRDefault="00FA17CB" w:rsidP="00FA17CB">
      <w:pPr>
        <w:spacing w:line="280" w:lineRule="exact"/>
        <w:jc w:val="both"/>
        <w:rPr>
          <w:rtl/>
        </w:rPr>
      </w:pPr>
      <w:r>
        <w:rPr>
          <w:rFonts w:hint="cs"/>
          <w:rtl/>
        </w:rPr>
        <w:t xml:space="preserve">כוונת המחוקק הישראלי בחוקקו את </w:t>
      </w:r>
      <w:hyperlink r:id="rId123" w:history="1">
        <w:r w:rsidR="00BB26B5" w:rsidRPr="00BB26B5">
          <w:rPr>
            <w:color w:val="0000FF"/>
            <w:u w:val="single"/>
            <w:rtl/>
          </w:rPr>
          <w:t>סעיף 3</w:t>
        </w:r>
      </w:hyperlink>
      <w:r>
        <w:rPr>
          <w:rFonts w:hint="cs"/>
          <w:rtl/>
        </w:rPr>
        <w:t xml:space="preserve"> של </w:t>
      </w:r>
      <w:hyperlink r:id="rId124" w:history="1">
        <w:r w:rsidR="00CA17A5" w:rsidRPr="00CA17A5">
          <w:rPr>
            <w:rStyle w:val="Hyperlink"/>
            <w:rtl/>
          </w:rPr>
          <w:t>חוק השבת אבידה</w:t>
        </w:r>
      </w:hyperlink>
      <w:r>
        <w:rPr>
          <w:rFonts w:hint="cs"/>
          <w:rtl/>
        </w:rPr>
        <w:t xml:space="preserve">, תשל"ג-1973, היתה גם לדעתי להגביר את הסיכוי של החזרת האבידה לבעליה, כי בנוהג שבעולם חוזר אדם שאבד לו חפץ על עקבותיו אל המקומות שאליהם סר לאחרונה לפני שהרגיש באובדן החפץ. בראש ובראשונה יחזור אל מקומות שברשות היחיד, כי שם הסיכוי למצוא את האבידה יותר גדול מאשר הסיכוי למוצאה ברשות הרבים. כאשר אנו מפרשים את </w:t>
      </w:r>
      <w:hyperlink r:id="rId125" w:history="1">
        <w:r w:rsidR="00BB26B5" w:rsidRPr="00BB26B5">
          <w:rPr>
            <w:color w:val="0000FF"/>
            <w:u w:val="single"/>
            <w:rtl/>
          </w:rPr>
          <w:t>הסעיף 3</w:t>
        </w:r>
      </w:hyperlink>
      <w:r>
        <w:rPr>
          <w:rFonts w:hint="cs"/>
          <w:rtl/>
        </w:rPr>
        <w:t xml:space="preserve"> לאור מגמה זאת, יש לכלול במונח "רשות של אחר" כל מקום שהוא ברשות </w:t>
      </w:r>
    </w:p>
    <w:p w:rsidR="00FA17CB" w:rsidRDefault="00FA17CB" w:rsidP="00FA17CB">
      <w:pPr>
        <w:spacing w:line="280" w:lineRule="exact"/>
        <w:jc w:val="both"/>
        <w:rPr>
          <w:rFonts w:hint="cs"/>
          <w:rtl/>
        </w:rPr>
      </w:pPr>
      <w:r>
        <w:rPr>
          <w:rtl/>
        </w:rPr>
        <w:br w:type="page"/>
      </w:r>
      <w:r w:rsidR="0014523B">
        <w:rPr>
          <w:rFonts w:hint="cs"/>
          <w:rtl/>
        </w:rPr>
        <w:lastRenderedPageBreak/>
        <w:t xml:space="preserve">היחיד אף שהוא פתוח לקהל, כמו האולם הראשי של בנק, כי גם בשביל מי שביקר באולם כזה הבנק הוא הכתובת הטבעית שאליה יפנה כדי לתור אחרי אבידתו. החשש כי עובד הבנק, שהמוצא מסר לו את האבידה, יפעל שלא ביושר ולא יועידו למשטרה על האבידה הוא פחות ממשי מאשר אצל המוצא המקורי, כי לגבי עובד הבנק קיימת גם ההרתעה שבסכנת ביקורתו של המוצא המקורי העלול לשוב באחד הימים ולשאול מה עלה בגורל האבידה. כנגד חשש זה להביא בחשבון גם את רצון הבנק לפעול ביושר כלפי הפוקדים אותו כדי לשמור על המוניטין שלו בעיני הציבור </w:t>
      </w:r>
      <w:r w:rsidR="0014523B">
        <w:rPr>
          <w:rtl/>
        </w:rPr>
        <w:t>–</w:t>
      </w:r>
      <w:r w:rsidR="0014523B">
        <w:rPr>
          <w:rFonts w:hint="cs"/>
          <w:rtl/>
        </w:rPr>
        <w:t xml:space="preserve"> וכך גם בבעלי חנויות וכיוצא באלה.</w:t>
      </w:r>
    </w:p>
    <w:p w:rsidR="0014523B" w:rsidRDefault="0014523B" w:rsidP="00FA17CB">
      <w:pPr>
        <w:spacing w:line="280" w:lineRule="exact"/>
        <w:jc w:val="both"/>
        <w:rPr>
          <w:rFonts w:hint="cs"/>
          <w:rtl/>
        </w:rPr>
      </w:pPr>
    </w:p>
    <w:p w:rsidR="0014523B" w:rsidRDefault="009B6666" w:rsidP="00FA17CB">
      <w:pPr>
        <w:spacing w:line="280" w:lineRule="exact"/>
        <w:jc w:val="both"/>
        <w:rPr>
          <w:rFonts w:hint="cs"/>
          <w:rtl/>
        </w:rPr>
      </w:pPr>
      <w:r>
        <w:rPr>
          <w:rFonts w:hint="cs"/>
          <w:rtl/>
        </w:rPr>
        <w:t xml:space="preserve">אכן, כמוש העיר השופט ברק, ההסדר החקיקתי </w:t>
      </w:r>
      <w:hyperlink r:id="rId126" w:history="1">
        <w:r w:rsidR="00BB26B5" w:rsidRPr="00BB26B5">
          <w:rPr>
            <w:color w:val="0000FF"/>
            <w:u w:val="single"/>
            <w:rtl/>
          </w:rPr>
          <w:t>שבסעיף 4</w:t>
        </w:r>
      </w:hyperlink>
      <w:r>
        <w:rPr>
          <w:rFonts w:hint="cs"/>
          <w:rtl/>
        </w:rPr>
        <w:t xml:space="preserve"> של החוק, שלפיו זוכה "בעל הרשות" כעבור ארבעה חודשים בקנין, אינו נראה צודק, ומוטב היה לחלק את מחיר המציאה בינו ובין המוצא המקורי. אבל אולי ניתן למצוא גם </w:t>
      </w:r>
      <w:r w:rsidR="002F4FED">
        <w:rPr>
          <w:rFonts w:hint="cs"/>
          <w:rtl/>
        </w:rPr>
        <w:t xml:space="preserve">צד זכות להסדר הקיים, שאם יופיע בעל האבידה הנכון לבסוף יש להניח כי "בעל רשות" כמו אותו בנק לא יעמוד על זכותו על-פי הדין אלא יראה עצמו כשומר האבידה ויאות להחזירה לבעליה, אפילו עברה בינתיים תקופת ארבעת החודשים, כדי שלא לפגוע בשמו כבנק הנוהג במידת ההגינות כלפי </w:t>
      </w:r>
      <w:r w:rsidR="001567D2">
        <w:rPr>
          <w:rFonts w:hint="cs"/>
          <w:rtl/>
        </w:rPr>
        <w:t>לקוחותיו וכלפי הציבור בכללו.</w:t>
      </w:r>
    </w:p>
    <w:p w:rsidR="001567D2" w:rsidRDefault="001567D2" w:rsidP="00FA17CB">
      <w:pPr>
        <w:spacing w:line="280" w:lineRule="exact"/>
        <w:jc w:val="both"/>
        <w:rPr>
          <w:rFonts w:hint="cs"/>
          <w:rtl/>
        </w:rPr>
      </w:pPr>
    </w:p>
    <w:p w:rsidR="001567D2" w:rsidRDefault="005132EF" w:rsidP="00FA17CB">
      <w:pPr>
        <w:spacing w:line="280" w:lineRule="exact"/>
        <w:jc w:val="both"/>
        <w:rPr>
          <w:rFonts w:hint="cs"/>
          <w:rtl/>
        </w:rPr>
      </w:pPr>
      <w:r>
        <w:rPr>
          <w:rFonts w:hint="cs"/>
          <w:rtl/>
        </w:rPr>
        <w:t xml:space="preserve">לאמיתו של דבר המחלוקת העיונית בין שני חברי היא "לשם שמים", בנסיבות הענין הנדון בערעור זה, כי גם לשיטתו של חברי הנכבד, השופט אלון, רשותו של אחר </w:t>
      </w:r>
      <w:hyperlink r:id="rId127" w:history="1">
        <w:r w:rsidR="00BB26B5" w:rsidRPr="00BB26B5">
          <w:rPr>
            <w:color w:val="0000FF"/>
            <w:u w:val="single"/>
            <w:rtl/>
          </w:rPr>
          <w:t>בסעיף 3</w:t>
        </w:r>
      </w:hyperlink>
      <w:r>
        <w:rPr>
          <w:rFonts w:hint="cs"/>
          <w:rtl/>
        </w:rPr>
        <w:t xml:space="preserve"> כוללת מקום הנמצא בפיקוחו ובשליטתו של בעל הרשות. אגרות החוב הנדונות לא נמצאו באולם הכניסה של הבנק אלא בחדר הכספות שעליו יש לבנק פיקוח מלא ואין הוא פתוח לציבור כולו. לפי ממצאיו של בית-המשפט המחוזי אמנם לא </w:t>
      </w:r>
      <w:r w:rsidR="00CE25C0">
        <w:rPr>
          <w:rFonts w:hint="cs"/>
          <w:rtl/>
        </w:rPr>
        <w:t>הופעלו הוראות הבנק המסדירות את ר</w:t>
      </w:r>
      <w:r>
        <w:rPr>
          <w:rFonts w:hint="cs"/>
          <w:rtl/>
        </w:rPr>
        <w:t xml:space="preserve">שות הכניסה לחדר הכספות בהקפדה, אבל עדיין היה המבקש להיכנס </w:t>
      </w:r>
      <w:r w:rsidR="00CE25C0">
        <w:rPr>
          <w:rFonts w:hint="cs"/>
          <w:rtl/>
        </w:rPr>
        <w:t>להיכנס לחדר הכספות חייב לעבור בין שני דלפקים, תחת עינה הפקוחה של פקידה שהיתה ממונה על עניני הכספות, ובפועל היתה הכניסה מוגבלת לבעלי הכספות ולמלוויהם.</w:t>
      </w:r>
    </w:p>
    <w:p w:rsidR="00CE25C0" w:rsidRPr="00A36458" w:rsidRDefault="00A36458" w:rsidP="00FA17CB">
      <w:pPr>
        <w:spacing w:line="280" w:lineRule="exact"/>
        <w:jc w:val="both"/>
        <w:rPr>
          <w:rFonts w:hint="cs"/>
          <w:color w:val="FFFFFF"/>
          <w:sz w:val="2"/>
          <w:szCs w:val="2"/>
          <w:rtl/>
        </w:rPr>
      </w:pPr>
      <w:r w:rsidRPr="00A36458">
        <w:rPr>
          <w:color w:val="FFFFFF"/>
          <w:sz w:val="2"/>
          <w:szCs w:val="2"/>
          <w:rtl/>
        </w:rPr>
        <w:t>5129371</w:t>
      </w:r>
    </w:p>
    <w:p w:rsidR="00A36458" w:rsidRPr="00A36458" w:rsidRDefault="00A36458" w:rsidP="00A36458">
      <w:pPr>
        <w:keepNext/>
        <w:spacing w:line="280" w:lineRule="exact"/>
        <w:rPr>
          <w:rFonts w:ascii="David" w:hAnsi="David"/>
          <w:color w:val="000000"/>
          <w:sz w:val="22"/>
          <w:szCs w:val="22"/>
          <w:rtl/>
        </w:rPr>
      </w:pPr>
    </w:p>
    <w:p w:rsidR="00A36458" w:rsidRPr="00A36458" w:rsidRDefault="00A36458" w:rsidP="00A36458">
      <w:pPr>
        <w:keepNext/>
        <w:spacing w:line="280" w:lineRule="exact"/>
        <w:rPr>
          <w:rFonts w:ascii="David" w:hAnsi="David"/>
          <w:color w:val="000000"/>
          <w:sz w:val="22"/>
          <w:szCs w:val="22"/>
          <w:rtl/>
        </w:rPr>
      </w:pPr>
      <w:r w:rsidRPr="00A36458">
        <w:rPr>
          <w:rFonts w:ascii="David" w:hAnsi="David"/>
          <w:color w:val="000000"/>
          <w:sz w:val="22"/>
          <w:szCs w:val="22"/>
          <w:rtl/>
        </w:rPr>
        <w:t>לנדוי 54678313-546/78</w:t>
      </w:r>
    </w:p>
    <w:p w:rsidR="00CE25C0" w:rsidRDefault="00A36458" w:rsidP="00FA17CB">
      <w:pPr>
        <w:spacing w:line="280" w:lineRule="exact"/>
        <w:jc w:val="both"/>
        <w:rPr>
          <w:rFonts w:hint="cs"/>
          <w:rtl/>
        </w:rPr>
      </w:pPr>
      <w:r w:rsidRPr="00A36458">
        <w:rPr>
          <w:color w:val="FFFFFF"/>
          <w:sz w:val="2"/>
          <w:szCs w:val="2"/>
          <w:rtl/>
        </w:rPr>
        <w:t>54678313</w:t>
      </w:r>
      <w:r w:rsidR="00CE25C0">
        <w:rPr>
          <w:rFonts w:hint="cs"/>
          <w:rtl/>
        </w:rPr>
        <w:t xml:space="preserve">החוק הישראלי חייב להתפרש קודם כל מתוכו, על-פי המשתקף ממנו ביחס לכוונת המחוקק. אסמכתאות מן המשפט המקובל האנגלי-אמריקאי לא תיצלחנה לכך, כי הן מבוססות על הנחת יסוד שונה השואלת מי בעל החזקה (פוססיה) במקום שבו נתגלה האבידה. פסק-הדין של </w:t>
      </w:r>
      <w:r w:rsidR="00CE25C0">
        <w:rPr>
          <w:rFonts w:hint="cs"/>
          <w:b/>
          <w:bCs/>
          <w:rtl/>
        </w:rPr>
        <w:t>השופט עציוני ב</w:t>
      </w:r>
      <w:hyperlink r:id="rId128" w:history="1">
        <w:r w:rsidRPr="00D95076">
          <w:rPr>
            <w:b/>
            <w:bCs/>
            <w:color w:val="0000FF"/>
            <w:u w:val="single"/>
            <w:rtl/>
          </w:rPr>
          <w:t>ע"א (חיפה) 123/63</w:t>
        </w:r>
      </w:hyperlink>
      <w:r w:rsidR="00CE25C0">
        <w:rPr>
          <w:rFonts w:hint="cs"/>
          <w:rtl/>
        </w:rPr>
        <w:t xml:space="preserve"> הולך גם הוא עדיין בעקבות המשפט המקובל, לפני חקיקת החוק משנת תשל"ג. סבורני שגם מן המשפט העברי לא נוכל לשאוב השראה והדרכה לצורך פרשנותו של מעשה חקיקה ישראלי מקורי זה, כי גם הנחות היסוד שלו בסוגיה זו </w:t>
      </w:r>
      <w:r w:rsidR="00CD272C">
        <w:rPr>
          <w:rFonts w:hint="cs"/>
          <w:rtl/>
        </w:rPr>
        <w:t>שונות ממגמת המחוקק הישראלי, למשל בשימת הדגש על חזקות (פרסומפציות) עובדתיות להוכחת זכות הקנין של השולחני או של בעל החצר המשתמרת, בדוגמאות שחברי הנכבד, השופט אלון, הביא מן המקורות.</w:t>
      </w:r>
    </w:p>
    <w:p w:rsidR="00CD272C" w:rsidRDefault="00CD272C" w:rsidP="00FA17CB">
      <w:pPr>
        <w:spacing w:line="280" w:lineRule="exact"/>
        <w:jc w:val="both"/>
        <w:rPr>
          <w:rFonts w:hint="cs"/>
          <w:rtl/>
        </w:rPr>
      </w:pPr>
    </w:p>
    <w:p w:rsidR="00CD272C" w:rsidRDefault="00CD272C" w:rsidP="00FA17CB">
      <w:pPr>
        <w:spacing w:line="280" w:lineRule="exact"/>
        <w:jc w:val="both"/>
        <w:rPr>
          <w:rFonts w:hint="cs"/>
          <w:rtl/>
        </w:rPr>
      </w:pPr>
      <w:r>
        <w:rPr>
          <w:rFonts w:hint="cs"/>
          <w:rtl/>
        </w:rPr>
        <w:t>הוחלט ברוב דעות לקב</w:t>
      </w:r>
      <w:r w:rsidR="00423294">
        <w:rPr>
          <w:rFonts w:hint="cs"/>
          <w:rtl/>
        </w:rPr>
        <w:t>ל את הערעור. המשיב ישא בהוצאות ה</w:t>
      </w:r>
      <w:r>
        <w:rPr>
          <w:rFonts w:hint="cs"/>
          <w:rtl/>
        </w:rPr>
        <w:t>ערעור, לרבות שכר טרחת עורך-דין בסכום כולל של 5,000 ל"י.</w:t>
      </w:r>
    </w:p>
    <w:p w:rsidR="00CD272C" w:rsidRDefault="00CD272C" w:rsidP="00FA17CB">
      <w:pPr>
        <w:spacing w:line="280" w:lineRule="exact"/>
        <w:jc w:val="both"/>
        <w:rPr>
          <w:rFonts w:hint="cs"/>
          <w:rtl/>
        </w:rPr>
      </w:pPr>
    </w:p>
    <w:p w:rsidR="00A36458" w:rsidRPr="00A36458" w:rsidRDefault="00A36458" w:rsidP="00A36458">
      <w:pPr>
        <w:spacing w:line="280" w:lineRule="exact"/>
        <w:rPr>
          <w:rFonts w:hint="cs"/>
          <w:color w:val="000000"/>
          <w:rtl/>
        </w:rPr>
      </w:pPr>
      <w:r>
        <w:rPr>
          <w:rtl/>
        </w:rPr>
        <w:t xml:space="preserve">ניתן היום, ל בשבט תש"ם (17.2.1980). </w:t>
      </w:r>
    </w:p>
    <w:p w:rsidR="00A36458" w:rsidRDefault="00A36458" w:rsidP="00A36458">
      <w:pPr>
        <w:spacing w:line="280" w:lineRule="exact"/>
        <w:rPr>
          <w:rtl/>
        </w:rPr>
      </w:pPr>
      <w:r w:rsidRPr="00A36458">
        <w:rPr>
          <w:color w:val="000000"/>
          <w:rtl/>
        </w:rPr>
        <w:t>נוסח מסמך זה כפוף לשינויי ניסוח ועריכה</w:t>
      </w:r>
    </w:p>
    <w:p w:rsidR="00A36458" w:rsidRDefault="00A36458" w:rsidP="00A36458">
      <w:pPr>
        <w:spacing w:line="280" w:lineRule="exact"/>
        <w:rPr>
          <w:rtl/>
        </w:rPr>
      </w:pPr>
    </w:p>
    <w:p w:rsidR="00A36458" w:rsidRDefault="00A36458" w:rsidP="00A36458">
      <w:pPr>
        <w:spacing w:line="280" w:lineRule="exact"/>
        <w:jc w:val="center"/>
        <w:rPr>
          <w:color w:val="0000FF"/>
          <w:u w:val="single"/>
          <w:rtl/>
        </w:rPr>
      </w:pPr>
      <w:hyperlink r:id="rId129" w:history="1">
        <w:r>
          <w:rPr>
            <w:color w:val="0000FF"/>
            <w:u w:val="single"/>
            <w:rtl/>
          </w:rPr>
          <w:t>בעניין עריכה ושינויים במסמכי פסיקה, חקיקה ועוד באתר נבו – הקש כאן</w:t>
        </w:r>
      </w:hyperlink>
    </w:p>
    <w:p w:rsidR="00A01B0F" w:rsidRPr="00A36458" w:rsidRDefault="00A01B0F" w:rsidP="00A36458">
      <w:pPr>
        <w:spacing w:line="280" w:lineRule="exact"/>
        <w:jc w:val="center"/>
        <w:rPr>
          <w:rFonts w:hint="cs"/>
          <w:color w:val="0000FF"/>
          <w:u w:val="single"/>
          <w:rtl/>
        </w:rPr>
      </w:pPr>
    </w:p>
    <w:sectPr w:rsidR="00A01B0F" w:rsidRPr="00A36458" w:rsidSect="00A36458">
      <w:type w:val="continuous"/>
      <w:pgSz w:w="12240" w:h="15840"/>
      <w:pgMar w:top="1701" w:right="1800" w:bottom="1440" w:left="1800" w:header="720" w:footer="720" w:gutter="0"/>
      <w:pgNumType w:start="58"/>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854" w:rsidRDefault="00924854">
      <w:r>
        <w:separator/>
      </w:r>
    </w:p>
  </w:endnote>
  <w:endnote w:type="continuationSeparator" w:id="0">
    <w:p w:rsidR="00924854" w:rsidRDefault="00924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458" w:rsidRDefault="00A36458" w:rsidP="00A36458">
    <w:pPr>
      <w:pStyle w:val="a3"/>
      <w:jc w:val="center"/>
      <w:rPr>
        <w:rFonts w:ascii="FrankRuehl" w:hAnsi="FrankRuehl" w:cs="FrankRuehl"/>
        <w:sz w:val="24"/>
      </w:rPr>
    </w:pPr>
    <w:r>
      <w:rPr>
        <w:rFonts w:ascii="FrankRuehl" w:hAnsi="FrankRuehl" w:cs="FrankRuehl"/>
        <w:sz w:val="24"/>
        <w:rtl/>
      </w:rPr>
      <w:fldChar w:fldCharType="begin"/>
    </w:r>
    <w:r>
      <w:rPr>
        <w:rFonts w:ascii="FrankRuehl" w:hAnsi="FrankRuehl" w:cs="FrankRuehl"/>
        <w:sz w:val="24"/>
        <w:rtl/>
      </w:rPr>
      <w:instrText xml:space="preserve"> </w:instrText>
    </w:r>
    <w:r>
      <w:rPr>
        <w:rFonts w:ascii="FrankRuehl" w:hAnsi="FrankRuehl" w:cs="FrankRuehl"/>
        <w:sz w:val="24"/>
      </w:rPr>
      <w:instrText>PAGE</w:instrText>
    </w:r>
    <w:r>
      <w:rPr>
        <w:rFonts w:ascii="FrankRuehl" w:hAnsi="FrankRuehl" w:cs="FrankRuehl"/>
        <w:sz w:val="24"/>
        <w:rtl/>
      </w:rPr>
      <w:instrText xml:space="preserve">  \* </w:instrText>
    </w:r>
    <w:r>
      <w:rPr>
        <w:rFonts w:ascii="FrankRuehl" w:hAnsi="FrankRuehl" w:cs="FrankRuehl"/>
        <w:sz w:val="24"/>
      </w:rPr>
      <w:instrText>MERGEFORMAT</w:instrText>
    </w:r>
    <w:r>
      <w:rPr>
        <w:rFonts w:ascii="FrankRuehl" w:hAnsi="FrankRuehl" w:cs="FrankRuehl"/>
        <w:sz w:val="24"/>
        <w:rtl/>
      </w:rPr>
      <w:instrText xml:space="preserve"> </w:instrText>
    </w:r>
    <w:r>
      <w:rPr>
        <w:rFonts w:ascii="FrankRuehl" w:hAnsi="FrankRuehl" w:cs="FrankRuehl"/>
        <w:sz w:val="24"/>
        <w:rtl/>
      </w:rPr>
      <w:fldChar w:fldCharType="separate"/>
    </w:r>
    <w:r>
      <w:rPr>
        <w:rFonts w:ascii="FrankRuehl" w:hAnsi="FrankRuehl" w:cs="FrankRuehl"/>
        <w:noProof/>
        <w:sz w:val="24"/>
        <w:rtl/>
      </w:rPr>
      <w:t>62</w:t>
    </w:r>
    <w:r>
      <w:rPr>
        <w:rFonts w:ascii="FrankRuehl" w:hAnsi="FrankRuehl" w:cs="FrankRuehl"/>
        <w:sz w:val="24"/>
        <w:rtl/>
      </w:rPr>
      <w:fldChar w:fldCharType="end"/>
    </w:r>
  </w:p>
  <w:p w:rsidR="00423294" w:rsidRPr="00A36458" w:rsidRDefault="008175D7" w:rsidP="00A36458">
    <w:pPr>
      <w:pStyle w:val="a3"/>
      <w:pBdr>
        <w:top w:val="single" w:sz="4" w:space="1" w:color="auto"/>
        <w:between w:val="single" w:sz="4" w:space="0" w:color="auto"/>
      </w:pBdr>
      <w:spacing w:after="60"/>
      <w:jc w:val="center"/>
      <w:rPr>
        <w:rFonts w:ascii="FrankRuehl" w:hAnsi="FrankRuehl" w:cs="FrankRuehl"/>
        <w:color w:val="000000"/>
        <w:sz w:val="24"/>
      </w:rPr>
    </w:pPr>
    <w:r w:rsidRPr="00A36458">
      <w:rPr>
        <w:rFonts w:ascii="FrankRuehl" w:hAnsi="FrankRuehl" w:cs="FrankRuehl"/>
        <w:noProof/>
        <w:color w:val="000000"/>
        <w:sz w:val="24"/>
      </w:rPr>
      <w:drawing>
        <wp:inline distT="0" distB="0" distL="0" distR="0">
          <wp:extent cx="552450" cy="228600"/>
          <wp:effectExtent l="0" t="0" r="0" b="0"/>
          <wp:docPr id="1" name="תמונה 1"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458" w:rsidRDefault="00A36458" w:rsidP="00A36458">
    <w:pPr>
      <w:pStyle w:val="a3"/>
      <w:jc w:val="center"/>
      <w:rPr>
        <w:rFonts w:ascii="FrankRuehl" w:hAnsi="FrankRuehl" w:cs="FrankRuehl"/>
        <w:sz w:val="24"/>
      </w:rPr>
    </w:pPr>
    <w:r>
      <w:rPr>
        <w:rFonts w:ascii="FrankRuehl" w:hAnsi="FrankRuehl" w:cs="FrankRuehl"/>
        <w:sz w:val="24"/>
        <w:rtl/>
      </w:rPr>
      <w:fldChar w:fldCharType="begin"/>
    </w:r>
    <w:r>
      <w:rPr>
        <w:rFonts w:ascii="FrankRuehl" w:hAnsi="FrankRuehl" w:cs="FrankRuehl"/>
        <w:sz w:val="24"/>
        <w:rtl/>
      </w:rPr>
      <w:instrText xml:space="preserve"> </w:instrText>
    </w:r>
    <w:r>
      <w:rPr>
        <w:rFonts w:ascii="FrankRuehl" w:hAnsi="FrankRuehl" w:cs="FrankRuehl"/>
        <w:sz w:val="24"/>
      </w:rPr>
      <w:instrText>PAGE</w:instrText>
    </w:r>
    <w:r>
      <w:rPr>
        <w:rFonts w:ascii="FrankRuehl" w:hAnsi="FrankRuehl" w:cs="FrankRuehl"/>
        <w:sz w:val="24"/>
        <w:rtl/>
      </w:rPr>
      <w:instrText xml:space="preserve">  \* </w:instrText>
    </w:r>
    <w:r>
      <w:rPr>
        <w:rFonts w:ascii="FrankRuehl" w:hAnsi="FrankRuehl" w:cs="FrankRuehl"/>
        <w:sz w:val="24"/>
      </w:rPr>
      <w:instrText>MERGEFORMAT</w:instrText>
    </w:r>
    <w:r>
      <w:rPr>
        <w:rFonts w:ascii="FrankRuehl" w:hAnsi="FrankRuehl" w:cs="FrankRuehl"/>
        <w:sz w:val="24"/>
        <w:rtl/>
      </w:rPr>
      <w:instrText xml:space="preserve"> </w:instrText>
    </w:r>
    <w:r>
      <w:rPr>
        <w:rFonts w:ascii="FrankRuehl" w:hAnsi="FrankRuehl" w:cs="FrankRuehl"/>
        <w:sz w:val="24"/>
        <w:rtl/>
      </w:rPr>
      <w:fldChar w:fldCharType="separate"/>
    </w:r>
    <w:r w:rsidR="008175D7">
      <w:rPr>
        <w:rFonts w:ascii="FrankRuehl" w:hAnsi="FrankRuehl" w:cs="FrankRuehl"/>
        <w:noProof/>
        <w:sz w:val="24"/>
        <w:rtl/>
      </w:rPr>
      <w:t>57</w:t>
    </w:r>
    <w:r>
      <w:rPr>
        <w:rFonts w:ascii="FrankRuehl" w:hAnsi="FrankRuehl" w:cs="FrankRuehl"/>
        <w:sz w:val="24"/>
        <w:rtl/>
      </w:rPr>
      <w:fldChar w:fldCharType="end"/>
    </w:r>
  </w:p>
  <w:p w:rsidR="00423294" w:rsidRPr="00A36458" w:rsidRDefault="008175D7" w:rsidP="00A36458">
    <w:pPr>
      <w:pStyle w:val="a3"/>
      <w:pBdr>
        <w:top w:val="single" w:sz="4" w:space="1" w:color="auto"/>
        <w:between w:val="single" w:sz="4" w:space="0" w:color="auto"/>
      </w:pBdr>
      <w:spacing w:after="60"/>
      <w:jc w:val="center"/>
      <w:rPr>
        <w:rFonts w:ascii="FrankRuehl" w:hAnsi="FrankRuehl" w:cs="FrankRuehl"/>
        <w:color w:val="000000"/>
        <w:sz w:val="24"/>
      </w:rPr>
    </w:pPr>
    <w:r w:rsidRPr="00A36458">
      <w:rPr>
        <w:rFonts w:ascii="FrankRuehl" w:hAnsi="FrankRuehl" w:cs="FrankRuehl"/>
        <w:noProof/>
        <w:color w:val="000000"/>
        <w:sz w:val="24"/>
      </w:rPr>
      <w:drawing>
        <wp:inline distT="0" distB="0" distL="0" distR="0">
          <wp:extent cx="552450" cy="228600"/>
          <wp:effectExtent l="0" t="0" r="0" b="0"/>
          <wp:docPr id="2" name="תמונה 2"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854" w:rsidRDefault="00924854">
      <w:r>
        <w:separator/>
      </w:r>
    </w:p>
  </w:footnote>
  <w:footnote w:type="continuationSeparator" w:id="0">
    <w:p w:rsidR="00924854" w:rsidRDefault="009248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458" w:rsidRPr="00A36458" w:rsidRDefault="00A36458" w:rsidP="00A36458">
    <w:pPr>
      <w:pStyle w:val="a5"/>
      <w:pBdr>
        <w:bottom w:val="single" w:sz="4" w:space="1" w:color="auto"/>
      </w:pBdr>
      <w:tabs>
        <w:tab w:val="clear" w:pos="4153"/>
        <w:tab w:val="clear" w:pos="8306"/>
        <w:tab w:val="right" w:pos="8311"/>
      </w:tabs>
      <w:spacing w:line="220" w:lineRule="exact"/>
      <w:rPr>
        <w:rFonts w:ascii="David" w:hAnsi="David"/>
        <w:color w:val="000000"/>
        <w:sz w:val="22"/>
        <w:szCs w:val="22"/>
        <w:rtl/>
      </w:rPr>
    </w:pPr>
    <w:r>
      <w:rPr>
        <w:rFonts w:ascii="David" w:hAnsi="David"/>
        <w:color w:val="000000"/>
        <w:sz w:val="22"/>
        <w:szCs w:val="22"/>
        <w:rtl/>
      </w:rPr>
      <w:t xml:space="preserve">עא 546/78 </w:t>
    </w:r>
    <w:r>
      <w:rPr>
        <w:rFonts w:ascii="David" w:hAnsi="David"/>
        <w:color w:val="000000"/>
        <w:sz w:val="22"/>
        <w:szCs w:val="22"/>
        <w:rtl/>
      </w:rPr>
      <w:tab/>
      <w:t xml:space="preserve"> בנק קופת עם בע"מ נ' אליעזר הנדלס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458" w:rsidRPr="00A36458" w:rsidRDefault="00A36458" w:rsidP="00A36458">
    <w:pPr>
      <w:pStyle w:val="a5"/>
      <w:pBdr>
        <w:bottom w:val="single" w:sz="4" w:space="1" w:color="auto"/>
      </w:pBdr>
      <w:tabs>
        <w:tab w:val="clear" w:pos="4153"/>
        <w:tab w:val="clear" w:pos="8306"/>
        <w:tab w:val="right" w:pos="8311"/>
      </w:tabs>
      <w:spacing w:line="220" w:lineRule="exact"/>
      <w:rPr>
        <w:rFonts w:ascii="David" w:hAnsi="David"/>
        <w:color w:val="000000"/>
        <w:sz w:val="22"/>
        <w:szCs w:val="22"/>
        <w:rtl/>
      </w:rPr>
    </w:pPr>
    <w:r>
      <w:rPr>
        <w:rFonts w:ascii="David" w:hAnsi="David"/>
        <w:color w:val="000000"/>
        <w:sz w:val="22"/>
        <w:szCs w:val="22"/>
        <w:rtl/>
      </w:rPr>
      <w:t xml:space="preserve">עא 546/78 </w:t>
    </w:r>
    <w:r>
      <w:rPr>
        <w:rFonts w:ascii="David" w:hAnsi="David"/>
        <w:color w:val="000000"/>
        <w:sz w:val="22"/>
        <w:szCs w:val="22"/>
        <w:rtl/>
      </w:rPr>
      <w:tab/>
      <w:t xml:space="preserve"> בנק קופת עם בע"מ נ' אליעזר הנדלס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86536"/>
    <w:multiLevelType w:val="multilevel"/>
    <w:tmpl w:val="DB26BFD6"/>
    <w:lvl w:ilvl="0">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610380D"/>
    <w:multiLevelType w:val="hybridMultilevel"/>
    <w:tmpl w:val="F7DC4514"/>
    <w:lvl w:ilvl="0" w:tplc="7CA8ADAA">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8486733"/>
    <w:multiLevelType w:val="hybridMultilevel"/>
    <w:tmpl w:val="DB26BFD6"/>
    <w:lvl w:ilvl="0" w:tplc="DBFAC57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AF43ED"/>
    <w:multiLevelType w:val="hybridMultilevel"/>
    <w:tmpl w:val="3E2A1B60"/>
    <w:lvl w:ilvl="0" w:tplc="7F181EDA">
      <w:start w:val="2"/>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1C2BEB"/>
    <w:multiLevelType w:val="hybridMultilevel"/>
    <w:tmpl w:val="26363F9A"/>
    <w:lvl w:ilvl="0" w:tplc="8BD283EA">
      <w:start w:val="2"/>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3B2DFB"/>
    <w:multiLevelType w:val="hybridMultilevel"/>
    <w:tmpl w:val="9D1E0536"/>
    <w:lvl w:ilvl="0" w:tplc="4DEA5E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B431C6"/>
    <w:multiLevelType w:val="hybridMultilevel"/>
    <w:tmpl w:val="EB98EEFC"/>
    <w:lvl w:ilvl="0" w:tplc="AA32B0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A71F22"/>
    <w:multiLevelType w:val="hybridMultilevel"/>
    <w:tmpl w:val="BDA4B02A"/>
    <w:lvl w:ilvl="0" w:tplc="16EE0784">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B8693E"/>
    <w:multiLevelType w:val="hybridMultilevel"/>
    <w:tmpl w:val="78222CA8"/>
    <w:lvl w:ilvl="0" w:tplc="7CA8ADAA">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A3F1DB1"/>
    <w:multiLevelType w:val="hybridMultilevel"/>
    <w:tmpl w:val="2558E6C4"/>
    <w:lvl w:ilvl="0" w:tplc="8670154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482CA8"/>
    <w:multiLevelType w:val="hybridMultilevel"/>
    <w:tmpl w:val="836C55FC"/>
    <w:lvl w:ilvl="0" w:tplc="A49C647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A10D67"/>
    <w:multiLevelType w:val="hybridMultilevel"/>
    <w:tmpl w:val="8DF6BEFA"/>
    <w:lvl w:ilvl="0" w:tplc="C4E4D2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FF15E3"/>
    <w:multiLevelType w:val="hybridMultilevel"/>
    <w:tmpl w:val="63C271BA"/>
    <w:lvl w:ilvl="0" w:tplc="7EFE66C8">
      <w:start w:val="2"/>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ED23724"/>
    <w:multiLevelType w:val="hybridMultilevel"/>
    <w:tmpl w:val="BA66937E"/>
    <w:lvl w:ilvl="0" w:tplc="4DEA5E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D20133"/>
    <w:multiLevelType w:val="hybridMultilevel"/>
    <w:tmpl w:val="AD0E8C4C"/>
    <w:lvl w:ilvl="0" w:tplc="1340CFEE">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5DC4B74"/>
    <w:multiLevelType w:val="hybridMultilevel"/>
    <w:tmpl w:val="73ACF810"/>
    <w:lvl w:ilvl="0" w:tplc="0C9C08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2C0C28"/>
    <w:multiLevelType w:val="hybridMultilevel"/>
    <w:tmpl w:val="9542A3D6"/>
    <w:lvl w:ilvl="0" w:tplc="DBFAC57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67A19"/>
    <w:multiLevelType w:val="multilevel"/>
    <w:tmpl w:val="5A444D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996114C"/>
    <w:multiLevelType w:val="hybridMultilevel"/>
    <w:tmpl w:val="26BA1CC2"/>
    <w:lvl w:ilvl="0" w:tplc="AB0C6C5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9C4053"/>
    <w:multiLevelType w:val="hybridMultilevel"/>
    <w:tmpl w:val="F2EAA3C4"/>
    <w:lvl w:ilvl="0" w:tplc="B9C8A3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8DD410D"/>
    <w:multiLevelType w:val="hybridMultilevel"/>
    <w:tmpl w:val="79AC38F2"/>
    <w:lvl w:ilvl="0" w:tplc="4DEA5E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7D54CE"/>
    <w:multiLevelType w:val="hybridMultilevel"/>
    <w:tmpl w:val="76E82272"/>
    <w:lvl w:ilvl="0" w:tplc="53D217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29514E9"/>
    <w:multiLevelType w:val="hybridMultilevel"/>
    <w:tmpl w:val="ACF81B42"/>
    <w:lvl w:ilvl="0" w:tplc="A49C647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43740E3"/>
    <w:multiLevelType w:val="multilevel"/>
    <w:tmpl w:val="3E2A1B60"/>
    <w:lvl w:ilvl="0">
      <w:start w:val="2"/>
      <w:numFmt w:val="hebrew1"/>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E705A78"/>
    <w:multiLevelType w:val="multilevel"/>
    <w:tmpl w:val="63C271BA"/>
    <w:lvl w:ilvl="0">
      <w:start w:val="2"/>
      <w:numFmt w:val="hebrew1"/>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8"/>
  </w:num>
  <w:num w:numId="2">
    <w:abstractNumId w:val="9"/>
  </w:num>
  <w:num w:numId="3">
    <w:abstractNumId w:val="11"/>
  </w:num>
  <w:num w:numId="4">
    <w:abstractNumId w:val="6"/>
  </w:num>
  <w:num w:numId="5">
    <w:abstractNumId w:val="21"/>
  </w:num>
  <w:num w:numId="6">
    <w:abstractNumId w:val="22"/>
  </w:num>
  <w:num w:numId="7">
    <w:abstractNumId w:val="10"/>
  </w:num>
  <w:num w:numId="8">
    <w:abstractNumId w:val="19"/>
  </w:num>
  <w:num w:numId="9">
    <w:abstractNumId w:val="13"/>
  </w:num>
  <w:num w:numId="10">
    <w:abstractNumId w:val="20"/>
  </w:num>
  <w:num w:numId="11">
    <w:abstractNumId w:val="5"/>
  </w:num>
  <w:num w:numId="12">
    <w:abstractNumId w:val="7"/>
  </w:num>
  <w:num w:numId="13">
    <w:abstractNumId w:val="15"/>
  </w:num>
  <w:num w:numId="14">
    <w:abstractNumId w:val="14"/>
  </w:num>
  <w:num w:numId="15">
    <w:abstractNumId w:val="17"/>
  </w:num>
  <w:num w:numId="16">
    <w:abstractNumId w:val="16"/>
  </w:num>
  <w:num w:numId="17">
    <w:abstractNumId w:val="2"/>
  </w:num>
  <w:num w:numId="18">
    <w:abstractNumId w:val="0"/>
  </w:num>
  <w:num w:numId="19">
    <w:abstractNumId w:val="8"/>
  </w:num>
  <w:num w:numId="20">
    <w:abstractNumId w:val="4"/>
  </w:num>
  <w:num w:numId="21">
    <w:abstractNumId w:val="12"/>
  </w:num>
  <w:num w:numId="22">
    <w:abstractNumId w:val="24"/>
  </w:num>
  <w:num w:numId="23">
    <w:abstractNumId w:val="3"/>
  </w:num>
  <w:num w:numId="24">
    <w:abstractNumId w:val="2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yInfo" w:val="This document was extracted from Nevo's site"/>
  </w:docVars>
  <w:rsids>
    <w:rsidRoot w:val="00E526CE"/>
    <w:rsid w:val="00000BFA"/>
    <w:rsid w:val="00001012"/>
    <w:rsid w:val="0000130E"/>
    <w:rsid w:val="00002721"/>
    <w:rsid w:val="00002A35"/>
    <w:rsid w:val="00003077"/>
    <w:rsid w:val="0000371F"/>
    <w:rsid w:val="00003A09"/>
    <w:rsid w:val="00003A49"/>
    <w:rsid w:val="000045F3"/>
    <w:rsid w:val="00004D43"/>
    <w:rsid w:val="00005C52"/>
    <w:rsid w:val="00006517"/>
    <w:rsid w:val="00006B37"/>
    <w:rsid w:val="00006C3A"/>
    <w:rsid w:val="00007F40"/>
    <w:rsid w:val="000101F0"/>
    <w:rsid w:val="000102C8"/>
    <w:rsid w:val="00011E40"/>
    <w:rsid w:val="000128BA"/>
    <w:rsid w:val="00012953"/>
    <w:rsid w:val="00012F3E"/>
    <w:rsid w:val="00012F82"/>
    <w:rsid w:val="00012FEB"/>
    <w:rsid w:val="000131C9"/>
    <w:rsid w:val="000133A8"/>
    <w:rsid w:val="00014689"/>
    <w:rsid w:val="00015A8F"/>
    <w:rsid w:val="00015FD7"/>
    <w:rsid w:val="00016F0D"/>
    <w:rsid w:val="000175E0"/>
    <w:rsid w:val="0001772A"/>
    <w:rsid w:val="00020427"/>
    <w:rsid w:val="00020556"/>
    <w:rsid w:val="00021B29"/>
    <w:rsid w:val="0002385F"/>
    <w:rsid w:val="000244BC"/>
    <w:rsid w:val="00024A88"/>
    <w:rsid w:val="00025C1D"/>
    <w:rsid w:val="00025C92"/>
    <w:rsid w:val="00026947"/>
    <w:rsid w:val="000275E2"/>
    <w:rsid w:val="000310E2"/>
    <w:rsid w:val="000315AD"/>
    <w:rsid w:val="000320F9"/>
    <w:rsid w:val="0003217B"/>
    <w:rsid w:val="000325DD"/>
    <w:rsid w:val="00032BEE"/>
    <w:rsid w:val="000332B7"/>
    <w:rsid w:val="00034B68"/>
    <w:rsid w:val="00036CFD"/>
    <w:rsid w:val="00037686"/>
    <w:rsid w:val="00041104"/>
    <w:rsid w:val="0004113C"/>
    <w:rsid w:val="00041604"/>
    <w:rsid w:val="00043012"/>
    <w:rsid w:val="0004345D"/>
    <w:rsid w:val="000445AE"/>
    <w:rsid w:val="00044B2D"/>
    <w:rsid w:val="00046456"/>
    <w:rsid w:val="00046555"/>
    <w:rsid w:val="00046EC5"/>
    <w:rsid w:val="00047405"/>
    <w:rsid w:val="00047716"/>
    <w:rsid w:val="000510DF"/>
    <w:rsid w:val="0005114C"/>
    <w:rsid w:val="000512C5"/>
    <w:rsid w:val="00051E41"/>
    <w:rsid w:val="00052027"/>
    <w:rsid w:val="0005266B"/>
    <w:rsid w:val="00053098"/>
    <w:rsid w:val="00053100"/>
    <w:rsid w:val="00053853"/>
    <w:rsid w:val="000540D4"/>
    <w:rsid w:val="0005488C"/>
    <w:rsid w:val="0005530A"/>
    <w:rsid w:val="00055B6B"/>
    <w:rsid w:val="000607A5"/>
    <w:rsid w:val="00062C1F"/>
    <w:rsid w:val="000638EF"/>
    <w:rsid w:val="000649BC"/>
    <w:rsid w:val="00064F01"/>
    <w:rsid w:val="00064FE1"/>
    <w:rsid w:val="00065124"/>
    <w:rsid w:val="0006639F"/>
    <w:rsid w:val="00066A3F"/>
    <w:rsid w:val="00066F11"/>
    <w:rsid w:val="00067E51"/>
    <w:rsid w:val="00067E77"/>
    <w:rsid w:val="00070223"/>
    <w:rsid w:val="000713B0"/>
    <w:rsid w:val="000730BA"/>
    <w:rsid w:val="00074B7A"/>
    <w:rsid w:val="00076383"/>
    <w:rsid w:val="000767B3"/>
    <w:rsid w:val="00076879"/>
    <w:rsid w:val="00077AFE"/>
    <w:rsid w:val="00077F76"/>
    <w:rsid w:val="000812D6"/>
    <w:rsid w:val="00081D40"/>
    <w:rsid w:val="00084481"/>
    <w:rsid w:val="00084995"/>
    <w:rsid w:val="000851DB"/>
    <w:rsid w:val="000857A7"/>
    <w:rsid w:val="00085885"/>
    <w:rsid w:val="00086500"/>
    <w:rsid w:val="000869F5"/>
    <w:rsid w:val="00086C4E"/>
    <w:rsid w:val="00086CCD"/>
    <w:rsid w:val="00087802"/>
    <w:rsid w:val="000879B3"/>
    <w:rsid w:val="00087FE4"/>
    <w:rsid w:val="00090BFA"/>
    <w:rsid w:val="000910EA"/>
    <w:rsid w:val="00092577"/>
    <w:rsid w:val="00092CEC"/>
    <w:rsid w:val="00092D8E"/>
    <w:rsid w:val="000939EC"/>
    <w:rsid w:val="00093B02"/>
    <w:rsid w:val="0009490E"/>
    <w:rsid w:val="000956D3"/>
    <w:rsid w:val="00095FA4"/>
    <w:rsid w:val="0009626F"/>
    <w:rsid w:val="00097404"/>
    <w:rsid w:val="000A0420"/>
    <w:rsid w:val="000A1B64"/>
    <w:rsid w:val="000A1F4D"/>
    <w:rsid w:val="000A2690"/>
    <w:rsid w:val="000A3DE3"/>
    <w:rsid w:val="000A46B0"/>
    <w:rsid w:val="000A4CBD"/>
    <w:rsid w:val="000A512A"/>
    <w:rsid w:val="000A5B3D"/>
    <w:rsid w:val="000A5E3F"/>
    <w:rsid w:val="000A64EF"/>
    <w:rsid w:val="000A6F02"/>
    <w:rsid w:val="000A7218"/>
    <w:rsid w:val="000A7527"/>
    <w:rsid w:val="000B034A"/>
    <w:rsid w:val="000B044F"/>
    <w:rsid w:val="000B1F7E"/>
    <w:rsid w:val="000B23F6"/>
    <w:rsid w:val="000B2767"/>
    <w:rsid w:val="000B2DAF"/>
    <w:rsid w:val="000B3BC2"/>
    <w:rsid w:val="000B3F24"/>
    <w:rsid w:val="000B40DD"/>
    <w:rsid w:val="000B432F"/>
    <w:rsid w:val="000B4542"/>
    <w:rsid w:val="000B4A60"/>
    <w:rsid w:val="000B4BF0"/>
    <w:rsid w:val="000B5233"/>
    <w:rsid w:val="000B57D8"/>
    <w:rsid w:val="000B59F2"/>
    <w:rsid w:val="000B620F"/>
    <w:rsid w:val="000B64A1"/>
    <w:rsid w:val="000B6AC6"/>
    <w:rsid w:val="000B6AE9"/>
    <w:rsid w:val="000B6E64"/>
    <w:rsid w:val="000B74BD"/>
    <w:rsid w:val="000B7818"/>
    <w:rsid w:val="000B7DC4"/>
    <w:rsid w:val="000C0B7D"/>
    <w:rsid w:val="000C1216"/>
    <w:rsid w:val="000C145E"/>
    <w:rsid w:val="000C17CB"/>
    <w:rsid w:val="000C299E"/>
    <w:rsid w:val="000C374D"/>
    <w:rsid w:val="000C3850"/>
    <w:rsid w:val="000C3A37"/>
    <w:rsid w:val="000C3CCC"/>
    <w:rsid w:val="000C5016"/>
    <w:rsid w:val="000D0041"/>
    <w:rsid w:val="000D0A94"/>
    <w:rsid w:val="000D0DD7"/>
    <w:rsid w:val="000D0EAF"/>
    <w:rsid w:val="000D1A75"/>
    <w:rsid w:val="000D459C"/>
    <w:rsid w:val="000D4BC0"/>
    <w:rsid w:val="000D4CF9"/>
    <w:rsid w:val="000D4D2D"/>
    <w:rsid w:val="000D5D84"/>
    <w:rsid w:val="000D61E3"/>
    <w:rsid w:val="000D750D"/>
    <w:rsid w:val="000D76F6"/>
    <w:rsid w:val="000D7EE4"/>
    <w:rsid w:val="000E00FD"/>
    <w:rsid w:val="000E1710"/>
    <w:rsid w:val="000E2465"/>
    <w:rsid w:val="000E254F"/>
    <w:rsid w:val="000E2EC0"/>
    <w:rsid w:val="000E30AA"/>
    <w:rsid w:val="000E3208"/>
    <w:rsid w:val="000E38F5"/>
    <w:rsid w:val="000E5758"/>
    <w:rsid w:val="000E71CA"/>
    <w:rsid w:val="000E7272"/>
    <w:rsid w:val="000E7458"/>
    <w:rsid w:val="000E76A9"/>
    <w:rsid w:val="000E78EA"/>
    <w:rsid w:val="000E7B7B"/>
    <w:rsid w:val="000F0531"/>
    <w:rsid w:val="000F0BE0"/>
    <w:rsid w:val="000F0E73"/>
    <w:rsid w:val="000F1C98"/>
    <w:rsid w:val="000F24E7"/>
    <w:rsid w:val="000F2AB8"/>
    <w:rsid w:val="000F2FB7"/>
    <w:rsid w:val="000F4704"/>
    <w:rsid w:val="000F4D06"/>
    <w:rsid w:val="000F4ED3"/>
    <w:rsid w:val="000F556C"/>
    <w:rsid w:val="000F5C48"/>
    <w:rsid w:val="000F7244"/>
    <w:rsid w:val="001002EB"/>
    <w:rsid w:val="0010063E"/>
    <w:rsid w:val="00100836"/>
    <w:rsid w:val="001009C5"/>
    <w:rsid w:val="0010127C"/>
    <w:rsid w:val="00102561"/>
    <w:rsid w:val="00103396"/>
    <w:rsid w:val="00104A18"/>
    <w:rsid w:val="00104F01"/>
    <w:rsid w:val="00105DD6"/>
    <w:rsid w:val="0010640A"/>
    <w:rsid w:val="001065A6"/>
    <w:rsid w:val="00107728"/>
    <w:rsid w:val="0010792E"/>
    <w:rsid w:val="00107AD3"/>
    <w:rsid w:val="001106B7"/>
    <w:rsid w:val="00110927"/>
    <w:rsid w:val="00110E76"/>
    <w:rsid w:val="001133B6"/>
    <w:rsid w:val="001138BA"/>
    <w:rsid w:val="00113BDE"/>
    <w:rsid w:val="00114558"/>
    <w:rsid w:val="0011466F"/>
    <w:rsid w:val="0011471C"/>
    <w:rsid w:val="001152B2"/>
    <w:rsid w:val="0011581F"/>
    <w:rsid w:val="00115D62"/>
    <w:rsid w:val="00117280"/>
    <w:rsid w:val="0011753B"/>
    <w:rsid w:val="00120840"/>
    <w:rsid w:val="0012098A"/>
    <w:rsid w:val="00120A5A"/>
    <w:rsid w:val="001236EC"/>
    <w:rsid w:val="00124821"/>
    <w:rsid w:val="00124D42"/>
    <w:rsid w:val="001257FC"/>
    <w:rsid w:val="00125AD7"/>
    <w:rsid w:val="00126867"/>
    <w:rsid w:val="00126890"/>
    <w:rsid w:val="0012706E"/>
    <w:rsid w:val="0012707A"/>
    <w:rsid w:val="001274B1"/>
    <w:rsid w:val="001275B7"/>
    <w:rsid w:val="00130286"/>
    <w:rsid w:val="001303B4"/>
    <w:rsid w:val="001311AD"/>
    <w:rsid w:val="00131CDA"/>
    <w:rsid w:val="00131EDC"/>
    <w:rsid w:val="00133350"/>
    <w:rsid w:val="0013365B"/>
    <w:rsid w:val="00133901"/>
    <w:rsid w:val="00133980"/>
    <w:rsid w:val="0013398C"/>
    <w:rsid w:val="00133A4A"/>
    <w:rsid w:val="00134F26"/>
    <w:rsid w:val="001356C4"/>
    <w:rsid w:val="00135A77"/>
    <w:rsid w:val="00136F1B"/>
    <w:rsid w:val="0013726B"/>
    <w:rsid w:val="00140552"/>
    <w:rsid w:val="0014060E"/>
    <w:rsid w:val="001407BE"/>
    <w:rsid w:val="00140B80"/>
    <w:rsid w:val="00140CF4"/>
    <w:rsid w:val="00143728"/>
    <w:rsid w:val="0014523B"/>
    <w:rsid w:val="001454BE"/>
    <w:rsid w:val="0014610F"/>
    <w:rsid w:val="001463C0"/>
    <w:rsid w:val="00146574"/>
    <w:rsid w:val="00146A57"/>
    <w:rsid w:val="0014707D"/>
    <w:rsid w:val="00147906"/>
    <w:rsid w:val="001479C2"/>
    <w:rsid w:val="0015044B"/>
    <w:rsid w:val="00150828"/>
    <w:rsid w:val="001511B2"/>
    <w:rsid w:val="00152B2B"/>
    <w:rsid w:val="00152F8E"/>
    <w:rsid w:val="0015411F"/>
    <w:rsid w:val="00154405"/>
    <w:rsid w:val="001549BB"/>
    <w:rsid w:val="00155993"/>
    <w:rsid w:val="001567D2"/>
    <w:rsid w:val="00156ECE"/>
    <w:rsid w:val="00157DE0"/>
    <w:rsid w:val="00160417"/>
    <w:rsid w:val="00161188"/>
    <w:rsid w:val="0016147F"/>
    <w:rsid w:val="00162386"/>
    <w:rsid w:val="00163BE0"/>
    <w:rsid w:val="00164601"/>
    <w:rsid w:val="00164B59"/>
    <w:rsid w:val="00165817"/>
    <w:rsid w:val="001668E0"/>
    <w:rsid w:val="001671DA"/>
    <w:rsid w:val="00167271"/>
    <w:rsid w:val="001675C6"/>
    <w:rsid w:val="00167971"/>
    <w:rsid w:val="00167D29"/>
    <w:rsid w:val="00170F79"/>
    <w:rsid w:val="00171CFC"/>
    <w:rsid w:val="00172990"/>
    <w:rsid w:val="00172CB8"/>
    <w:rsid w:val="00173162"/>
    <w:rsid w:val="001732EC"/>
    <w:rsid w:val="00173338"/>
    <w:rsid w:val="00173342"/>
    <w:rsid w:val="00174950"/>
    <w:rsid w:val="0017500B"/>
    <w:rsid w:val="00175BA9"/>
    <w:rsid w:val="00177C3C"/>
    <w:rsid w:val="001800EE"/>
    <w:rsid w:val="001807B6"/>
    <w:rsid w:val="00180AA7"/>
    <w:rsid w:val="00180F57"/>
    <w:rsid w:val="0018162A"/>
    <w:rsid w:val="0018178A"/>
    <w:rsid w:val="001823F2"/>
    <w:rsid w:val="00182DDC"/>
    <w:rsid w:val="0018319B"/>
    <w:rsid w:val="001831CC"/>
    <w:rsid w:val="0018348B"/>
    <w:rsid w:val="001845D4"/>
    <w:rsid w:val="001849F5"/>
    <w:rsid w:val="00184A27"/>
    <w:rsid w:val="0018538F"/>
    <w:rsid w:val="00185637"/>
    <w:rsid w:val="00185CA2"/>
    <w:rsid w:val="001860D4"/>
    <w:rsid w:val="00186309"/>
    <w:rsid w:val="00186AD1"/>
    <w:rsid w:val="001877C4"/>
    <w:rsid w:val="0018793A"/>
    <w:rsid w:val="00187D01"/>
    <w:rsid w:val="001904C6"/>
    <w:rsid w:val="0019081A"/>
    <w:rsid w:val="00190A32"/>
    <w:rsid w:val="00191AD3"/>
    <w:rsid w:val="00192007"/>
    <w:rsid w:val="0019286D"/>
    <w:rsid w:val="00192A3D"/>
    <w:rsid w:val="00193236"/>
    <w:rsid w:val="00193D28"/>
    <w:rsid w:val="001949F8"/>
    <w:rsid w:val="00195B4D"/>
    <w:rsid w:val="00195BAD"/>
    <w:rsid w:val="00195EC0"/>
    <w:rsid w:val="001963C9"/>
    <w:rsid w:val="001969AB"/>
    <w:rsid w:val="00196AB9"/>
    <w:rsid w:val="00197750"/>
    <w:rsid w:val="00197EA8"/>
    <w:rsid w:val="001A00E3"/>
    <w:rsid w:val="001A1ABD"/>
    <w:rsid w:val="001A1CA4"/>
    <w:rsid w:val="001A2231"/>
    <w:rsid w:val="001A2562"/>
    <w:rsid w:val="001A2BE4"/>
    <w:rsid w:val="001A364D"/>
    <w:rsid w:val="001A3B92"/>
    <w:rsid w:val="001A4DD7"/>
    <w:rsid w:val="001A5049"/>
    <w:rsid w:val="001A5B8A"/>
    <w:rsid w:val="001A5DD3"/>
    <w:rsid w:val="001A6352"/>
    <w:rsid w:val="001A6459"/>
    <w:rsid w:val="001A6E19"/>
    <w:rsid w:val="001A7DC5"/>
    <w:rsid w:val="001B018F"/>
    <w:rsid w:val="001B05BD"/>
    <w:rsid w:val="001B0DE8"/>
    <w:rsid w:val="001B0E09"/>
    <w:rsid w:val="001B1052"/>
    <w:rsid w:val="001B12B4"/>
    <w:rsid w:val="001B343F"/>
    <w:rsid w:val="001B3555"/>
    <w:rsid w:val="001B382D"/>
    <w:rsid w:val="001B39A2"/>
    <w:rsid w:val="001B4138"/>
    <w:rsid w:val="001B4239"/>
    <w:rsid w:val="001B479A"/>
    <w:rsid w:val="001B4A15"/>
    <w:rsid w:val="001B4AE8"/>
    <w:rsid w:val="001B4F8F"/>
    <w:rsid w:val="001B5F7C"/>
    <w:rsid w:val="001B6148"/>
    <w:rsid w:val="001B6515"/>
    <w:rsid w:val="001B699F"/>
    <w:rsid w:val="001B77E8"/>
    <w:rsid w:val="001B7B01"/>
    <w:rsid w:val="001C0B16"/>
    <w:rsid w:val="001C1309"/>
    <w:rsid w:val="001C14E2"/>
    <w:rsid w:val="001C20C3"/>
    <w:rsid w:val="001C23B1"/>
    <w:rsid w:val="001C3712"/>
    <w:rsid w:val="001C5103"/>
    <w:rsid w:val="001C5298"/>
    <w:rsid w:val="001C5434"/>
    <w:rsid w:val="001C560C"/>
    <w:rsid w:val="001C5B9D"/>
    <w:rsid w:val="001C603D"/>
    <w:rsid w:val="001C69B0"/>
    <w:rsid w:val="001C6E08"/>
    <w:rsid w:val="001C6F2E"/>
    <w:rsid w:val="001C77B4"/>
    <w:rsid w:val="001C799D"/>
    <w:rsid w:val="001C7C29"/>
    <w:rsid w:val="001C7D80"/>
    <w:rsid w:val="001D046C"/>
    <w:rsid w:val="001D0654"/>
    <w:rsid w:val="001D0F3E"/>
    <w:rsid w:val="001D10AC"/>
    <w:rsid w:val="001D13C1"/>
    <w:rsid w:val="001D14F7"/>
    <w:rsid w:val="001D19D2"/>
    <w:rsid w:val="001D20F8"/>
    <w:rsid w:val="001D21B5"/>
    <w:rsid w:val="001D2415"/>
    <w:rsid w:val="001D2825"/>
    <w:rsid w:val="001D3042"/>
    <w:rsid w:val="001D306C"/>
    <w:rsid w:val="001D3709"/>
    <w:rsid w:val="001D3E24"/>
    <w:rsid w:val="001D43CE"/>
    <w:rsid w:val="001D4B8A"/>
    <w:rsid w:val="001D5200"/>
    <w:rsid w:val="001D64EE"/>
    <w:rsid w:val="001D6F2C"/>
    <w:rsid w:val="001E02D9"/>
    <w:rsid w:val="001E042C"/>
    <w:rsid w:val="001E2233"/>
    <w:rsid w:val="001E29BB"/>
    <w:rsid w:val="001E2BE5"/>
    <w:rsid w:val="001E2D1C"/>
    <w:rsid w:val="001E3886"/>
    <w:rsid w:val="001E51FB"/>
    <w:rsid w:val="001E699B"/>
    <w:rsid w:val="001E6C72"/>
    <w:rsid w:val="001E72B0"/>
    <w:rsid w:val="001F0DDD"/>
    <w:rsid w:val="001F1438"/>
    <w:rsid w:val="001F1E68"/>
    <w:rsid w:val="001F274C"/>
    <w:rsid w:val="001F2C58"/>
    <w:rsid w:val="001F340B"/>
    <w:rsid w:val="001F3673"/>
    <w:rsid w:val="001F36EF"/>
    <w:rsid w:val="001F41B0"/>
    <w:rsid w:val="001F4229"/>
    <w:rsid w:val="001F4750"/>
    <w:rsid w:val="001F4B82"/>
    <w:rsid w:val="001F7D3C"/>
    <w:rsid w:val="00201FCC"/>
    <w:rsid w:val="00202050"/>
    <w:rsid w:val="002020BC"/>
    <w:rsid w:val="00202C9D"/>
    <w:rsid w:val="00203301"/>
    <w:rsid w:val="00203E09"/>
    <w:rsid w:val="00203F90"/>
    <w:rsid w:val="00204DDC"/>
    <w:rsid w:val="0020561C"/>
    <w:rsid w:val="00205E31"/>
    <w:rsid w:val="002064C2"/>
    <w:rsid w:val="002070CF"/>
    <w:rsid w:val="00207383"/>
    <w:rsid w:val="00207490"/>
    <w:rsid w:val="00207AE4"/>
    <w:rsid w:val="00210151"/>
    <w:rsid w:val="00211C7F"/>
    <w:rsid w:val="0021266C"/>
    <w:rsid w:val="00213171"/>
    <w:rsid w:val="002132C3"/>
    <w:rsid w:val="002141CA"/>
    <w:rsid w:val="0021438E"/>
    <w:rsid w:val="00215786"/>
    <w:rsid w:val="00216CA1"/>
    <w:rsid w:val="00217019"/>
    <w:rsid w:val="00217597"/>
    <w:rsid w:val="002176F7"/>
    <w:rsid w:val="00217951"/>
    <w:rsid w:val="002179FA"/>
    <w:rsid w:val="00217BCE"/>
    <w:rsid w:val="0022030E"/>
    <w:rsid w:val="00220510"/>
    <w:rsid w:val="00220518"/>
    <w:rsid w:val="0022158E"/>
    <w:rsid w:val="00221757"/>
    <w:rsid w:val="00221F91"/>
    <w:rsid w:val="00222302"/>
    <w:rsid w:val="002223AB"/>
    <w:rsid w:val="00222954"/>
    <w:rsid w:val="00222D35"/>
    <w:rsid w:val="00222E8E"/>
    <w:rsid w:val="00223074"/>
    <w:rsid w:val="002230C0"/>
    <w:rsid w:val="002232CD"/>
    <w:rsid w:val="0022425B"/>
    <w:rsid w:val="00224BB1"/>
    <w:rsid w:val="002256C1"/>
    <w:rsid w:val="00225BE2"/>
    <w:rsid w:val="00225D1E"/>
    <w:rsid w:val="002263BF"/>
    <w:rsid w:val="00226779"/>
    <w:rsid w:val="00227551"/>
    <w:rsid w:val="00227A6D"/>
    <w:rsid w:val="00227C9A"/>
    <w:rsid w:val="00230283"/>
    <w:rsid w:val="0023148F"/>
    <w:rsid w:val="00231CC3"/>
    <w:rsid w:val="00232312"/>
    <w:rsid w:val="00232DCD"/>
    <w:rsid w:val="0023340F"/>
    <w:rsid w:val="00233481"/>
    <w:rsid w:val="00233D48"/>
    <w:rsid w:val="002344E7"/>
    <w:rsid w:val="00235201"/>
    <w:rsid w:val="00237456"/>
    <w:rsid w:val="0024064A"/>
    <w:rsid w:val="00240F78"/>
    <w:rsid w:val="00241E71"/>
    <w:rsid w:val="00243030"/>
    <w:rsid w:val="00243830"/>
    <w:rsid w:val="00247AB3"/>
    <w:rsid w:val="00247C87"/>
    <w:rsid w:val="00250C26"/>
    <w:rsid w:val="00252BFE"/>
    <w:rsid w:val="002575D9"/>
    <w:rsid w:val="00257ED7"/>
    <w:rsid w:val="00260283"/>
    <w:rsid w:val="002612EF"/>
    <w:rsid w:val="00261EF8"/>
    <w:rsid w:val="0026208C"/>
    <w:rsid w:val="002624AF"/>
    <w:rsid w:val="00262F47"/>
    <w:rsid w:val="00264353"/>
    <w:rsid w:val="002643A2"/>
    <w:rsid w:val="002646AF"/>
    <w:rsid w:val="00264A8E"/>
    <w:rsid w:val="0026538F"/>
    <w:rsid w:val="0026598F"/>
    <w:rsid w:val="00267735"/>
    <w:rsid w:val="0026778A"/>
    <w:rsid w:val="00267AC7"/>
    <w:rsid w:val="00267DC3"/>
    <w:rsid w:val="00270841"/>
    <w:rsid w:val="00270BC5"/>
    <w:rsid w:val="00271D2F"/>
    <w:rsid w:val="00272176"/>
    <w:rsid w:val="002730BF"/>
    <w:rsid w:val="00273D07"/>
    <w:rsid w:val="00274412"/>
    <w:rsid w:val="002749BE"/>
    <w:rsid w:val="00274DCE"/>
    <w:rsid w:val="0027522C"/>
    <w:rsid w:val="002753B9"/>
    <w:rsid w:val="00275F8C"/>
    <w:rsid w:val="0027650A"/>
    <w:rsid w:val="002773F1"/>
    <w:rsid w:val="002778AD"/>
    <w:rsid w:val="00277F10"/>
    <w:rsid w:val="0028027A"/>
    <w:rsid w:val="002802DB"/>
    <w:rsid w:val="00280683"/>
    <w:rsid w:val="0028153E"/>
    <w:rsid w:val="00281ADF"/>
    <w:rsid w:val="00281CB3"/>
    <w:rsid w:val="0028270D"/>
    <w:rsid w:val="002832E4"/>
    <w:rsid w:val="0028362F"/>
    <w:rsid w:val="0028475A"/>
    <w:rsid w:val="00284C65"/>
    <w:rsid w:val="00284FB0"/>
    <w:rsid w:val="00285D56"/>
    <w:rsid w:val="002861F7"/>
    <w:rsid w:val="00286D49"/>
    <w:rsid w:val="00286EF1"/>
    <w:rsid w:val="0029077C"/>
    <w:rsid w:val="0029170E"/>
    <w:rsid w:val="00291CBC"/>
    <w:rsid w:val="0029275C"/>
    <w:rsid w:val="00293FEC"/>
    <w:rsid w:val="002943F4"/>
    <w:rsid w:val="00294E7B"/>
    <w:rsid w:val="00295816"/>
    <w:rsid w:val="0029608B"/>
    <w:rsid w:val="002962C1"/>
    <w:rsid w:val="002973FB"/>
    <w:rsid w:val="00297FA3"/>
    <w:rsid w:val="002A0E5E"/>
    <w:rsid w:val="002A20A3"/>
    <w:rsid w:val="002A2370"/>
    <w:rsid w:val="002A242B"/>
    <w:rsid w:val="002A249B"/>
    <w:rsid w:val="002A27D4"/>
    <w:rsid w:val="002A31E6"/>
    <w:rsid w:val="002A3519"/>
    <w:rsid w:val="002A36ED"/>
    <w:rsid w:val="002A40F7"/>
    <w:rsid w:val="002A42EC"/>
    <w:rsid w:val="002A4B1B"/>
    <w:rsid w:val="002A56F3"/>
    <w:rsid w:val="002A57EE"/>
    <w:rsid w:val="002A5F90"/>
    <w:rsid w:val="002A771B"/>
    <w:rsid w:val="002A7901"/>
    <w:rsid w:val="002A7A6F"/>
    <w:rsid w:val="002B13A6"/>
    <w:rsid w:val="002B15AA"/>
    <w:rsid w:val="002B1631"/>
    <w:rsid w:val="002B26E2"/>
    <w:rsid w:val="002B3BCA"/>
    <w:rsid w:val="002B4321"/>
    <w:rsid w:val="002B456C"/>
    <w:rsid w:val="002B47E5"/>
    <w:rsid w:val="002B493E"/>
    <w:rsid w:val="002B4FED"/>
    <w:rsid w:val="002B5AEB"/>
    <w:rsid w:val="002B67E6"/>
    <w:rsid w:val="002B6938"/>
    <w:rsid w:val="002B78B8"/>
    <w:rsid w:val="002B7BF9"/>
    <w:rsid w:val="002B7FAB"/>
    <w:rsid w:val="002C0035"/>
    <w:rsid w:val="002C1030"/>
    <w:rsid w:val="002C3DC9"/>
    <w:rsid w:val="002C45FF"/>
    <w:rsid w:val="002C46BE"/>
    <w:rsid w:val="002C4993"/>
    <w:rsid w:val="002C5013"/>
    <w:rsid w:val="002C5B4C"/>
    <w:rsid w:val="002C5B54"/>
    <w:rsid w:val="002C5CD5"/>
    <w:rsid w:val="002C5D7F"/>
    <w:rsid w:val="002C6A82"/>
    <w:rsid w:val="002C7D7C"/>
    <w:rsid w:val="002D0AAB"/>
    <w:rsid w:val="002D0F6F"/>
    <w:rsid w:val="002D1E2B"/>
    <w:rsid w:val="002D1F7F"/>
    <w:rsid w:val="002D28CA"/>
    <w:rsid w:val="002D295D"/>
    <w:rsid w:val="002D2A89"/>
    <w:rsid w:val="002D2DB8"/>
    <w:rsid w:val="002D4785"/>
    <w:rsid w:val="002D6FCE"/>
    <w:rsid w:val="002D78BE"/>
    <w:rsid w:val="002E001B"/>
    <w:rsid w:val="002E0C02"/>
    <w:rsid w:val="002E0EB8"/>
    <w:rsid w:val="002E0EDF"/>
    <w:rsid w:val="002E2507"/>
    <w:rsid w:val="002E31CB"/>
    <w:rsid w:val="002E3273"/>
    <w:rsid w:val="002E3B2B"/>
    <w:rsid w:val="002E489A"/>
    <w:rsid w:val="002E4FE5"/>
    <w:rsid w:val="002E6FFB"/>
    <w:rsid w:val="002E7DE5"/>
    <w:rsid w:val="002F0568"/>
    <w:rsid w:val="002F0951"/>
    <w:rsid w:val="002F0C25"/>
    <w:rsid w:val="002F2105"/>
    <w:rsid w:val="002F2372"/>
    <w:rsid w:val="002F38B0"/>
    <w:rsid w:val="002F428A"/>
    <w:rsid w:val="002F42EB"/>
    <w:rsid w:val="002F4D1B"/>
    <w:rsid w:val="002F4FED"/>
    <w:rsid w:val="002F6E12"/>
    <w:rsid w:val="00302870"/>
    <w:rsid w:val="00303DAA"/>
    <w:rsid w:val="00304BD9"/>
    <w:rsid w:val="00305EE5"/>
    <w:rsid w:val="00306328"/>
    <w:rsid w:val="00310A4E"/>
    <w:rsid w:val="003115F6"/>
    <w:rsid w:val="003119B9"/>
    <w:rsid w:val="00312173"/>
    <w:rsid w:val="0031252C"/>
    <w:rsid w:val="00312B29"/>
    <w:rsid w:val="003131F3"/>
    <w:rsid w:val="00313335"/>
    <w:rsid w:val="0031373F"/>
    <w:rsid w:val="00313E9F"/>
    <w:rsid w:val="003149FC"/>
    <w:rsid w:val="00314F82"/>
    <w:rsid w:val="00315264"/>
    <w:rsid w:val="003155E5"/>
    <w:rsid w:val="00315AFE"/>
    <w:rsid w:val="003160D7"/>
    <w:rsid w:val="003160DB"/>
    <w:rsid w:val="003167EE"/>
    <w:rsid w:val="0031725B"/>
    <w:rsid w:val="003175E1"/>
    <w:rsid w:val="00317F60"/>
    <w:rsid w:val="00320D10"/>
    <w:rsid w:val="003211BF"/>
    <w:rsid w:val="0032147E"/>
    <w:rsid w:val="00321C70"/>
    <w:rsid w:val="00322671"/>
    <w:rsid w:val="003229E4"/>
    <w:rsid w:val="00322ACE"/>
    <w:rsid w:val="00323A79"/>
    <w:rsid w:val="00323A8D"/>
    <w:rsid w:val="00323C83"/>
    <w:rsid w:val="003242C2"/>
    <w:rsid w:val="003243DF"/>
    <w:rsid w:val="00325CA2"/>
    <w:rsid w:val="00325EFA"/>
    <w:rsid w:val="0032600B"/>
    <w:rsid w:val="003262D0"/>
    <w:rsid w:val="00326F24"/>
    <w:rsid w:val="00327AFC"/>
    <w:rsid w:val="00327DA1"/>
    <w:rsid w:val="00330402"/>
    <w:rsid w:val="00330C88"/>
    <w:rsid w:val="003313CD"/>
    <w:rsid w:val="00331DC3"/>
    <w:rsid w:val="00331F74"/>
    <w:rsid w:val="003325E9"/>
    <w:rsid w:val="00333164"/>
    <w:rsid w:val="00334ABF"/>
    <w:rsid w:val="00334B18"/>
    <w:rsid w:val="00334D49"/>
    <w:rsid w:val="003352E9"/>
    <w:rsid w:val="00335944"/>
    <w:rsid w:val="00335B58"/>
    <w:rsid w:val="003361CD"/>
    <w:rsid w:val="00336800"/>
    <w:rsid w:val="00337485"/>
    <w:rsid w:val="00337998"/>
    <w:rsid w:val="00340EE0"/>
    <w:rsid w:val="00342249"/>
    <w:rsid w:val="00342257"/>
    <w:rsid w:val="003429F0"/>
    <w:rsid w:val="003436E2"/>
    <w:rsid w:val="00343738"/>
    <w:rsid w:val="00345161"/>
    <w:rsid w:val="003451E6"/>
    <w:rsid w:val="00345512"/>
    <w:rsid w:val="00345885"/>
    <w:rsid w:val="00346000"/>
    <w:rsid w:val="00346386"/>
    <w:rsid w:val="00346898"/>
    <w:rsid w:val="00346DEC"/>
    <w:rsid w:val="003473EB"/>
    <w:rsid w:val="003476CB"/>
    <w:rsid w:val="00347F49"/>
    <w:rsid w:val="00350766"/>
    <w:rsid w:val="0035087A"/>
    <w:rsid w:val="00350ADB"/>
    <w:rsid w:val="0035131A"/>
    <w:rsid w:val="003515E9"/>
    <w:rsid w:val="00351BA2"/>
    <w:rsid w:val="00351E1D"/>
    <w:rsid w:val="00352106"/>
    <w:rsid w:val="003537D3"/>
    <w:rsid w:val="00353ACE"/>
    <w:rsid w:val="0035499F"/>
    <w:rsid w:val="00354DE6"/>
    <w:rsid w:val="003552EF"/>
    <w:rsid w:val="00355B6A"/>
    <w:rsid w:val="003562FF"/>
    <w:rsid w:val="00356D98"/>
    <w:rsid w:val="00360799"/>
    <w:rsid w:val="003611FE"/>
    <w:rsid w:val="003618B7"/>
    <w:rsid w:val="00361FD4"/>
    <w:rsid w:val="00362534"/>
    <w:rsid w:val="0036273D"/>
    <w:rsid w:val="00362DAF"/>
    <w:rsid w:val="00362EDF"/>
    <w:rsid w:val="0036355F"/>
    <w:rsid w:val="00364B30"/>
    <w:rsid w:val="00365265"/>
    <w:rsid w:val="00365568"/>
    <w:rsid w:val="00366442"/>
    <w:rsid w:val="00366935"/>
    <w:rsid w:val="00366F43"/>
    <w:rsid w:val="00367086"/>
    <w:rsid w:val="00367590"/>
    <w:rsid w:val="00370F51"/>
    <w:rsid w:val="00373577"/>
    <w:rsid w:val="00374148"/>
    <w:rsid w:val="0037536E"/>
    <w:rsid w:val="0037554D"/>
    <w:rsid w:val="003758CF"/>
    <w:rsid w:val="003770CE"/>
    <w:rsid w:val="0037715E"/>
    <w:rsid w:val="0037768C"/>
    <w:rsid w:val="00377F60"/>
    <w:rsid w:val="0038030A"/>
    <w:rsid w:val="0038043B"/>
    <w:rsid w:val="00380488"/>
    <w:rsid w:val="003808D3"/>
    <w:rsid w:val="00381A61"/>
    <w:rsid w:val="003827A3"/>
    <w:rsid w:val="00382882"/>
    <w:rsid w:val="00383687"/>
    <w:rsid w:val="0038369F"/>
    <w:rsid w:val="00383E12"/>
    <w:rsid w:val="00383EC3"/>
    <w:rsid w:val="003840B9"/>
    <w:rsid w:val="00384284"/>
    <w:rsid w:val="003854E1"/>
    <w:rsid w:val="00386089"/>
    <w:rsid w:val="00386633"/>
    <w:rsid w:val="003871AC"/>
    <w:rsid w:val="003903FC"/>
    <w:rsid w:val="0039060D"/>
    <w:rsid w:val="00390FFC"/>
    <w:rsid w:val="00391217"/>
    <w:rsid w:val="003912C6"/>
    <w:rsid w:val="00391375"/>
    <w:rsid w:val="003913E6"/>
    <w:rsid w:val="00391B0E"/>
    <w:rsid w:val="00392240"/>
    <w:rsid w:val="00392B2D"/>
    <w:rsid w:val="00392BF7"/>
    <w:rsid w:val="00392DF2"/>
    <w:rsid w:val="00394084"/>
    <w:rsid w:val="0039532F"/>
    <w:rsid w:val="00395FD9"/>
    <w:rsid w:val="00397F5B"/>
    <w:rsid w:val="003A08F2"/>
    <w:rsid w:val="003A139B"/>
    <w:rsid w:val="003A1697"/>
    <w:rsid w:val="003A1BFB"/>
    <w:rsid w:val="003A2560"/>
    <w:rsid w:val="003A29AE"/>
    <w:rsid w:val="003A2BD3"/>
    <w:rsid w:val="003A4528"/>
    <w:rsid w:val="003A4656"/>
    <w:rsid w:val="003A5087"/>
    <w:rsid w:val="003A57BB"/>
    <w:rsid w:val="003A595C"/>
    <w:rsid w:val="003A640A"/>
    <w:rsid w:val="003A69E2"/>
    <w:rsid w:val="003A6FA6"/>
    <w:rsid w:val="003A7995"/>
    <w:rsid w:val="003A7F14"/>
    <w:rsid w:val="003B0385"/>
    <w:rsid w:val="003B06E6"/>
    <w:rsid w:val="003B0F6B"/>
    <w:rsid w:val="003B180F"/>
    <w:rsid w:val="003B1991"/>
    <w:rsid w:val="003B39D6"/>
    <w:rsid w:val="003B61AB"/>
    <w:rsid w:val="003B6ADE"/>
    <w:rsid w:val="003B6BE7"/>
    <w:rsid w:val="003B6F81"/>
    <w:rsid w:val="003C02BB"/>
    <w:rsid w:val="003C038E"/>
    <w:rsid w:val="003C1136"/>
    <w:rsid w:val="003C165F"/>
    <w:rsid w:val="003C16F8"/>
    <w:rsid w:val="003C1F10"/>
    <w:rsid w:val="003C27C1"/>
    <w:rsid w:val="003C2A6F"/>
    <w:rsid w:val="003C2E15"/>
    <w:rsid w:val="003C3266"/>
    <w:rsid w:val="003C3A8F"/>
    <w:rsid w:val="003C418E"/>
    <w:rsid w:val="003C4E30"/>
    <w:rsid w:val="003C5411"/>
    <w:rsid w:val="003C6AEB"/>
    <w:rsid w:val="003C7404"/>
    <w:rsid w:val="003C79DA"/>
    <w:rsid w:val="003C7BD8"/>
    <w:rsid w:val="003D020B"/>
    <w:rsid w:val="003D1E23"/>
    <w:rsid w:val="003D2465"/>
    <w:rsid w:val="003D361D"/>
    <w:rsid w:val="003D4791"/>
    <w:rsid w:val="003D5472"/>
    <w:rsid w:val="003D550E"/>
    <w:rsid w:val="003D6763"/>
    <w:rsid w:val="003D68C9"/>
    <w:rsid w:val="003D6912"/>
    <w:rsid w:val="003D6CAE"/>
    <w:rsid w:val="003D7423"/>
    <w:rsid w:val="003D79AA"/>
    <w:rsid w:val="003D7D10"/>
    <w:rsid w:val="003D7FF7"/>
    <w:rsid w:val="003E0CAE"/>
    <w:rsid w:val="003E1C26"/>
    <w:rsid w:val="003E2CD6"/>
    <w:rsid w:val="003E322E"/>
    <w:rsid w:val="003E3636"/>
    <w:rsid w:val="003E40D3"/>
    <w:rsid w:val="003E4575"/>
    <w:rsid w:val="003E545D"/>
    <w:rsid w:val="003E5C1C"/>
    <w:rsid w:val="003E63C2"/>
    <w:rsid w:val="003E6BA0"/>
    <w:rsid w:val="003F082D"/>
    <w:rsid w:val="003F0E57"/>
    <w:rsid w:val="003F0EA8"/>
    <w:rsid w:val="003F2CA8"/>
    <w:rsid w:val="003F2F16"/>
    <w:rsid w:val="003F32A6"/>
    <w:rsid w:val="003F345E"/>
    <w:rsid w:val="003F34C3"/>
    <w:rsid w:val="003F34F4"/>
    <w:rsid w:val="003F4163"/>
    <w:rsid w:val="003F4FC6"/>
    <w:rsid w:val="003F56C3"/>
    <w:rsid w:val="003F5DA7"/>
    <w:rsid w:val="003F60E5"/>
    <w:rsid w:val="003F6DFD"/>
    <w:rsid w:val="003F6F7A"/>
    <w:rsid w:val="003F7612"/>
    <w:rsid w:val="00400AC2"/>
    <w:rsid w:val="00402390"/>
    <w:rsid w:val="00402523"/>
    <w:rsid w:val="00402CED"/>
    <w:rsid w:val="00402E00"/>
    <w:rsid w:val="004030E1"/>
    <w:rsid w:val="004046DD"/>
    <w:rsid w:val="004054E9"/>
    <w:rsid w:val="004055CB"/>
    <w:rsid w:val="00405738"/>
    <w:rsid w:val="004075E9"/>
    <w:rsid w:val="00410854"/>
    <w:rsid w:val="00410B37"/>
    <w:rsid w:val="0041173A"/>
    <w:rsid w:val="004122AC"/>
    <w:rsid w:val="00413A8E"/>
    <w:rsid w:val="00413FFB"/>
    <w:rsid w:val="0041491C"/>
    <w:rsid w:val="00414AF3"/>
    <w:rsid w:val="00414BDD"/>
    <w:rsid w:val="004151BB"/>
    <w:rsid w:val="004156E0"/>
    <w:rsid w:val="00416035"/>
    <w:rsid w:val="00416BC3"/>
    <w:rsid w:val="0041778E"/>
    <w:rsid w:val="00420110"/>
    <w:rsid w:val="00420310"/>
    <w:rsid w:val="00420CE4"/>
    <w:rsid w:val="00420DD5"/>
    <w:rsid w:val="00421057"/>
    <w:rsid w:val="00421574"/>
    <w:rsid w:val="004217FC"/>
    <w:rsid w:val="00421C1F"/>
    <w:rsid w:val="00421D09"/>
    <w:rsid w:val="00421EB7"/>
    <w:rsid w:val="00423164"/>
    <w:rsid w:val="00423294"/>
    <w:rsid w:val="004232D9"/>
    <w:rsid w:val="00423879"/>
    <w:rsid w:val="00424025"/>
    <w:rsid w:val="00424A5E"/>
    <w:rsid w:val="00424EF8"/>
    <w:rsid w:val="004254A2"/>
    <w:rsid w:val="00425D58"/>
    <w:rsid w:val="00426B0C"/>
    <w:rsid w:val="00426B2E"/>
    <w:rsid w:val="0042702F"/>
    <w:rsid w:val="00430C25"/>
    <w:rsid w:val="0043116C"/>
    <w:rsid w:val="0043163A"/>
    <w:rsid w:val="00432291"/>
    <w:rsid w:val="004323BD"/>
    <w:rsid w:val="0043245C"/>
    <w:rsid w:val="004325CA"/>
    <w:rsid w:val="004325DD"/>
    <w:rsid w:val="004338C5"/>
    <w:rsid w:val="00433983"/>
    <w:rsid w:val="00433BA7"/>
    <w:rsid w:val="004340D9"/>
    <w:rsid w:val="004351AB"/>
    <w:rsid w:val="00436993"/>
    <w:rsid w:val="004369BA"/>
    <w:rsid w:val="00437A81"/>
    <w:rsid w:val="00440B56"/>
    <w:rsid w:val="0044135F"/>
    <w:rsid w:val="00441525"/>
    <w:rsid w:val="00441A31"/>
    <w:rsid w:val="004428AF"/>
    <w:rsid w:val="00442C42"/>
    <w:rsid w:val="00443763"/>
    <w:rsid w:val="00443943"/>
    <w:rsid w:val="00443E78"/>
    <w:rsid w:val="00443EA8"/>
    <w:rsid w:val="0044469E"/>
    <w:rsid w:val="00444B62"/>
    <w:rsid w:val="004451EC"/>
    <w:rsid w:val="0044533F"/>
    <w:rsid w:val="00445AED"/>
    <w:rsid w:val="00445B2D"/>
    <w:rsid w:val="00447271"/>
    <w:rsid w:val="00447314"/>
    <w:rsid w:val="00453072"/>
    <w:rsid w:val="0045347B"/>
    <w:rsid w:val="0045381A"/>
    <w:rsid w:val="004551B6"/>
    <w:rsid w:val="004558B7"/>
    <w:rsid w:val="004563F7"/>
    <w:rsid w:val="00456452"/>
    <w:rsid w:val="004570D3"/>
    <w:rsid w:val="004607F1"/>
    <w:rsid w:val="00460BA3"/>
    <w:rsid w:val="00461434"/>
    <w:rsid w:val="00461957"/>
    <w:rsid w:val="00461C67"/>
    <w:rsid w:val="00462104"/>
    <w:rsid w:val="00462710"/>
    <w:rsid w:val="0046332E"/>
    <w:rsid w:val="00463569"/>
    <w:rsid w:val="00463969"/>
    <w:rsid w:val="00464B03"/>
    <w:rsid w:val="004666BA"/>
    <w:rsid w:val="00466BCA"/>
    <w:rsid w:val="00467421"/>
    <w:rsid w:val="00467521"/>
    <w:rsid w:val="004702A3"/>
    <w:rsid w:val="00470AA5"/>
    <w:rsid w:val="00470F97"/>
    <w:rsid w:val="00470FD8"/>
    <w:rsid w:val="0047100F"/>
    <w:rsid w:val="004723B0"/>
    <w:rsid w:val="00472716"/>
    <w:rsid w:val="00472EB6"/>
    <w:rsid w:val="00473044"/>
    <w:rsid w:val="0047345F"/>
    <w:rsid w:val="0047374F"/>
    <w:rsid w:val="00473C6F"/>
    <w:rsid w:val="004743DD"/>
    <w:rsid w:val="00475243"/>
    <w:rsid w:val="004756CE"/>
    <w:rsid w:val="00476371"/>
    <w:rsid w:val="00476D3F"/>
    <w:rsid w:val="00477256"/>
    <w:rsid w:val="00477265"/>
    <w:rsid w:val="00477846"/>
    <w:rsid w:val="00481104"/>
    <w:rsid w:val="004813C2"/>
    <w:rsid w:val="0048273C"/>
    <w:rsid w:val="004829C1"/>
    <w:rsid w:val="00482B34"/>
    <w:rsid w:val="00483821"/>
    <w:rsid w:val="00483D90"/>
    <w:rsid w:val="00484197"/>
    <w:rsid w:val="00484B92"/>
    <w:rsid w:val="004852D5"/>
    <w:rsid w:val="00487A27"/>
    <w:rsid w:val="00490201"/>
    <w:rsid w:val="004909B7"/>
    <w:rsid w:val="00491575"/>
    <w:rsid w:val="00491E93"/>
    <w:rsid w:val="0049238C"/>
    <w:rsid w:val="00492518"/>
    <w:rsid w:val="0049429F"/>
    <w:rsid w:val="004944CF"/>
    <w:rsid w:val="004949B1"/>
    <w:rsid w:val="00495CF2"/>
    <w:rsid w:val="0049641A"/>
    <w:rsid w:val="004978D2"/>
    <w:rsid w:val="00497CEF"/>
    <w:rsid w:val="004A0EFC"/>
    <w:rsid w:val="004A230F"/>
    <w:rsid w:val="004A2527"/>
    <w:rsid w:val="004A2540"/>
    <w:rsid w:val="004A25E8"/>
    <w:rsid w:val="004A38A9"/>
    <w:rsid w:val="004A3CF5"/>
    <w:rsid w:val="004A3FB1"/>
    <w:rsid w:val="004A492D"/>
    <w:rsid w:val="004A49C6"/>
    <w:rsid w:val="004A4A42"/>
    <w:rsid w:val="004A536C"/>
    <w:rsid w:val="004A679A"/>
    <w:rsid w:val="004A6DB4"/>
    <w:rsid w:val="004B0A87"/>
    <w:rsid w:val="004B13CC"/>
    <w:rsid w:val="004B196A"/>
    <w:rsid w:val="004B1AFF"/>
    <w:rsid w:val="004B23E8"/>
    <w:rsid w:val="004B2730"/>
    <w:rsid w:val="004B29E9"/>
    <w:rsid w:val="004B3031"/>
    <w:rsid w:val="004B3FCE"/>
    <w:rsid w:val="004B4145"/>
    <w:rsid w:val="004B459B"/>
    <w:rsid w:val="004B45E3"/>
    <w:rsid w:val="004B4A1B"/>
    <w:rsid w:val="004B4D1D"/>
    <w:rsid w:val="004B53AC"/>
    <w:rsid w:val="004B555C"/>
    <w:rsid w:val="004B5821"/>
    <w:rsid w:val="004B5A94"/>
    <w:rsid w:val="004B61E1"/>
    <w:rsid w:val="004C1358"/>
    <w:rsid w:val="004C1389"/>
    <w:rsid w:val="004C24BD"/>
    <w:rsid w:val="004C24E1"/>
    <w:rsid w:val="004C2AF2"/>
    <w:rsid w:val="004C2B48"/>
    <w:rsid w:val="004C4034"/>
    <w:rsid w:val="004C4364"/>
    <w:rsid w:val="004C4698"/>
    <w:rsid w:val="004C4E19"/>
    <w:rsid w:val="004C50D8"/>
    <w:rsid w:val="004C50F9"/>
    <w:rsid w:val="004C532A"/>
    <w:rsid w:val="004C53F5"/>
    <w:rsid w:val="004C692C"/>
    <w:rsid w:val="004C6D2D"/>
    <w:rsid w:val="004C764C"/>
    <w:rsid w:val="004C7882"/>
    <w:rsid w:val="004C7DE4"/>
    <w:rsid w:val="004D0316"/>
    <w:rsid w:val="004D0452"/>
    <w:rsid w:val="004D05AD"/>
    <w:rsid w:val="004D08E1"/>
    <w:rsid w:val="004D08F9"/>
    <w:rsid w:val="004D0BC5"/>
    <w:rsid w:val="004D127A"/>
    <w:rsid w:val="004D17AF"/>
    <w:rsid w:val="004D1897"/>
    <w:rsid w:val="004D1C07"/>
    <w:rsid w:val="004D248E"/>
    <w:rsid w:val="004D30B6"/>
    <w:rsid w:val="004D489D"/>
    <w:rsid w:val="004D59A9"/>
    <w:rsid w:val="004D59AF"/>
    <w:rsid w:val="004D5CC7"/>
    <w:rsid w:val="004D5E07"/>
    <w:rsid w:val="004D685E"/>
    <w:rsid w:val="004D6D19"/>
    <w:rsid w:val="004D753A"/>
    <w:rsid w:val="004E00C6"/>
    <w:rsid w:val="004E1380"/>
    <w:rsid w:val="004E1B1E"/>
    <w:rsid w:val="004E1D09"/>
    <w:rsid w:val="004E2294"/>
    <w:rsid w:val="004E2EE1"/>
    <w:rsid w:val="004E32D6"/>
    <w:rsid w:val="004E35CC"/>
    <w:rsid w:val="004E5D3B"/>
    <w:rsid w:val="004E6045"/>
    <w:rsid w:val="004E7012"/>
    <w:rsid w:val="004E73B4"/>
    <w:rsid w:val="004E7EB2"/>
    <w:rsid w:val="004F0314"/>
    <w:rsid w:val="004F03C5"/>
    <w:rsid w:val="004F054B"/>
    <w:rsid w:val="004F2B56"/>
    <w:rsid w:val="004F3452"/>
    <w:rsid w:val="004F3949"/>
    <w:rsid w:val="004F3ABF"/>
    <w:rsid w:val="004F40BF"/>
    <w:rsid w:val="004F4D87"/>
    <w:rsid w:val="004F66AC"/>
    <w:rsid w:val="004F7C29"/>
    <w:rsid w:val="0050007E"/>
    <w:rsid w:val="00500230"/>
    <w:rsid w:val="005002F3"/>
    <w:rsid w:val="00500A3A"/>
    <w:rsid w:val="00500E3B"/>
    <w:rsid w:val="00502000"/>
    <w:rsid w:val="0050244C"/>
    <w:rsid w:val="00502A57"/>
    <w:rsid w:val="00502BF0"/>
    <w:rsid w:val="00503EF7"/>
    <w:rsid w:val="0050433E"/>
    <w:rsid w:val="00504ECC"/>
    <w:rsid w:val="0050571B"/>
    <w:rsid w:val="00505953"/>
    <w:rsid w:val="005065F4"/>
    <w:rsid w:val="00506C9E"/>
    <w:rsid w:val="00506EC7"/>
    <w:rsid w:val="00507012"/>
    <w:rsid w:val="005074AF"/>
    <w:rsid w:val="005078C9"/>
    <w:rsid w:val="00511FDF"/>
    <w:rsid w:val="005124AC"/>
    <w:rsid w:val="005129A6"/>
    <w:rsid w:val="00512BD8"/>
    <w:rsid w:val="00512FF3"/>
    <w:rsid w:val="005132EF"/>
    <w:rsid w:val="005137C7"/>
    <w:rsid w:val="00513865"/>
    <w:rsid w:val="0051487F"/>
    <w:rsid w:val="005148E4"/>
    <w:rsid w:val="00515089"/>
    <w:rsid w:val="005154FE"/>
    <w:rsid w:val="00515617"/>
    <w:rsid w:val="00515804"/>
    <w:rsid w:val="00515F44"/>
    <w:rsid w:val="0051658B"/>
    <w:rsid w:val="00516C0D"/>
    <w:rsid w:val="00517075"/>
    <w:rsid w:val="00522765"/>
    <w:rsid w:val="00523C2D"/>
    <w:rsid w:val="00524A92"/>
    <w:rsid w:val="005257B4"/>
    <w:rsid w:val="0052605C"/>
    <w:rsid w:val="005264B2"/>
    <w:rsid w:val="005268B0"/>
    <w:rsid w:val="00526C2C"/>
    <w:rsid w:val="00526E3E"/>
    <w:rsid w:val="00527649"/>
    <w:rsid w:val="00530806"/>
    <w:rsid w:val="005328DD"/>
    <w:rsid w:val="0053310C"/>
    <w:rsid w:val="00533D31"/>
    <w:rsid w:val="00533EF5"/>
    <w:rsid w:val="00534D6A"/>
    <w:rsid w:val="00535495"/>
    <w:rsid w:val="0053580B"/>
    <w:rsid w:val="00536142"/>
    <w:rsid w:val="00537145"/>
    <w:rsid w:val="00537465"/>
    <w:rsid w:val="005402EE"/>
    <w:rsid w:val="00540383"/>
    <w:rsid w:val="005403B7"/>
    <w:rsid w:val="005410A2"/>
    <w:rsid w:val="00542323"/>
    <w:rsid w:val="005424DB"/>
    <w:rsid w:val="0054259F"/>
    <w:rsid w:val="0054360E"/>
    <w:rsid w:val="00543D79"/>
    <w:rsid w:val="00543F49"/>
    <w:rsid w:val="00544173"/>
    <w:rsid w:val="00544219"/>
    <w:rsid w:val="00544474"/>
    <w:rsid w:val="00544F1C"/>
    <w:rsid w:val="00547115"/>
    <w:rsid w:val="00547C40"/>
    <w:rsid w:val="005509B9"/>
    <w:rsid w:val="00551450"/>
    <w:rsid w:val="00554217"/>
    <w:rsid w:val="00554654"/>
    <w:rsid w:val="00554A5B"/>
    <w:rsid w:val="00554D79"/>
    <w:rsid w:val="0055521F"/>
    <w:rsid w:val="0055592A"/>
    <w:rsid w:val="00555CF4"/>
    <w:rsid w:val="00556293"/>
    <w:rsid w:val="00556799"/>
    <w:rsid w:val="00556810"/>
    <w:rsid w:val="00556E32"/>
    <w:rsid w:val="00557861"/>
    <w:rsid w:val="00557927"/>
    <w:rsid w:val="00560F70"/>
    <w:rsid w:val="00561203"/>
    <w:rsid w:val="00561848"/>
    <w:rsid w:val="00563031"/>
    <w:rsid w:val="00563A23"/>
    <w:rsid w:val="00563BA3"/>
    <w:rsid w:val="00563C47"/>
    <w:rsid w:val="005659D9"/>
    <w:rsid w:val="00565F45"/>
    <w:rsid w:val="00567351"/>
    <w:rsid w:val="0056788D"/>
    <w:rsid w:val="005704BE"/>
    <w:rsid w:val="00570980"/>
    <w:rsid w:val="00570A51"/>
    <w:rsid w:val="00570F23"/>
    <w:rsid w:val="0057193C"/>
    <w:rsid w:val="0057269E"/>
    <w:rsid w:val="00572857"/>
    <w:rsid w:val="00572C1D"/>
    <w:rsid w:val="00572E73"/>
    <w:rsid w:val="005754BD"/>
    <w:rsid w:val="0057646C"/>
    <w:rsid w:val="00576ECA"/>
    <w:rsid w:val="00580900"/>
    <w:rsid w:val="00581087"/>
    <w:rsid w:val="0058109F"/>
    <w:rsid w:val="0058170E"/>
    <w:rsid w:val="005819B0"/>
    <w:rsid w:val="00582D52"/>
    <w:rsid w:val="00582DD0"/>
    <w:rsid w:val="005833F5"/>
    <w:rsid w:val="005836D6"/>
    <w:rsid w:val="00583FF6"/>
    <w:rsid w:val="00585E25"/>
    <w:rsid w:val="00585F8B"/>
    <w:rsid w:val="005869C7"/>
    <w:rsid w:val="00590770"/>
    <w:rsid w:val="00590ACF"/>
    <w:rsid w:val="00590E91"/>
    <w:rsid w:val="00590FB8"/>
    <w:rsid w:val="00591E9B"/>
    <w:rsid w:val="00592598"/>
    <w:rsid w:val="00593447"/>
    <w:rsid w:val="0059496D"/>
    <w:rsid w:val="005950C9"/>
    <w:rsid w:val="00595413"/>
    <w:rsid w:val="00597065"/>
    <w:rsid w:val="005971F6"/>
    <w:rsid w:val="005A03DC"/>
    <w:rsid w:val="005A07FC"/>
    <w:rsid w:val="005A0A56"/>
    <w:rsid w:val="005A0ECE"/>
    <w:rsid w:val="005A1002"/>
    <w:rsid w:val="005A140F"/>
    <w:rsid w:val="005A22CB"/>
    <w:rsid w:val="005A2417"/>
    <w:rsid w:val="005A3393"/>
    <w:rsid w:val="005A374C"/>
    <w:rsid w:val="005A3969"/>
    <w:rsid w:val="005A3978"/>
    <w:rsid w:val="005A4204"/>
    <w:rsid w:val="005A43B0"/>
    <w:rsid w:val="005A5402"/>
    <w:rsid w:val="005A5DE5"/>
    <w:rsid w:val="005A6F06"/>
    <w:rsid w:val="005A7EE1"/>
    <w:rsid w:val="005B057F"/>
    <w:rsid w:val="005B1403"/>
    <w:rsid w:val="005B19DF"/>
    <w:rsid w:val="005B1B90"/>
    <w:rsid w:val="005B2895"/>
    <w:rsid w:val="005B2F93"/>
    <w:rsid w:val="005B3479"/>
    <w:rsid w:val="005B3E15"/>
    <w:rsid w:val="005B40BC"/>
    <w:rsid w:val="005B4128"/>
    <w:rsid w:val="005B4B26"/>
    <w:rsid w:val="005B585D"/>
    <w:rsid w:val="005B678E"/>
    <w:rsid w:val="005B6F70"/>
    <w:rsid w:val="005B708C"/>
    <w:rsid w:val="005C0488"/>
    <w:rsid w:val="005C0C62"/>
    <w:rsid w:val="005C0C94"/>
    <w:rsid w:val="005C1626"/>
    <w:rsid w:val="005C1A30"/>
    <w:rsid w:val="005C1F8C"/>
    <w:rsid w:val="005C251A"/>
    <w:rsid w:val="005C339F"/>
    <w:rsid w:val="005C36E2"/>
    <w:rsid w:val="005C3BA0"/>
    <w:rsid w:val="005C59F0"/>
    <w:rsid w:val="005C59FA"/>
    <w:rsid w:val="005C61ED"/>
    <w:rsid w:val="005C6772"/>
    <w:rsid w:val="005C6AD4"/>
    <w:rsid w:val="005C77E9"/>
    <w:rsid w:val="005C7D1C"/>
    <w:rsid w:val="005C7DFA"/>
    <w:rsid w:val="005C7EBE"/>
    <w:rsid w:val="005D07B9"/>
    <w:rsid w:val="005D2340"/>
    <w:rsid w:val="005D4566"/>
    <w:rsid w:val="005D587C"/>
    <w:rsid w:val="005D5B24"/>
    <w:rsid w:val="005D5C93"/>
    <w:rsid w:val="005D5E25"/>
    <w:rsid w:val="005D6595"/>
    <w:rsid w:val="005D6837"/>
    <w:rsid w:val="005D6D26"/>
    <w:rsid w:val="005D79CE"/>
    <w:rsid w:val="005D7B39"/>
    <w:rsid w:val="005D7C69"/>
    <w:rsid w:val="005E0287"/>
    <w:rsid w:val="005E0758"/>
    <w:rsid w:val="005E0828"/>
    <w:rsid w:val="005E0CFE"/>
    <w:rsid w:val="005E16A7"/>
    <w:rsid w:val="005E218A"/>
    <w:rsid w:val="005E2A33"/>
    <w:rsid w:val="005E3194"/>
    <w:rsid w:val="005E46EE"/>
    <w:rsid w:val="005E56B8"/>
    <w:rsid w:val="005E5D47"/>
    <w:rsid w:val="005E6AFA"/>
    <w:rsid w:val="005E78EA"/>
    <w:rsid w:val="005E7E48"/>
    <w:rsid w:val="005F0A62"/>
    <w:rsid w:val="005F0B81"/>
    <w:rsid w:val="005F0E07"/>
    <w:rsid w:val="005F0E53"/>
    <w:rsid w:val="005F0EB6"/>
    <w:rsid w:val="005F10B1"/>
    <w:rsid w:val="005F11FA"/>
    <w:rsid w:val="005F245F"/>
    <w:rsid w:val="005F342E"/>
    <w:rsid w:val="005F402D"/>
    <w:rsid w:val="005F4084"/>
    <w:rsid w:val="005F524A"/>
    <w:rsid w:val="005F5643"/>
    <w:rsid w:val="005F57EA"/>
    <w:rsid w:val="005F7604"/>
    <w:rsid w:val="005F782E"/>
    <w:rsid w:val="00600396"/>
    <w:rsid w:val="00601AA1"/>
    <w:rsid w:val="00602E66"/>
    <w:rsid w:val="006036B0"/>
    <w:rsid w:val="006037F4"/>
    <w:rsid w:val="00604498"/>
    <w:rsid w:val="006051AD"/>
    <w:rsid w:val="00605862"/>
    <w:rsid w:val="00605BC8"/>
    <w:rsid w:val="006066B4"/>
    <w:rsid w:val="00607273"/>
    <w:rsid w:val="00607F52"/>
    <w:rsid w:val="00610DB4"/>
    <w:rsid w:val="0061124D"/>
    <w:rsid w:val="0061147A"/>
    <w:rsid w:val="00611DE9"/>
    <w:rsid w:val="0061214D"/>
    <w:rsid w:val="0061240C"/>
    <w:rsid w:val="00612E62"/>
    <w:rsid w:val="006130C6"/>
    <w:rsid w:val="00613938"/>
    <w:rsid w:val="00614D26"/>
    <w:rsid w:val="00615AAB"/>
    <w:rsid w:val="00615DC8"/>
    <w:rsid w:val="006173BD"/>
    <w:rsid w:val="00617412"/>
    <w:rsid w:val="00617E7C"/>
    <w:rsid w:val="00617FBC"/>
    <w:rsid w:val="00620097"/>
    <w:rsid w:val="00621BD4"/>
    <w:rsid w:val="006224B5"/>
    <w:rsid w:val="00622BC0"/>
    <w:rsid w:val="00622DDE"/>
    <w:rsid w:val="006234F6"/>
    <w:rsid w:val="0062364F"/>
    <w:rsid w:val="00624AC1"/>
    <w:rsid w:val="006255C6"/>
    <w:rsid w:val="00625A1F"/>
    <w:rsid w:val="00625B0F"/>
    <w:rsid w:val="00625FFC"/>
    <w:rsid w:val="0062751B"/>
    <w:rsid w:val="00627AB3"/>
    <w:rsid w:val="00627AF3"/>
    <w:rsid w:val="0063089D"/>
    <w:rsid w:val="006308B4"/>
    <w:rsid w:val="00630AAA"/>
    <w:rsid w:val="00630D06"/>
    <w:rsid w:val="0063124E"/>
    <w:rsid w:val="00631336"/>
    <w:rsid w:val="006317F6"/>
    <w:rsid w:val="00631BCC"/>
    <w:rsid w:val="00631D27"/>
    <w:rsid w:val="00631E5D"/>
    <w:rsid w:val="006320D4"/>
    <w:rsid w:val="0063389C"/>
    <w:rsid w:val="00635651"/>
    <w:rsid w:val="00635A46"/>
    <w:rsid w:val="00635E09"/>
    <w:rsid w:val="00635EA4"/>
    <w:rsid w:val="0063681B"/>
    <w:rsid w:val="00637309"/>
    <w:rsid w:val="00637AFF"/>
    <w:rsid w:val="00640362"/>
    <w:rsid w:val="00640785"/>
    <w:rsid w:val="00640E62"/>
    <w:rsid w:val="00640F43"/>
    <w:rsid w:val="00641327"/>
    <w:rsid w:val="00641824"/>
    <w:rsid w:val="00641E47"/>
    <w:rsid w:val="006428C4"/>
    <w:rsid w:val="006428FD"/>
    <w:rsid w:val="006447E6"/>
    <w:rsid w:val="00644F03"/>
    <w:rsid w:val="00645306"/>
    <w:rsid w:val="006460DF"/>
    <w:rsid w:val="00647C73"/>
    <w:rsid w:val="00647FF2"/>
    <w:rsid w:val="006500EC"/>
    <w:rsid w:val="006504FF"/>
    <w:rsid w:val="00651136"/>
    <w:rsid w:val="006517C9"/>
    <w:rsid w:val="00651E3A"/>
    <w:rsid w:val="006528FA"/>
    <w:rsid w:val="0065337B"/>
    <w:rsid w:val="00653733"/>
    <w:rsid w:val="00653AE0"/>
    <w:rsid w:val="0065506A"/>
    <w:rsid w:val="00655445"/>
    <w:rsid w:val="00655F73"/>
    <w:rsid w:val="00655FFC"/>
    <w:rsid w:val="00656319"/>
    <w:rsid w:val="006565DF"/>
    <w:rsid w:val="0065668E"/>
    <w:rsid w:val="00657C6F"/>
    <w:rsid w:val="0066078D"/>
    <w:rsid w:val="00662211"/>
    <w:rsid w:val="00662FC2"/>
    <w:rsid w:val="006630F1"/>
    <w:rsid w:val="00663542"/>
    <w:rsid w:val="006636A2"/>
    <w:rsid w:val="00663AD9"/>
    <w:rsid w:val="00663F9E"/>
    <w:rsid w:val="00664E6E"/>
    <w:rsid w:val="00665B77"/>
    <w:rsid w:val="00665C1B"/>
    <w:rsid w:val="0066751B"/>
    <w:rsid w:val="00670A49"/>
    <w:rsid w:val="00671507"/>
    <w:rsid w:val="00672042"/>
    <w:rsid w:val="00672777"/>
    <w:rsid w:val="00673006"/>
    <w:rsid w:val="006739B5"/>
    <w:rsid w:val="00673AEC"/>
    <w:rsid w:val="00674E51"/>
    <w:rsid w:val="006755DC"/>
    <w:rsid w:val="006762DD"/>
    <w:rsid w:val="0067671E"/>
    <w:rsid w:val="006800C9"/>
    <w:rsid w:val="006814B1"/>
    <w:rsid w:val="0068190F"/>
    <w:rsid w:val="00681990"/>
    <w:rsid w:val="00682568"/>
    <w:rsid w:val="0068343B"/>
    <w:rsid w:val="00683EC4"/>
    <w:rsid w:val="00684FCA"/>
    <w:rsid w:val="00685606"/>
    <w:rsid w:val="00685BBC"/>
    <w:rsid w:val="006868D2"/>
    <w:rsid w:val="00687E76"/>
    <w:rsid w:val="00690410"/>
    <w:rsid w:val="00690E14"/>
    <w:rsid w:val="006917BE"/>
    <w:rsid w:val="006922EA"/>
    <w:rsid w:val="006925AB"/>
    <w:rsid w:val="00692851"/>
    <w:rsid w:val="00692FE5"/>
    <w:rsid w:val="00693F6C"/>
    <w:rsid w:val="00694F12"/>
    <w:rsid w:val="00695046"/>
    <w:rsid w:val="0069637D"/>
    <w:rsid w:val="0069669C"/>
    <w:rsid w:val="00696C8E"/>
    <w:rsid w:val="00696CFC"/>
    <w:rsid w:val="006973BE"/>
    <w:rsid w:val="00697832"/>
    <w:rsid w:val="00697D99"/>
    <w:rsid w:val="006A004B"/>
    <w:rsid w:val="006A1406"/>
    <w:rsid w:val="006A1DD8"/>
    <w:rsid w:val="006A1F97"/>
    <w:rsid w:val="006A1FB3"/>
    <w:rsid w:val="006A2DCC"/>
    <w:rsid w:val="006A3B54"/>
    <w:rsid w:val="006A41D0"/>
    <w:rsid w:val="006A4C75"/>
    <w:rsid w:val="006A5733"/>
    <w:rsid w:val="006A598F"/>
    <w:rsid w:val="006A5C8B"/>
    <w:rsid w:val="006A6002"/>
    <w:rsid w:val="006A6690"/>
    <w:rsid w:val="006A6993"/>
    <w:rsid w:val="006A7025"/>
    <w:rsid w:val="006A756C"/>
    <w:rsid w:val="006B0DAE"/>
    <w:rsid w:val="006B169A"/>
    <w:rsid w:val="006B16B2"/>
    <w:rsid w:val="006B1758"/>
    <w:rsid w:val="006B17E7"/>
    <w:rsid w:val="006B2527"/>
    <w:rsid w:val="006B31B9"/>
    <w:rsid w:val="006B3ECD"/>
    <w:rsid w:val="006B565A"/>
    <w:rsid w:val="006B5916"/>
    <w:rsid w:val="006B594A"/>
    <w:rsid w:val="006B5E0B"/>
    <w:rsid w:val="006B612F"/>
    <w:rsid w:val="006B621B"/>
    <w:rsid w:val="006B6501"/>
    <w:rsid w:val="006B6E76"/>
    <w:rsid w:val="006B72CD"/>
    <w:rsid w:val="006B76B3"/>
    <w:rsid w:val="006B7CC9"/>
    <w:rsid w:val="006C0053"/>
    <w:rsid w:val="006C1036"/>
    <w:rsid w:val="006C130D"/>
    <w:rsid w:val="006C1955"/>
    <w:rsid w:val="006C1968"/>
    <w:rsid w:val="006C1AA9"/>
    <w:rsid w:val="006C266C"/>
    <w:rsid w:val="006C2C91"/>
    <w:rsid w:val="006C2D8D"/>
    <w:rsid w:val="006C33C9"/>
    <w:rsid w:val="006C370D"/>
    <w:rsid w:val="006C3CA3"/>
    <w:rsid w:val="006C3D5E"/>
    <w:rsid w:val="006C4606"/>
    <w:rsid w:val="006C47F7"/>
    <w:rsid w:val="006C5E7F"/>
    <w:rsid w:val="006C6058"/>
    <w:rsid w:val="006C72B9"/>
    <w:rsid w:val="006C73F5"/>
    <w:rsid w:val="006C77A1"/>
    <w:rsid w:val="006D06E4"/>
    <w:rsid w:val="006D0DD3"/>
    <w:rsid w:val="006D0F0B"/>
    <w:rsid w:val="006D1690"/>
    <w:rsid w:val="006D25F5"/>
    <w:rsid w:val="006D27BE"/>
    <w:rsid w:val="006D45A6"/>
    <w:rsid w:val="006D4BAF"/>
    <w:rsid w:val="006D4CCD"/>
    <w:rsid w:val="006D5210"/>
    <w:rsid w:val="006D5C32"/>
    <w:rsid w:val="006D5FF1"/>
    <w:rsid w:val="006D647A"/>
    <w:rsid w:val="006D6764"/>
    <w:rsid w:val="006D68C6"/>
    <w:rsid w:val="006D695A"/>
    <w:rsid w:val="006D6965"/>
    <w:rsid w:val="006D6A4F"/>
    <w:rsid w:val="006D6A98"/>
    <w:rsid w:val="006D6B7A"/>
    <w:rsid w:val="006E0774"/>
    <w:rsid w:val="006E1D5E"/>
    <w:rsid w:val="006E33AE"/>
    <w:rsid w:val="006E3E22"/>
    <w:rsid w:val="006E4443"/>
    <w:rsid w:val="006E490B"/>
    <w:rsid w:val="006E6096"/>
    <w:rsid w:val="006E7114"/>
    <w:rsid w:val="006E7863"/>
    <w:rsid w:val="006E7D52"/>
    <w:rsid w:val="006E7FE8"/>
    <w:rsid w:val="006F0BA6"/>
    <w:rsid w:val="006F0F6D"/>
    <w:rsid w:val="006F136B"/>
    <w:rsid w:val="006F13B7"/>
    <w:rsid w:val="006F18D6"/>
    <w:rsid w:val="006F1D0E"/>
    <w:rsid w:val="006F2354"/>
    <w:rsid w:val="006F2B8A"/>
    <w:rsid w:val="006F41D1"/>
    <w:rsid w:val="006F573B"/>
    <w:rsid w:val="006F5A06"/>
    <w:rsid w:val="006F5A5D"/>
    <w:rsid w:val="006F5AB4"/>
    <w:rsid w:val="006F5C0B"/>
    <w:rsid w:val="006F67A3"/>
    <w:rsid w:val="006F6E68"/>
    <w:rsid w:val="006F72CE"/>
    <w:rsid w:val="006F7321"/>
    <w:rsid w:val="006F7352"/>
    <w:rsid w:val="006F7FB6"/>
    <w:rsid w:val="00700419"/>
    <w:rsid w:val="0070142F"/>
    <w:rsid w:val="00701A4B"/>
    <w:rsid w:val="0070204C"/>
    <w:rsid w:val="00702F06"/>
    <w:rsid w:val="00703228"/>
    <w:rsid w:val="00703F76"/>
    <w:rsid w:val="00705044"/>
    <w:rsid w:val="007052C3"/>
    <w:rsid w:val="00705AAE"/>
    <w:rsid w:val="00705D8B"/>
    <w:rsid w:val="0070652C"/>
    <w:rsid w:val="00707060"/>
    <w:rsid w:val="007075B6"/>
    <w:rsid w:val="007078D9"/>
    <w:rsid w:val="0071038F"/>
    <w:rsid w:val="0071055F"/>
    <w:rsid w:val="007105AB"/>
    <w:rsid w:val="00710DB9"/>
    <w:rsid w:val="0071109F"/>
    <w:rsid w:val="007113AF"/>
    <w:rsid w:val="0071168A"/>
    <w:rsid w:val="00711908"/>
    <w:rsid w:val="00712A6D"/>
    <w:rsid w:val="007136C2"/>
    <w:rsid w:val="007141EC"/>
    <w:rsid w:val="00714ED1"/>
    <w:rsid w:val="00714FF6"/>
    <w:rsid w:val="00715DAC"/>
    <w:rsid w:val="00716C6E"/>
    <w:rsid w:val="007173CC"/>
    <w:rsid w:val="007175A0"/>
    <w:rsid w:val="0072118D"/>
    <w:rsid w:val="0072180B"/>
    <w:rsid w:val="00721E05"/>
    <w:rsid w:val="0072494F"/>
    <w:rsid w:val="0072497B"/>
    <w:rsid w:val="00724BEB"/>
    <w:rsid w:val="00725599"/>
    <w:rsid w:val="00726B87"/>
    <w:rsid w:val="0072775F"/>
    <w:rsid w:val="00727F87"/>
    <w:rsid w:val="00731466"/>
    <w:rsid w:val="00732F4C"/>
    <w:rsid w:val="00733267"/>
    <w:rsid w:val="0073373A"/>
    <w:rsid w:val="007341EA"/>
    <w:rsid w:val="00735656"/>
    <w:rsid w:val="00735A7F"/>
    <w:rsid w:val="00735D1D"/>
    <w:rsid w:val="007361D2"/>
    <w:rsid w:val="00736CCA"/>
    <w:rsid w:val="00737E7E"/>
    <w:rsid w:val="0074088F"/>
    <w:rsid w:val="00740C74"/>
    <w:rsid w:val="00740D01"/>
    <w:rsid w:val="00741967"/>
    <w:rsid w:val="00742963"/>
    <w:rsid w:val="0074327F"/>
    <w:rsid w:val="007442DC"/>
    <w:rsid w:val="007447D2"/>
    <w:rsid w:val="0074604B"/>
    <w:rsid w:val="00746B88"/>
    <w:rsid w:val="00747025"/>
    <w:rsid w:val="00747B82"/>
    <w:rsid w:val="00747C34"/>
    <w:rsid w:val="007504FD"/>
    <w:rsid w:val="007510BE"/>
    <w:rsid w:val="00752A30"/>
    <w:rsid w:val="00752A7A"/>
    <w:rsid w:val="007537C7"/>
    <w:rsid w:val="00753DDF"/>
    <w:rsid w:val="00753FD7"/>
    <w:rsid w:val="00754051"/>
    <w:rsid w:val="007545C9"/>
    <w:rsid w:val="00754A28"/>
    <w:rsid w:val="00755C0F"/>
    <w:rsid w:val="00755E62"/>
    <w:rsid w:val="007563B9"/>
    <w:rsid w:val="00756507"/>
    <w:rsid w:val="00757397"/>
    <w:rsid w:val="007609CD"/>
    <w:rsid w:val="00760A42"/>
    <w:rsid w:val="00760D89"/>
    <w:rsid w:val="007615D2"/>
    <w:rsid w:val="00761CC7"/>
    <w:rsid w:val="00762A60"/>
    <w:rsid w:val="007631FE"/>
    <w:rsid w:val="00763857"/>
    <w:rsid w:val="0076534B"/>
    <w:rsid w:val="00765B33"/>
    <w:rsid w:val="00765D64"/>
    <w:rsid w:val="0076638F"/>
    <w:rsid w:val="007666C7"/>
    <w:rsid w:val="007666F5"/>
    <w:rsid w:val="00766AFE"/>
    <w:rsid w:val="007677FF"/>
    <w:rsid w:val="0077036C"/>
    <w:rsid w:val="0077063B"/>
    <w:rsid w:val="00770E62"/>
    <w:rsid w:val="00771641"/>
    <w:rsid w:val="00772567"/>
    <w:rsid w:val="007749C2"/>
    <w:rsid w:val="00775E73"/>
    <w:rsid w:val="00776100"/>
    <w:rsid w:val="007763E6"/>
    <w:rsid w:val="007765C4"/>
    <w:rsid w:val="00776902"/>
    <w:rsid w:val="0078062B"/>
    <w:rsid w:val="0078091B"/>
    <w:rsid w:val="00780D90"/>
    <w:rsid w:val="0078106A"/>
    <w:rsid w:val="0078170D"/>
    <w:rsid w:val="00781C5C"/>
    <w:rsid w:val="00781E48"/>
    <w:rsid w:val="00782198"/>
    <w:rsid w:val="00782F1C"/>
    <w:rsid w:val="007850EB"/>
    <w:rsid w:val="007860B0"/>
    <w:rsid w:val="007860EB"/>
    <w:rsid w:val="0078652D"/>
    <w:rsid w:val="007877DA"/>
    <w:rsid w:val="00787BBF"/>
    <w:rsid w:val="00790B87"/>
    <w:rsid w:val="0079104D"/>
    <w:rsid w:val="00791C9C"/>
    <w:rsid w:val="00792605"/>
    <w:rsid w:val="00792CA8"/>
    <w:rsid w:val="00792CFD"/>
    <w:rsid w:val="00793AA7"/>
    <w:rsid w:val="00793DEC"/>
    <w:rsid w:val="00794219"/>
    <w:rsid w:val="007943AB"/>
    <w:rsid w:val="0079508A"/>
    <w:rsid w:val="00795239"/>
    <w:rsid w:val="00795884"/>
    <w:rsid w:val="0079600A"/>
    <w:rsid w:val="0079609B"/>
    <w:rsid w:val="00796B26"/>
    <w:rsid w:val="00796B49"/>
    <w:rsid w:val="0079703C"/>
    <w:rsid w:val="00797241"/>
    <w:rsid w:val="0079751B"/>
    <w:rsid w:val="00797A84"/>
    <w:rsid w:val="00797F8D"/>
    <w:rsid w:val="007A0623"/>
    <w:rsid w:val="007A092A"/>
    <w:rsid w:val="007A1093"/>
    <w:rsid w:val="007A1CF7"/>
    <w:rsid w:val="007A3B04"/>
    <w:rsid w:val="007A3E39"/>
    <w:rsid w:val="007A40C6"/>
    <w:rsid w:val="007A4782"/>
    <w:rsid w:val="007A47F7"/>
    <w:rsid w:val="007A4D6A"/>
    <w:rsid w:val="007A5168"/>
    <w:rsid w:val="007A63F0"/>
    <w:rsid w:val="007A676C"/>
    <w:rsid w:val="007A6E46"/>
    <w:rsid w:val="007A78C7"/>
    <w:rsid w:val="007A7AF5"/>
    <w:rsid w:val="007B052B"/>
    <w:rsid w:val="007B07AD"/>
    <w:rsid w:val="007B1489"/>
    <w:rsid w:val="007B178B"/>
    <w:rsid w:val="007B213E"/>
    <w:rsid w:val="007B27B7"/>
    <w:rsid w:val="007B387D"/>
    <w:rsid w:val="007B3F42"/>
    <w:rsid w:val="007B4872"/>
    <w:rsid w:val="007B4E88"/>
    <w:rsid w:val="007B516D"/>
    <w:rsid w:val="007B526E"/>
    <w:rsid w:val="007B5E60"/>
    <w:rsid w:val="007B5FB0"/>
    <w:rsid w:val="007B61B2"/>
    <w:rsid w:val="007B6214"/>
    <w:rsid w:val="007B6876"/>
    <w:rsid w:val="007B6ACC"/>
    <w:rsid w:val="007C0F1B"/>
    <w:rsid w:val="007C1877"/>
    <w:rsid w:val="007C2A64"/>
    <w:rsid w:val="007C3D29"/>
    <w:rsid w:val="007C4B3A"/>
    <w:rsid w:val="007C776C"/>
    <w:rsid w:val="007C7A12"/>
    <w:rsid w:val="007D0886"/>
    <w:rsid w:val="007D1469"/>
    <w:rsid w:val="007D27EA"/>
    <w:rsid w:val="007D4684"/>
    <w:rsid w:val="007D4FBF"/>
    <w:rsid w:val="007D53A2"/>
    <w:rsid w:val="007D5C50"/>
    <w:rsid w:val="007D69D3"/>
    <w:rsid w:val="007E03D4"/>
    <w:rsid w:val="007E0543"/>
    <w:rsid w:val="007E0C96"/>
    <w:rsid w:val="007E1026"/>
    <w:rsid w:val="007E1D02"/>
    <w:rsid w:val="007E1E48"/>
    <w:rsid w:val="007E2988"/>
    <w:rsid w:val="007E304F"/>
    <w:rsid w:val="007E3110"/>
    <w:rsid w:val="007E4DDF"/>
    <w:rsid w:val="007E5AA9"/>
    <w:rsid w:val="007E76E1"/>
    <w:rsid w:val="007E7899"/>
    <w:rsid w:val="007E7980"/>
    <w:rsid w:val="007E79CB"/>
    <w:rsid w:val="007E7B75"/>
    <w:rsid w:val="007F032C"/>
    <w:rsid w:val="007F1373"/>
    <w:rsid w:val="007F2D52"/>
    <w:rsid w:val="007F32F2"/>
    <w:rsid w:val="007F3945"/>
    <w:rsid w:val="007F3EB1"/>
    <w:rsid w:val="007F3F24"/>
    <w:rsid w:val="007F4CDE"/>
    <w:rsid w:val="007F4EF1"/>
    <w:rsid w:val="007F5637"/>
    <w:rsid w:val="007F68A1"/>
    <w:rsid w:val="007F6D78"/>
    <w:rsid w:val="007F6EA6"/>
    <w:rsid w:val="00800A8B"/>
    <w:rsid w:val="00800B4F"/>
    <w:rsid w:val="008015E6"/>
    <w:rsid w:val="00802156"/>
    <w:rsid w:val="008027D1"/>
    <w:rsid w:val="00802839"/>
    <w:rsid w:val="00803F99"/>
    <w:rsid w:val="008043F2"/>
    <w:rsid w:val="00806139"/>
    <w:rsid w:val="00806C16"/>
    <w:rsid w:val="00806C30"/>
    <w:rsid w:val="008078CD"/>
    <w:rsid w:val="00807CF3"/>
    <w:rsid w:val="00810202"/>
    <w:rsid w:val="00810290"/>
    <w:rsid w:val="00810601"/>
    <w:rsid w:val="008113E4"/>
    <w:rsid w:val="0081148A"/>
    <w:rsid w:val="00812204"/>
    <w:rsid w:val="00812694"/>
    <w:rsid w:val="008130EA"/>
    <w:rsid w:val="00813B1E"/>
    <w:rsid w:val="008147DD"/>
    <w:rsid w:val="00814A5E"/>
    <w:rsid w:val="00814D19"/>
    <w:rsid w:val="008175D7"/>
    <w:rsid w:val="0082045F"/>
    <w:rsid w:val="00821091"/>
    <w:rsid w:val="00821745"/>
    <w:rsid w:val="00822B7F"/>
    <w:rsid w:val="00823BD5"/>
    <w:rsid w:val="00824775"/>
    <w:rsid w:val="00825570"/>
    <w:rsid w:val="008266F6"/>
    <w:rsid w:val="00827205"/>
    <w:rsid w:val="008272F8"/>
    <w:rsid w:val="00827994"/>
    <w:rsid w:val="00830134"/>
    <w:rsid w:val="00830223"/>
    <w:rsid w:val="008309F0"/>
    <w:rsid w:val="00831A85"/>
    <w:rsid w:val="00831CE6"/>
    <w:rsid w:val="00832312"/>
    <w:rsid w:val="00833A48"/>
    <w:rsid w:val="008347A7"/>
    <w:rsid w:val="00834BC3"/>
    <w:rsid w:val="008352F5"/>
    <w:rsid w:val="00835C66"/>
    <w:rsid w:val="00836248"/>
    <w:rsid w:val="00836792"/>
    <w:rsid w:val="008372CE"/>
    <w:rsid w:val="008376BF"/>
    <w:rsid w:val="0084055E"/>
    <w:rsid w:val="00840896"/>
    <w:rsid w:val="00842BEA"/>
    <w:rsid w:val="00843CCE"/>
    <w:rsid w:val="008442AA"/>
    <w:rsid w:val="008445FA"/>
    <w:rsid w:val="00844694"/>
    <w:rsid w:val="008446D4"/>
    <w:rsid w:val="00845489"/>
    <w:rsid w:val="00845E3F"/>
    <w:rsid w:val="00846A2B"/>
    <w:rsid w:val="00847221"/>
    <w:rsid w:val="00847735"/>
    <w:rsid w:val="00847D04"/>
    <w:rsid w:val="00850019"/>
    <w:rsid w:val="00850149"/>
    <w:rsid w:val="00850A17"/>
    <w:rsid w:val="00850C3C"/>
    <w:rsid w:val="00850E10"/>
    <w:rsid w:val="00851A96"/>
    <w:rsid w:val="00852034"/>
    <w:rsid w:val="008528C1"/>
    <w:rsid w:val="00852D9F"/>
    <w:rsid w:val="00852FF9"/>
    <w:rsid w:val="0085316C"/>
    <w:rsid w:val="0085317B"/>
    <w:rsid w:val="008532D9"/>
    <w:rsid w:val="00853A77"/>
    <w:rsid w:val="00854964"/>
    <w:rsid w:val="008549C1"/>
    <w:rsid w:val="008562CE"/>
    <w:rsid w:val="008576E4"/>
    <w:rsid w:val="00857B12"/>
    <w:rsid w:val="00860C26"/>
    <w:rsid w:val="00861458"/>
    <w:rsid w:val="008621C8"/>
    <w:rsid w:val="008625AC"/>
    <w:rsid w:val="008634EB"/>
    <w:rsid w:val="00864F53"/>
    <w:rsid w:val="008659CD"/>
    <w:rsid w:val="00866EF7"/>
    <w:rsid w:val="0086784D"/>
    <w:rsid w:val="00867A5F"/>
    <w:rsid w:val="008711F2"/>
    <w:rsid w:val="00871BBA"/>
    <w:rsid w:val="00872474"/>
    <w:rsid w:val="00872528"/>
    <w:rsid w:val="00872A87"/>
    <w:rsid w:val="008735F8"/>
    <w:rsid w:val="00873C2A"/>
    <w:rsid w:val="00873D87"/>
    <w:rsid w:val="008740EB"/>
    <w:rsid w:val="00874393"/>
    <w:rsid w:val="008748A0"/>
    <w:rsid w:val="00874D57"/>
    <w:rsid w:val="008756D5"/>
    <w:rsid w:val="00875D68"/>
    <w:rsid w:val="0087605C"/>
    <w:rsid w:val="00876927"/>
    <w:rsid w:val="00877345"/>
    <w:rsid w:val="0088012A"/>
    <w:rsid w:val="00881BB6"/>
    <w:rsid w:val="00882019"/>
    <w:rsid w:val="00882C96"/>
    <w:rsid w:val="00882F5E"/>
    <w:rsid w:val="00883AC4"/>
    <w:rsid w:val="00883DE6"/>
    <w:rsid w:val="00883FF8"/>
    <w:rsid w:val="008847DF"/>
    <w:rsid w:val="008847E3"/>
    <w:rsid w:val="00886CE0"/>
    <w:rsid w:val="008879A6"/>
    <w:rsid w:val="00887C8E"/>
    <w:rsid w:val="008901D8"/>
    <w:rsid w:val="00890D73"/>
    <w:rsid w:val="0089115D"/>
    <w:rsid w:val="00891170"/>
    <w:rsid w:val="00891851"/>
    <w:rsid w:val="00892C1C"/>
    <w:rsid w:val="0089346E"/>
    <w:rsid w:val="00893CFF"/>
    <w:rsid w:val="0089456B"/>
    <w:rsid w:val="008946CB"/>
    <w:rsid w:val="00894C2F"/>
    <w:rsid w:val="008963D5"/>
    <w:rsid w:val="00896706"/>
    <w:rsid w:val="00897164"/>
    <w:rsid w:val="00897988"/>
    <w:rsid w:val="008A2EFB"/>
    <w:rsid w:val="008A3024"/>
    <w:rsid w:val="008A323D"/>
    <w:rsid w:val="008A39C3"/>
    <w:rsid w:val="008A3E18"/>
    <w:rsid w:val="008A3F73"/>
    <w:rsid w:val="008A4413"/>
    <w:rsid w:val="008A4B1C"/>
    <w:rsid w:val="008A4D55"/>
    <w:rsid w:val="008A58BB"/>
    <w:rsid w:val="008A5A23"/>
    <w:rsid w:val="008A5A31"/>
    <w:rsid w:val="008A5B73"/>
    <w:rsid w:val="008A6059"/>
    <w:rsid w:val="008A65DF"/>
    <w:rsid w:val="008A6D8D"/>
    <w:rsid w:val="008A7CBA"/>
    <w:rsid w:val="008B02C3"/>
    <w:rsid w:val="008B0331"/>
    <w:rsid w:val="008B07DD"/>
    <w:rsid w:val="008B08C7"/>
    <w:rsid w:val="008B0AA9"/>
    <w:rsid w:val="008B0AAA"/>
    <w:rsid w:val="008B23F7"/>
    <w:rsid w:val="008B3464"/>
    <w:rsid w:val="008B3AAF"/>
    <w:rsid w:val="008B4F0B"/>
    <w:rsid w:val="008B5513"/>
    <w:rsid w:val="008B571B"/>
    <w:rsid w:val="008B596B"/>
    <w:rsid w:val="008B5C41"/>
    <w:rsid w:val="008B5EC6"/>
    <w:rsid w:val="008B63E4"/>
    <w:rsid w:val="008B6469"/>
    <w:rsid w:val="008C000B"/>
    <w:rsid w:val="008C033E"/>
    <w:rsid w:val="008C0473"/>
    <w:rsid w:val="008C07E1"/>
    <w:rsid w:val="008C0870"/>
    <w:rsid w:val="008C1C8B"/>
    <w:rsid w:val="008C1FCA"/>
    <w:rsid w:val="008C20EA"/>
    <w:rsid w:val="008C250F"/>
    <w:rsid w:val="008C2EC4"/>
    <w:rsid w:val="008C33EA"/>
    <w:rsid w:val="008C38D8"/>
    <w:rsid w:val="008C50D3"/>
    <w:rsid w:val="008C57B8"/>
    <w:rsid w:val="008C5E61"/>
    <w:rsid w:val="008C6777"/>
    <w:rsid w:val="008C6A73"/>
    <w:rsid w:val="008D1FB6"/>
    <w:rsid w:val="008D255C"/>
    <w:rsid w:val="008D2B0B"/>
    <w:rsid w:val="008D31D1"/>
    <w:rsid w:val="008D56AB"/>
    <w:rsid w:val="008D5823"/>
    <w:rsid w:val="008D5F7A"/>
    <w:rsid w:val="008D6897"/>
    <w:rsid w:val="008D7715"/>
    <w:rsid w:val="008D7B13"/>
    <w:rsid w:val="008E0473"/>
    <w:rsid w:val="008E18F3"/>
    <w:rsid w:val="008E2794"/>
    <w:rsid w:val="008E3212"/>
    <w:rsid w:val="008E3DD8"/>
    <w:rsid w:val="008E3DF7"/>
    <w:rsid w:val="008E3F97"/>
    <w:rsid w:val="008E43E6"/>
    <w:rsid w:val="008E4F6D"/>
    <w:rsid w:val="008E51F3"/>
    <w:rsid w:val="008E5CEC"/>
    <w:rsid w:val="008E66C6"/>
    <w:rsid w:val="008E66E7"/>
    <w:rsid w:val="008E7D98"/>
    <w:rsid w:val="008E7E30"/>
    <w:rsid w:val="008E7F3A"/>
    <w:rsid w:val="008F0530"/>
    <w:rsid w:val="008F08D7"/>
    <w:rsid w:val="008F0DEF"/>
    <w:rsid w:val="008F1BC0"/>
    <w:rsid w:val="008F1F39"/>
    <w:rsid w:val="008F1FA9"/>
    <w:rsid w:val="008F2CBE"/>
    <w:rsid w:val="008F2DB1"/>
    <w:rsid w:val="008F2E75"/>
    <w:rsid w:val="008F3018"/>
    <w:rsid w:val="008F30FC"/>
    <w:rsid w:val="008F378A"/>
    <w:rsid w:val="008F3B88"/>
    <w:rsid w:val="008F3E39"/>
    <w:rsid w:val="008F4900"/>
    <w:rsid w:val="008F5064"/>
    <w:rsid w:val="008F65F8"/>
    <w:rsid w:val="008F676B"/>
    <w:rsid w:val="008F7B24"/>
    <w:rsid w:val="008F7F83"/>
    <w:rsid w:val="009002A0"/>
    <w:rsid w:val="00900C9C"/>
    <w:rsid w:val="009012BB"/>
    <w:rsid w:val="00901F2C"/>
    <w:rsid w:val="00902263"/>
    <w:rsid w:val="009022B7"/>
    <w:rsid w:val="009028FB"/>
    <w:rsid w:val="0090332C"/>
    <w:rsid w:val="00903855"/>
    <w:rsid w:val="00903EB0"/>
    <w:rsid w:val="009048CE"/>
    <w:rsid w:val="009049B3"/>
    <w:rsid w:val="00904CB0"/>
    <w:rsid w:val="0090599E"/>
    <w:rsid w:val="00906544"/>
    <w:rsid w:val="009070B6"/>
    <w:rsid w:val="00907833"/>
    <w:rsid w:val="00907856"/>
    <w:rsid w:val="00907C3A"/>
    <w:rsid w:val="009108CB"/>
    <w:rsid w:val="00910D4F"/>
    <w:rsid w:val="00910DEC"/>
    <w:rsid w:val="009110C7"/>
    <w:rsid w:val="009113AF"/>
    <w:rsid w:val="0091149F"/>
    <w:rsid w:val="00911B7B"/>
    <w:rsid w:val="00911E01"/>
    <w:rsid w:val="00913336"/>
    <w:rsid w:val="0091416D"/>
    <w:rsid w:val="009143F2"/>
    <w:rsid w:val="00914423"/>
    <w:rsid w:val="0091494C"/>
    <w:rsid w:val="00914C5F"/>
    <w:rsid w:val="00914CB9"/>
    <w:rsid w:val="00914DFD"/>
    <w:rsid w:val="00915A68"/>
    <w:rsid w:val="00916A66"/>
    <w:rsid w:val="00917274"/>
    <w:rsid w:val="009177D3"/>
    <w:rsid w:val="00917B67"/>
    <w:rsid w:val="009201B2"/>
    <w:rsid w:val="0092031A"/>
    <w:rsid w:val="009212C6"/>
    <w:rsid w:val="009216D2"/>
    <w:rsid w:val="009217CA"/>
    <w:rsid w:val="0092269C"/>
    <w:rsid w:val="00922813"/>
    <w:rsid w:val="00923535"/>
    <w:rsid w:val="00924854"/>
    <w:rsid w:val="0092590F"/>
    <w:rsid w:val="009266B0"/>
    <w:rsid w:val="00926810"/>
    <w:rsid w:val="009269A5"/>
    <w:rsid w:val="009269D3"/>
    <w:rsid w:val="0092736C"/>
    <w:rsid w:val="009274AF"/>
    <w:rsid w:val="00927896"/>
    <w:rsid w:val="00930722"/>
    <w:rsid w:val="009309B8"/>
    <w:rsid w:val="009316DA"/>
    <w:rsid w:val="00931C9D"/>
    <w:rsid w:val="009321D8"/>
    <w:rsid w:val="00932AE6"/>
    <w:rsid w:val="00934282"/>
    <w:rsid w:val="00934580"/>
    <w:rsid w:val="009347AF"/>
    <w:rsid w:val="0093672C"/>
    <w:rsid w:val="00936FFB"/>
    <w:rsid w:val="00937881"/>
    <w:rsid w:val="00940076"/>
    <w:rsid w:val="00940D1A"/>
    <w:rsid w:val="00940FB5"/>
    <w:rsid w:val="009417A2"/>
    <w:rsid w:val="0094394E"/>
    <w:rsid w:val="00945118"/>
    <w:rsid w:val="009455AA"/>
    <w:rsid w:val="00945738"/>
    <w:rsid w:val="00946070"/>
    <w:rsid w:val="009475D6"/>
    <w:rsid w:val="009502FD"/>
    <w:rsid w:val="009507D0"/>
    <w:rsid w:val="00950E48"/>
    <w:rsid w:val="00950FE8"/>
    <w:rsid w:val="009512D5"/>
    <w:rsid w:val="00951F51"/>
    <w:rsid w:val="0095281C"/>
    <w:rsid w:val="00952D48"/>
    <w:rsid w:val="00952E7F"/>
    <w:rsid w:val="00952FA2"/>
    <w:rsid w:val="0095382A"/>
    <w:rsid w:val="009538F4"/>
    <w:rsid w:val="00955652"/>
    <w:rsid w:val="00956068"/>
    <w:rsid w:val="00957CD2"/>
    <w:rsid w:val="00957E1F"/>
    <w:rsid w:val="00960A16"/>
    <w:rsid w:val="00961955"/>
    <w:rsid w:val="009620DB"/>
    <w:rsid w:val="00962EC9"/>
    <w:rsid w:val="009649C8"/>
    <w:rsid w:val="00964D07"/>
    <w:rsid w:val="00965A74"/>
    <w:rsid w:val="0096690A"/>
    <w:rsid w:val="00966A97"/>
    <w:rsid w:val="00966CBE"/>
    <w:rsid w:val="00966FAB"/>
    <w:rsid w:val="00970336"/>
    <w:rsid w:val="00971412"/>
    <w:rsid w:val="00972AA7"/>
    <w:rsid w:val="00973772"/>
    <w:rsid w:val="009737A4"/>
    <w:rsid w:val="00973CE5"/>
    <w:rsid w:val="00973F7E"/>
    <w:rsid w:val="00974197"/>
    <w:rsid w:val="00974600"/>
    <w:rsid w:val="0097463E"/>
    <w:rsid w:val="00975073"/>
    <w:rsid w:val="00975AFF"/>
    <w:rsid w:val="0097606A"/>
    <w:rsid w:val="00976482"/>
    <w:rsid w:val="00977B77"/>
    <w:rsid w:val="00977FBF"/>
    <w:rsid w:val="00980EE8"/>
    <w:rsid w:val="0098125A"/>
    <w:rsid w:val="0098195D"/>
    <w:rsid w:val="009821B3"/>
    <w:rsid w:val="00982D20"/>
    <w:rsid w:val="00983167"/>
    <w:rsid w:val="00983515"/>
    <w:rsid w:val="00983AFA"/>
    <w:rsid w:val="009840C6"/>
    <w:rsid w:val="00985677"/>
    <w:rsid w:val="00985A91"/>
    <w:rsid w:val="00985FF3"/>
    <w:rsid w:val="009861E5"/>
    <w:rsid w:val="009862C4"/>
    <w:rsid w:val="00986902"/>
    <w:rsid w:val="009869E2"/>
    <w:rsid w:val="00986BC5"/>
    <w:rsid w:val="00986FE2"/>
    <w:rsid w:val="0099032C"/>
    <w:rsid w:val="0099048D"/>
    <w:rsid w:val="00991419"/>
    <w:rsid w:val="00992218"/>
    <w:rsid w:val="00992744"/>
    <w:rsid w:val="00992856"/>
    <w:rsid w:val="009936F3"/>
    <w:rsid w:val="0099412F"/>
    <w:rsid w:val="00994154"/>
    <w:rsid w:val="00994193"/>
    <w:rsid w:val="00994381"/>
    <w:rsid w:val="00994857"/>
    <w:rsid w:val="00994DE4"/>
    <w:rsid w:val="009954F0"/>
    <w:rsid w:val="009959EC"/>
    <w:rsid w:val="009961C2"/>
    <w:rsid w:val="00996D0D"/>
    <w:rsid w:val="009A0AF9"/>
    <w:rsid w:val="009A0E99"/>
    <w:rsid w:val="009A0EAE"/>
    <w:rsid w:val="009A14B9"/>
    <w:rsid w:val="009A26E8"/>
    <w:rsid w:val="009A27D9"/>
    <w:rsid w:val="009A375F"/>
    <w:rsid w:val="009A376C"/>
    <w:rsid w:val="009A490C"/>
    <w:rsid w:val="009A623C"/>
    <w:rsid w:val="009A700E"/>
    <w:rsid w:val="009A7777"/>
    <w:rsid w:val="009B0855"/>
    <w:rsid w:val="009B34B8"/>
    <w:rsid w:val="009B3D08"/>
    <w:rsid w:val="009B46AD"/>
    <w:rsid w:val="009B4EF7"/>
    <w:rsid w:val="009B5018"/>
    <w:rsid w:val="009B504F"/>
    <w:rsid w:val="009B54DD"/>
    <w:rsid w:val="009B64DC"/>
    <w:rsid w:val="009B6666"/>
    <w:rsid w:val="009B691C"/>
    <w:rsid w:val="009B70AB"/>
    <w:rsid w:val="009B7B72"/>
    <w:rsid w:val="009C00CB"/>
    <w:rsid w:val="009C0FB0"/>
    <w:rsid w:val="009C12AC"/>
    <w:rsid w:val="009C14DF"/>
    <w:rsid w:val="009C1B07"/>
    <w:rsid w:val="009C25A2"/>
    <w:rsid w:val="009C2797"/>
    <w:rsid w:val="009C2AB7"/>
    <w:rsid w:val="009C3590"/>
    <w:rsid w:val="009C3956"/>
    <w:rsid w:val="009C4AD8"/>
    <w:rsid w:val="009C4B33"/>
    <w:rsid w:val="009C55E8"/>
    <w:rsid w:val="009C5E54"/>
    <w:rsid w:val="009C736B"/>
    <w:rsid w:val="009C77CC"/>
    <w:rsid w:val="009C7D4C"/>
    <w:rsid w:val="009D0E5D"/>
    <w:rsid w:val="009D0F2A"/>
    <w:rsid w:val="009D12B8"/>
    <w:rsid w:val="009D1D45"/>
    <w:rsid w:val="009D2519"/>
    <w:rsid w:val="009D261F"/>
    <w:rsid w:val="009D3D98"/>
    <w:rsid w:val="009D5512"/>
    <w:rsid w:val="009D5E2D"/>
    <w:rsid w:val="009D6D9C"/>
    <w:rsid w:val="009D70E7"/>
    <w:rsid w:val="009D7EFD"/>
    <w:rsid w:val="009E00C5"/>
    <w:rsid w:val="009E09B4"/>
    <w:rsid w:val="009E12C3"/>
    <w:rsid w:val="009E1BB4"/>
    <w:rsid w:val="009E1E0A"/>
    <w:rsid w:val="009E24F2"/>
    <w:rsid w:val="009E3272"/>
    <w:rsid w:val="009E35C9"/>
    <w:rsid w:val="009E3FF7"/>
    <w:rsid w:val="009E4508"/>
    <w:rsid w:val="009E4E8D"/>
    <w:rsid w:val="009E55C9"/>
    <w:rsid w:val="009E5FF0"/>
    <w:rsid w:val="009E61AF"/>
    <w:rsid w:val="009E6BBA"/>
    <w:rsid w:val="009F0AA5"/>
    <w:rsid w:val="009F171B"/>
    <w:rsid w:val="009F2254"/>
    <w:rsid w:val="009F246D"/>
    <w:rsid w:val="009F38B0"/>
    <w:rsid w:val="009F3FD0"/>
    <w:rsid w:val="009F54B2"/>
    <w:rsid w:val="009F5613"/>
    <w:rsid w:val="009F7B21"/>
    <w:rsid w:val="00A01348"/>
    <w:rsid w:val="00A01454"/>
    <w:rsid w:val="00A01B0F"/>
    <w:rsid w:val="00A01C98"/>
    <w:rsid w:val="00A02555"/>
    <w:rsid w:val="00A032D2"/>
    <w:rsid w:val="00A03A66"/>
    <w:rsid w:val="00A04EDD"/>
    <w:rsid w:val="00A050DF"/>
    <w:rsid w:val="00A0518F"/>
    <w:rsid w:val="00A0603D"/>
    <w:rsid w:val="00A068C3"/>
    <w:rsid w:val="00A06DFC"/>
    <w:rsid w:val="00A070DB"/>
    <w:rsid w:val="00A1005C"/>
    <w:rsid w:val="00A10DD5"/>
    <w:rsid w:val="00A11503"/>
    <w:rsid w:val="00A1260D"/>
    <w:rsid w:val="00A152A3"/>
    <w:rsid w:val="00A1562D"/>
    <w:rsid w:val="00A1615A"/>
    <w:rsid w:val="00A161F5"/>
    <w:rsid w:val="00A162F0"/>
    <w:rsid w:val="00A16BAF"/>
    <w:rsid w:val="00A16C29"/>
    <w:rsid w:val="00A16E6F"/>
    <w:rsid w:val="00A17C3F"/>
    <w:rsid w:val="00A20532"/>
    <w:rsid w:val="00A20617"/>
    <w:rsid w:val="00A22B72"/>
    <w:rsid w:val="00A22EE2"/>
    <w:rsid w:val="00A2367C"/>
    <w:rsid w:val="00A23EB0"/>
    <w:rsid w:val="00A2401E"/>
    <w:rsid w:val="00A24088"/>
    <w:rsid w:val="00A2447B"/>
    <w:rsid w:val="00A244B6"/>
    <w:rsid w:val="00A25842"/>
    <w:rsid w:val="00A25A38"/>
    <w:rsid w:val="00A269E6"/>
    <w:rsid w:val="00A26BA5"/>
    <w:rsid w:val="00A26BBE"/>
    <w:rsid w:val="00A26FF6"/>
    <w:rsid w:val="00A27361"/>
    <w:rsid w:val="00A30190"/>
    <w:rsid w:val="00A30560"/>
    <w:rsid w:val="00A31258"/>
    <w:rsid w:val="00A31697"/>
    <w:rsid w:val="00A32165"/>
    <w:rsid w:val="00A3243E"/>
    <w:rsid w:val="00A3279B"/>
    <w:rsid w:val="00A328AA"/>
    <w:rsid w:val="00A32B38"/>
    <w:rsid w:val="00A337E5"/>
    <w:rsid w:val="00A33AFF"/>
    <w:rsid w:val="00A34740"/>
    <w:rsid w:val="00A3610D"/>
    <w:rsid w:val="00A36458"/>
    <w:rsid w:val="00A36CB1"/>
    <w:rsid w:val="00A371EC"/>
    <w:rsid w:val="00A40A09"/>
    <w:rsid w:val="00A40D65"/>
    <w:rsid w:val="00A40E63"/>
    <w:rsid w:val="00A4176E"/>
    <w:rsid w:val="00A41AFD"/>
    <w:rsid w:val="00A41E0F"/>
    <w:rsid w:val="00A41F54"/>
    <w:rsid w:val="00A429C9"/>
    <w:rsid w:val="00A42A8E"/>
    <w:rsid w:val="00A42B8F"/>
    <w:rsid w:val="00A43076"/>
    <w:rsid w:val="00A4350C"/>
    <w:rsid w:val="00A439C5"/>
    <w:rsid w:val="00A445CC"/>
    <w:rsid w:val="00A4538C"/>
    <w:rsid w:val="00A46C5E"/>
    <w:rsid w:val="00A477E1"/>
    <w:rsid w:val="00A511CA"/>
    <w:rsid w:val="00A51271"/>
    <w:rsid w:val="00A51422"/>
    <w:rsid w:val="00A51E57"/>
    <w:rsid w:val="00A52370"/>
    <w:rsid w:val="00A53668"/>
    <w:rsid w:val="00A548C2"/>
    <w:rsid w:val="00A551C0"/>
    <w:rsid w:val="00A55350"/>
    <w:rsid w:val="00A55A85"/>
    <w:rsid w:val="00A56ECB"/>
    <w:rsid w:val="00A57673"/>
    <w:rsid w:val="00A5796D"/>
    <w:rsid w:val="00A57C39"/>
    <w:rsid w:val="00A60076"/>
    <w:rsid w:val="00A604D2"/>
    <w:rsid w:val="00A60E95"/>
    <w:rsid w:val="00A6106E"/>
    <w:rsid w:val="00A62506"/>
    <w:rsid w:val="00A63BD9"/>
    <w:rsid w:val="00A64490"/>
    <w:rsid w:val="00A64523"/>
    <w:rsid w:val="00A64876"/>
    <w:rsid w:val="00A65236"/>
    <w:rsid w:val="00A66C1B"/>
    <w:rsid w:val="00A676CE"/>
    <w:rsid w:val="00A67D14"/>
    <w:rsid w:val="00A70CBB"/>
    <w:rsid w:val="00A713FC"/>
    <w:rsid w:val="00A74A48"/>
    <w:rsid w:val="00A751B0"/>
    <w:rsid w:val="00A755B0"/>
    <w:rsid w:val="00A756AE"/>
    <w:rsid w:val="00A7590D"/>
    <w:rsid w:val="00A75BDF"/>
    <w:rsid w:val="00A75F49"/>
    <w:rsid w:val="00A764C8"/>
    <w:rsid w:val="00A766E8"/>
    <w:rsid w:val="00A7671B"/>
    <w:rsid w:val="00A76F81"/>
    <w:rsid w:val="00A775A5"/>
    <w:rsid w:val="00A77A00"/>
    <w:rsid w:val="00A80B14"/>
    <w:rsid w:val="00A80CB8"/>
    <w:rsid w:val="00A80F51"/>
    <w:rsid w:val="00A80FBC"/>
    <w:rsid w:val="00A81838"/>
    <w:rsid w:val="00A81A79"/>
    <w:rsid w:val="00A81AD4"/>
    <w:rsid w:val="00A823E0"/>
    <w:rsid w:val="00A844C9"/>
    <w:rsid w:val="00A862A5"/>
    <w:rsid w:val="00A863A1"/>
    <w:rsid w:val="00A86F32"/>
    <w:rsid w:val="00A87ED8"/>
    <w:rsid w:val="00A90C6E"/>
    <w:rsid w:val="00A9226B"/>
    <w:rsid w:val="00A92355"/>
    <w:rsid w:val="00A93B07"/>
    <w:rsid w:val="00A93B3F"/>
    <w:rsid w:val="00A93B57"/>
    <w:rsid w:val="00A93F99"/>
    <w:rsid w:val="00A94E3D"/>
    <w:rsid w:val="00A9591C"/>
    <w:rsid w:val="00A97268"/>
    <w:rsid w:val="00A97494"/>
    <w:rsid w:val="00A97790"/>
    <w:rsid w:val="00A97E52"/>
    <w:rsid w:val="00AA0DF1"/>
    <w:rsid w:val="00AA1322"/>
    <w:rsid w:val="00AA13B6"/>
    <w:rsid w:val="00AA1DC4"/>
    <w:rsid w:val="00AA2286"/>
    <w:rsid w:val="00AA289B"/>
    <w:rsid w:val="00AA2B51"/>
    <w:rsid w:val="00AA2F83"/>
    <w:rsid w:val="00AA3036"/>
    <w:rsid w:val="00AA39F1"/>
    <w:rsid w:val="00AA407A"/>
    <w:rsid w:val="00AA521D"/>
    <w:rsid w:val="00AA5917"/>
    <w:rsid w:val="00AA5EAC"/>
    <w:rsid w:val="00AA7134"/>
    <w:rsid w:val="00AB07EF"/>
    <w:rsid w:val="00AB08FE"/>
    <w:rsid w:val="00AB1A90"/>
    <w:rsid w:val="00AB2BCA"/>
    <w:rsid w:val="00AB2D22"/>
    <w:rsid w:val="00AB2DC9"/>
    <w:rsid w:val="00AB3293"/>
    <w:rsid w:val="00AB39A4"/>
    <w:rsid w:val="00AB3E28"/>
    <w:rsid w:val="00AB42BF"/>
    <w:rsid w:val="00AB4593"/>
    <w:rsid w:val="00AB5887"/>
    <w:rsid w:val="00AB5BA2"/>
    <w:rsid w:val="00AB603A"/>
    <w:rsid w:val="00AB645B"/>
    <w:rsid w:val="00AB64FB"/>
    <w:rsid w:val="00AB7507"/>
    <w:rsid w:val="00AB75A2"/>
    <w:rsid w:val="00AC0350"/>
    <w:rsid w:val="00AC0A4A"/>
    <w:rsid w:val="00AC0F84"/>
    <w:rsid w:val="00AC1BA6"/>
    <w:rsid w:val="00AC1E35"/>
    <w:rsid w:val="00AC1F0F"/>
    <w:rsid w:val="00AC2486"/>
    <w:rsid w:val="00AC3594"/>
    <w:rsid w:val="00AC3C01"/>
    <w:rsid w:val="00AC415E"/>
    <w:rsid w:val="00AC44F4"/>
    <w:rsid w:val="00AC46E9"/>
    <w:rsid w:val="00AC4B67"/>
    <w:rsid w:val="00AC53AC"/>
    <w:rsid w:val="00AC5AD1"/>
    <w:rsid w:val="00AC72CE"/>
    <w:rsid w:val="00AD0B49"/>
    <w:rsid w:val="00AD140D"/>
    <w:rsid w:val="00AD29A8"/>
    <w:rsid w:val="00AD3F30"/>
    <w:rsid w:val="00AD428E"/>
    <w:rsid w:val="00AD5096"/>
    <w:rsid w:val="00AD5EE8"/>
    <w:rsid w:val="00AD61A1"/>
    <w:rsid w:val="00AD7BDA"/>
    <w:rsid w:val="00AD7CA5"/>
    <w:rsid w:val="00AE0A42"/>
    <w:rsid w:val="00AE17A1"/>
    <w:rsid w:val="00AE189B"/>
    <w:rsid w:val="00AE2979"/>
    <w:rsid w:val="00AE299F"/>
    <w:rsid w:val="00AE2FD7"/>
    <w:rsid w:val="00AE57C0"/>
    <w:rsid w:val="00AE589B"/>
    <w:rsid w:val="00AE6705"/>
    <w:rsid w:val="00AE76A3"/>
    <w:rsid w:val="00AE7876"/>
    <w:rsid w:val="00AE7AC6"/>
    <w:rsid w:val="00AF037D"/>
    <w:rsid w:val="00AF1193"/>
    <w:rsid w:val="00AF15EE"/>
    <w:rsid w:val="00AF192D"/>
    <w:rsid w:val="00AF290B"/>
    <w:rsid w:val="00AF2B35"/>
    <w:rsid w:val="00AF40B2"/>
    <w:rsid w:val="00AF4426"/>
    <w:rsid w:val="00AF4F44"/>
    <w:rsid w:val="00AF50D3"/>
    <w:rsid w:val="00AF531B"/>
    <w:rsid w:val="00AF556B"/>
    <w:rsid w:val="00AF5C91"/>
    <w:rsid w:val="00AF671F"/>
    <w:rsid w:val="00AF6A9D"/>
    <w:rsid w:val="00AF6D05"/>
    <w:rsid w:val="00AF7EFF"/>
    <w:rsid w:val="00B001F5"/>
    <w:rsid w:val="00B02E45"/>
    <w:rsid w:val="00B03CC3"/>
    <w:rsid w:val="00B03D2F"/>
    <w:rsid w:val="00B03D34"/>
    <w:rsid w:val="00B042CC"/>
    <w:rsid w:val="00B04E29"/>
    <w:rsid w:val="00B05D42"/>
    <w:rsid w:val="00B060FF"/>
    <w:rsid w:val="00B06A52"/>
    <w:rsid w:val="00B07846"/>
    <w:rsid w:val="00B07CF3"/>
    <w:rsid w:val="00B10A5C"/>
    <w:rsid w:val="00B10EA9"/>
    <w:rsid w:val="00B12704"/>
    <w:rsid w:val="00B13749"/>
    <w:rsid w:val="00B146FA"/>
    <w:rsid w:val="00B1496A"/>
    <w:rsid w:val="00B16B08"/>
    <w:rsid w:val="00B16B16"/>
    <w:rsid w:val="00B16B45"/>
    <w:rsid w:val="00B17432"/>
    <w:rsid w:val="00B177BC"/>
    <w:rsid w:val="00B2013F"/>
    <w:rsid w:val="00B202EC"/>
    <w:rsid w:val="00B20830"/>
    <w:rsid w:val="00B214E5"/>
    <w:rsid w:val="00B21B8B"/>
    <w:rsid w:val="00B21F64"/>
    <w:rsid w:val="00B22F88"/>
    <w:rsid w:val="00B246AE"/>
    <w:rsid w:val="00B24749"/>
    <w:rsid w:val="00B263A8"/>
    <w:rsid w:val="00B27166"/>
    <w:rsid w:val="00B27CA8"/>
    <w:rsid w:val="00B309EE"/>
    <w:rsid w:val="00B310B2"/>
    <w:rsid w:val="00B320C4"/>
    <w:rsid w:val="00B3238A"/>
    <w:rsid w:val="00B3347C"/>
    <w:rsid w:val="00B34A02"/>
    <w:rsid w:val="00B34FFC"/>
    <w:rsid w:val="00B3507D"/>
    <w:rsid w:val="00B35842"/>
    <w:rsid w:val="00B36586"/>
    <w:rsid w:val="00B3687A"/>
    <w:rsid w:val="00B36F64"/>
    <w:rsid w:val="00B40981"/>
    <w:rsid w:val="00B40B41"/>
    <w:rsid w:val="00B40B90"/>
    <w:rsid w:val="00B40D3B"/>
    <w:rsid w:val="00B41721"/>
    <w:rsid w:val="00B41EDE"/>
    <w:rsid w:val="00B4240D"/>
    <w:rsid w:val="00B42833"/>
    <w:rsid w:val="00B42F4C"/>
    <w:rsid w:val="00B44A35"/>
    <w:rsid w:val="00B45120"/>
    <w:rsid w:val="00B4580E"/>
    <w:rsid w:val="00B46282"/>
    <w:rsid w:val="00B46439"/>
    <w:rsid w:val="00B4709C"/>
    <w:rsid w:val="00B50961"/>
    <w:rsid w:val="00B50E74"/>
    <w:rsid w:val="00B52307"/>
    <w:rsid w:val="00B52430"/>
    <w:rsid w:val="00B54708"/>
    <w:rsid w:val="00B54982"/>
    <w:rsid w:val="00B5558B"/>
    <w:rsid w:val="00B55A7C"/>
    <w:rsid w:val="00B55DEC"/>
    <w:rsid w:val="00B55E3F"/>
    <w:rsid w:val="00B5616D"/>
    <w:rsid w:val="00B56EBF"/>
    <w:rsid w:val="00B56F88"/>
    <w:rsid w:val="00B604AA"/>
    <w:rsid w:val="00B60615"/>
    <w:rsid w:val="00B614B8"/>
    <w:rsid w:val="00B62D13"/>
    <w:rsid w:val="00B63019"/>
    <w:rsid w:val="00B637BE"/>
    <w:rsid w:val="00B64532"/>
    <w:rsid w:val="00B6615C"/>
    <w:rsid w:val="00B66BCF"/>
    <w:rsid w:val="00B66C15"/>
    <w:rsid w:val="00B66D09"/>
    <w:rsid w:val="00B67867"/>
    <w:rsid w:val="00B67973"/>
    <w:rsid w:val="00B702BD"/>
    <w:rsid w:val="00B7046C"/>
    <w:rsid w:val="00B70E54"/>
    <w:rsid w:val="00B72066"/>
    <w:rsid w:val="00B73858"/>
    <w:rsid w:val="00B7450F"/>
    <w:rsid w:val="00B74714"/>
    <w:rsid w:val="00B74774"/>
    <w:rsid w:val="00B7510A"/>
    <w:rsid w:val="00B755D5"/>
    <w:rsid w:val="00B75E22"/>
    <w:rsid w:val="00B76E8D"/>
    <w:rsid w:val="00B76F67"/>
    <w:rsid w:val="00B771FC"/>
    <w:rsid w:val="00B778E1"/>
    <w:rsid w:val="00B77A6C"/>
    <w:rsid w:val="00B80899"/>
    <w:rsid w:val="00B814EA"/>
    <w:rsid w:val="00B84067"/>
    <w:rsid w:val="00B85312"/>
    <w:rsid w:val="00B85B60"/>
    <w:rsid w:val="00B86328"/>
    <w:rsid w:val="00B864E5"/>
    <w:rsid w:val="00B86542"/>
    <w:rsid w:val="00B86D34"/>
    <w:rsid w:val="00B86D3E"/>
    <w:rsid w:val="00B8748F"/>
    <w:rsid w:val="00B903B5"/>
    <w:rsid w:val="00B9086C"/>
    <w:rsid w:val="00B90FE5"/>
    <w:rsid w:val="00B914C3"/>
    <w:rsid w:val="00B914F7"/>
    <w:rsid w:val="00B9160D"/>
    <w:rsid w:val="00B9186C"/>
    <w:rsid w:val="00B91D64"/>
    <w:rsid w:val="00B922C3"/>
    <w:rsid w:val="00B924B3"/>
    <w:rsid w:val="00B928AE"/>
    <w:rsid w:val="00B9395D"/>
    <w:rsid w:val="00B943A3"/>
    <w:rsid w:val="00B94798"/>
    <w:rsid w:val="00B94883"/>
    <w:rsid w:val="00B94DC1"/>
    <w:rsid w:val="00B9633A"/>
    <w:rsid w:val="00B967B5"/>
    <w:rsid w:val="00B977B9"/>
    <w:rsid w:val="00B97B6C"/>
    <w:rsid w:val="00B97C57"/>
    <w:rsid w:val="00BA02EA"/>
    <w:rsid w:val="00BA06B7"/>
    <w:rsid w:val="00BA17B8"/>
    <w:rsid w:val="00BA27C7"/>
    <w:rsid w:val="00BA3069"/>
    <w:rsid w:val="00BA393E"/>
    <w:rsid w:val="00BA3AF3"/>
    <w:rsid w:val="00BA45E1"/>
    <w:rsid w:val="00BA4613"/>
    <w:rsid w:val="00BA56BE"/>
    <w:rsid w:val="00BA6171"/>
    <w:rsid w:val="00BA6476"/>
    <w:rsid w:val="00BA64CE"/>
    <w:rsid w:val="00BA72D6"/>
    <w:rsid w:val="00BA7885"/>
    <w:rsid w:val="00BB0076"/>
    <w:rsid w:val="00BB0150"/>
    <w:rsid w:val="00BB12A2"/>
    <w:rsid w:val="00BB1355"/>
    <w:rsid w:val="00BB13FA"/>
    <w:rsid w:val="00BB19DA"/>
    <w:rsid w:val="00BB2418"/>
    <w:rsid w:val="00BB26B5"/>
    <w:rsid w:val="00BB414D"/>
    <w:rsid w:val="00BB4933"/>
    <w:rsid w:val="00BB51E3"/>
    <w:rsid w:val="00BB5A24"/>
    <w:rsid w:val="00BB5C85"/>
    <w:rsid w:val="00BB618E"/>
    <w:rsid w:val="00BB6B90"/>
    <w:rsid w:val="00BB708E"/>
    <w:rsid w:val="00BB73A2"/>
    <w:rsid w:val="00BC0362"/>
    <w:rsid w:val="00BC0441"/>
    <w:rsid w:val="00BC16B8"/>
    <w:rsid w:val="00BC1877"/>
    <w:rsid w:val="00BC1FDD"/>
    <w:rsid w:val="00BC2DD1"/>
    <w:rsid w:val="00BC2F1B"/>
    <w:rsid w:val="00BC3D91"/>
    <w:rsid w:val="00BC4143"/>
    <w:rsid w:val="00BC5C81"/>
    <w:rsid w:val="00BC62E6"/>
    <w:rsid w:val="00BC7D34"/>
    <w:rsid w:val="00BC7D90"/>
    <w:rsid w:val="00BC7EA7"/>
    <w:rsid w:val="00BD03EA"/>
    <w:rsid w:val="00BD1A75"/>
    <w:rsid w:val="00BD2F43"/>
    <w:rsid w:val="00BD3773"/>
    <w:rsid w:val="00BD3804"/>
    <w:rsid w:val="00BD41D5"/>
    <w:rsid w:val="00BD4433"/>
    <w:rsid w:val="00BD4B6E"/>
    <w:rsid w:val="00BD5050"/>
    <w:rsid w:val="00BD5147"/>
    <w:rsid w:val="00BD51F3"/>
    <w:rsid w:val="00BD55C6"/>
    <w:rsid w:val="00BD596A"/>
    <w:rsid w:val="00BD5BA9"/>
    <w:rsid w:val="00BD647E"/>
    <w:rsid w:val="00BD722A"/>
    <w:rsid w:val="00BD75F6"/>
    <w:rsid w:val="00BD7A0B"/>
    <w:rsid w:val="00BD7F70"/>
    <w:rsid w:val="00BE0051"/>
    <w:rsid w:val="00BE01DE"/>
    <w:rsid w:val="00BE0459"/>
    <w:rsid w:val="00BE22B0"/>
    <w:rsid w:val="00BE306A"/>
    <w:rsid w:val="00BE32CF"/>
    <w:rsid w:val="00BE4711"/>
    <w:rsid w:val="00BE490A"/>
    <w:rsid w:val="00BE4DA0"/>
    <w:rsid w:val="00BE545B"/>
    <w:rsid w:val="00BE5974"/>
    <w:rsid w:val="00BE60DB"/>
    <w:rsid w:val="00BE660E"/>
    <w:rsid w:val="00BF053F"/>
    <w:rsid w:val="00BF0643"/>
    <w:rsid w:val="00BF0DF9"/>
    <w:rsid w:val="00BF2047"/>
    <w:rsid w:val="00BF213D"/>
    <w:rsid w:val="00BF256A"/>
    <w:rsid w:val="00BF2EBF"/>
    <w:rsid w:val="00BF403B"/>
    <w:rsid w:val="00BF422A"/>
    <w:rsid w:val="00BF4F96"/>
    <w:rsid w:val="00BF69AD"/>
    <w:rsid w:val="00BF6AFC"/>
    <w:rsid w:val="00BF7420"/>
    <w:rsid w:val="00BF7C5A"/>
    <w:rsid w:val="00BF7CFA"/>
    <w:rsid w:val="00C001FB"/>
    <w:rsid w:val="00C01755"/>
    <w:rsid w:val="00C01EB6"/>
    <w:rsid w:val="00C025DA"/>
    <w:rsid w:val="00C02CE0"/>
    <w:rsid w:val="00C030BE"/>
    <w:rsid w:val="00C0359D"/>
    <w:rsid w:val="00C0441D"/>
    <w:rsid w:val="00C04510"/>
    <w:rsid w:val="00C05360"/>
    <w:rsid w:val="00C05E7F"/>
    <w:rsid w:val="00C070CF"/>
    <w:rsid w:val="00C07F7A"/>
    <w:rsid w:val="00C1043B"/>
    <w:rsid w:val="00C10FEF"/>
    <w:rsid w:val="00C11DDA"/>
    <w:rsid w:val="00C12DBF"/>
    <w:rsid w:val="00C13142"/>
    <w:rsid w:val="00C13CA6"/>
    <w:rsid w:val="00C141FE"/>
    <w:rsid w:val="00C147E5"/>
    <w:rsid w:val="00C14997"/>
    <w:rsid w:val="00C14DCD"/>
    <w:rsid w:val="00C15A22"/>
    <w:rsid w:val="00C1617F"/>
    <w:rsid w:val="00C17986"/>
    <w:rsid w:val="00C20D08"/>
    <w:rsid w:val="00C22417"/>
    <w:rsid w:val="00C22583"/>
    <w:rsid w:val="00C22BB5"/>
    <w:rsid w:val="00C22E83"/>
    <w:rsid w:val="00C23282"/>
    <w:rsid w:val="00C23365"/>
    <w:rsid w:val="00C23AE1"/>
    <w:rsid w:val="00C24517"/>
    <w:rsid w:val="00C24614"/>
    <w:rsid w:val="00C247BC"/>
    <w:rsid w:val="00C24862"/>
    <w:rsid w:val="00C24B59"/>
    <w:rsid w:val="00C24C0C"/>
    <w:rsid w:val="00C24ED7"/>
    <w:rsid w:val="00C25024"/>
    <w:rsid w:val="00C25947"/>
    <w:rsid w:val="00C2660F"/>
    <w:rsid w:val="00C27DEB"/>
    <w:rsid w:val="00C316CC"/>
    <w:rsid w:val="00C31B88"/>
    <w:rsid w:val="00C32DAB"/>
    <w:rsid w:val="00C333BF"/>
    <w:rsid w:val="00C339A7"/>
    <w:rsid w:val="00C34582"/>
    <w:rsid w:val="00C35515"/>
    <w:rsid w:val="00C35CC7"/>
    <w:rsid w:val="00C35FA5"/>
    <w:rsid w:val="00C3619A"/>
    <w:rsid w:val="00C366A4"/>
    <w:rsid w:val="00C37398"/>
    <w:rsid w:val="00C40501"/>
    <w:rsid w:val="00C40704"/>
    <w:rsid w:val="00C41381"/>
    <w:rsid w:val="00C418D3"/>
    <w:rsid w:val="00C42245"/>
    <w:rsid w:val="00C4278B"/>
    <w:rsid w:val="00C42D79"/>
    <w:rsid w:val="00C42E4A"/>
    <w:rsid w:val="00C433A7"/>
    <w:rsid w:val="00C4474E"/>
    <w:rsid w:val="00C44822"/>
    <w:rsid w:val="00C44ACF"/>
    <w:rsid w:val="00C454D1"/>
    <w:rsid w:val="00C46EFB"/>
    <w:rsid w:val="00C47301"/>
    <w:rsid w:val="00C475F8"/>
    <w:rsid w:val="00C47BB4"/>
    <w:rsid w:val="00C509C2"/>
    <w:rsid w:val="00C50A63"/>
    <w:rsid w:val="00C5162D"/>
    <w:rsid w:val="00C51C74"/>
    <w:rsid w:val="00C52FED"/>
    <w:rsid w:val="00C5357F"/>
    <w:rsid w:val="00C53BF2"/>
    <w:rsid w:val="00C54922"/>
    <w:rsid w:val="00C553A0"/>
    <w:rsid w:val="00C5580C"/>
    <w:rsid w:val="00C56560"/>
    <w:rsid w:val="00C60660"/>
    <w:rsid w:val="00C60760"/>
    <w:rsid w:val="00C60908"/>
    <w:rsid w:val="00C60BAC"/>
    <w:rsid w:val="00C60E73"/>
    <w:rsid w:val="00C61342"/>
    <w:rsid w:val="00C61783"/>
    <w:rsid w:val="00C61FBA"/>
    <w:rsid w:val="00C62E97"/>
    <w:rsid w:val="00C64050"/>
    <w:rsid w:val="00C64212"/>
    <w:rsid w:val="00C66BD9"/>
    <w:rsid w:val="00C67589"/>
    <w:rsid w:val="00C67852"/>
    <w:rsid w:val="00C706E1"/>
    <w:rsid w:val="00C71E71"/>
    <w:rsid w:val="00C7254B"/>
    <w:rsid w:val="00C733AE"/>
    <w:rsid w:val="00C73A9D"/>
    <w:rsid w:val="00C74AA6"/>
    <w:rsid w:val="00C74FA2"/>
    <w:rsid w:val="00C75246"/>
    <w:rsid w:val="00C76BF1"/>
    <w:rsid w:val="00C77347"/>
    <w:rsid w:val="00C773FA"/>
    <w:rsid w:val="00C77529"/>
    <w:rsid w:val="00C808A4"/>
    <w:rsid w:val="00C81745"/>
    <w:rsid w:val="00C8254F"/>
    <w:rsid w:val="00C831FE"/>
    <w:rsid w:val="00C83203"/>
    <w:rsid w:val="00C83C9D"/>
    <w:rsid w:val="00C845A0"/>
    <w:rsid w:val="00C85D40"/>
    <w:rsid w:val="00C86223"/>
    <w:rsid w:val="00C86DF8"/>
    <w:rsid w:val="00C87670"/>
    <w:rsid w:val="00C901AE"/>
    <w:rsid w:val="00C90BA8"/>
    <w:rsid w:val="00C91454"/>
    <w:rsid w:val="00C91783"/>
    <w:rsid w:val="00C91C39"/>
    <w:rsid w:val="00C92435"/>
    <w:rsid w:val="00C9282F"/>
    <w:rsid w:val="00C92D50"/>
    <w:rsid w:val="00C932EC"/>
    <w:rsid w:val="00C9342F"/>
    <w:rsid w:val="00C93D16"/>
    <w:rsid w:val="00C93F3E"/>
    <w:rsid w:val="00C9435F"/>
    <w:rsid w:val="00C94687"/>
    <w:rsid w:val="00C94ECC"/>
    <w:rsid w:val="00C95051"/>
    <w:rsid w:val="00C95251"/>
    <w:rsid w:val="00C95768"/>
    <w:rsid w:val="00C97819"/>
    <w:rsid w:val="00CA17A5"/>
    <w:rsid w:val="00CA22B5"/>
    <w:rsid w:val="00CA23F4"/>
    <w:rsid w:val="00CA273E"/>
    <w:rsid w:val="00CA2D04"/>
    <w:rsid w:val="00CA2E7F"/>
    <w:rsid w:val="00CA2FB1"/>
    <w:rsid w:val="00CA3893"/>
    <w:rsid w:val="00CA42A9"/>
    <w:rsid w:val="00CA443C"/>
    <w:rsid w:val="00CA5083"/>
    <w:rsid w:val="00CA5CD0"/>
    <w:rsid w:val="00CA689B"/>
    <w:rsid w:val="00CA7878"/>
    <w:rsid w:val="00CA7BE5"/>
    <w:rsid w:val="00CB12F0"/>
    <w:rsid w:val="00CB1FC4"/>
    <w:rsid w:val="00CB38C8"/>
    <w:rsid w:val="00CB3A2B"/>
    <w:rsid w:val="00CB4385"/>
    <w:rsid w:val="00CB4446"/>
    <w:rsid w:val="00CB5029"/>
    <w:rsid w:val="00CB57AC"/>
    <w:rsid w:val="00CB6812"/>
    <w:rsid w:val="00CB70DF"/>
    <w:rsid w:val="00CB7AE9"/>
    <w:rsid w:val="00CC1475"/>
    <w:rsid w:val="00CC1A70"/>
    <w:rsid w:val="00CC1F69"/>
    <w:rsid w:val="00CC2734"/>
    <w:rsid w:val="00CC35F2"/>
    <w:rsid w:val="00CC6879"/>
    <w:rsid w:val="00CC79AB"/>
    <w:rsid w:val="00CD0432"/>
    <w:rsid w:val="00CD0E78"/>
    <w:rsid w:val="00CD12D7"/>
    <w:rsid w:val="00CD1CDD"/>
    <w:rsid w:val="00CD1E89"/>
    <w:rsid w:val="00CD272C"/>
    <w:rsid w:val="00CD2A55"/>
    <w:rsid w:val="00CD33D6"/>
    <w:rsid w:val="00CD3A00"/>
    <w:rsid w:val="00CD3E08"/>
    <w:rsid w:val="00CD565D"/>
    <w:rsid w:val="00CD598B"/>
    <w:rsid w:val="00CD678E"/>
    <w:rsid w:val="00CE029C"/>
    <w:rsid w:val="00CE064D"/>
    <w:rsid w:val="00CE0680"/>
    <w:rsid w:val="00CE0B48"/>
    <w:rsid w:val="00CE0FE0"/>
    <w:rsid w:val="00CE1D54"/>
    <w:rsid w:val="00CE25C0"/>
    <w:rsid w:val="00CE2997"/>
    <w:rsid w:val="00CE307A"/>
    <w:rsid w:val="00CE351F"/>
    <w:rsid w:val="00CE3697"/>
    <w:rsid w:val="00CE47AB"/>
    <w:rsid w:val="00CE5487"/>
    <w:rsid w:val="00CE58A7"/>
    <w:rsid w:val="00CE5C79"/>
    <w:rsid w:val="00CE5D80"/>
    <w:rsid w:val="00CE5DDF"/>
    <w:rsid w:val="00CE5F19"/>
    <w:rsid w:val="00CE6BA4"/>
    <w:rsid w:val="00CE6EF7"/>
    <w:rsid w:val="00CE73E9"/>
    <w:rsid w:val="00CF07ED"/>
    <w:rsid w:val="00CF24CE"/>
    <w:rsid w:val="00CF265F"/>
    <w:rsid w:val="00CF4BBC"/>
    <w:rsid w:val="00CF5F64"/>
    <w:rsid w:val="00CF7756"/>
    <w:rsid w:val="00CF7F01"/>
    <w:rsid w:val="00D00999"/>
    <w:rsid w:val="00D012C0"/>
    <w:rsid w:val="00D01810"/>
    <w:rsid w:val="00D021D4"/>
    <w:rsid w:val="00D02612"/>
    <w:rsid w:val="00D03273"/>
    <w:rsid w:val="00D03777"/>
    <w:rsid w:val="00D040AC"/>
    <w:rsid w:val="00D04A36"/>
    <w:rsid w:val="00D0664F"/>
    <w:rsid w:val="00D07A13"/>
    <w:rsid w:val="00D07A7D"/>
    <w:rsid w:val="00D10030"/>
    <w:rsid w:val="00D102A9"/>
    <w:rsid w:val="00D10618"/>
    <w:rsid w:val="00D10A36"/>
    <w:rsid w:val="00D10A6C"/>
    <w:rsid w:val="00D10BD1"/>
    <w:rsid w:val="00D10D3D"/>
    <w:rsid w:val="00D111EB"/>
    <w:rsid w:val="00D1120C"/>
    <w:rsid w:val="00D11477"/>
    <w:rsid w:val="00D12260"/>
    <w:rsid w:val="00D13329"/>
    <w:rsid w:val="00D135F7"/>
    <w:rsid w:val="00D139FB"/>
    <w:rsid w:val="00D16C0F"/>
    <w:rsid w:val="00D16DF6"/>
    <w:rsid w:val="00D17719"/>
    <w:rsid w:val="00D17A45"/>
    <w:rsid w:val="00D20A03"/>
    <w:rsid w:val="00D216A1"/>
    <w:rsid w:val="00D22548"/>
    <w:rsid w:val="00D225B8"/>
    <w:rsid w:val="00D22932"/>
    <w:rsid w:val="00D231CA"/>
    <w:rsid w:val="00D24098"/>
    <w:rsid w:val="00D244F3"/>
    <w:rsid w:val="00D245C4"/>
    <w:rsid w:val="00D247D0"/>
    <w:rsid w:val="00D24834"/>
    <w:rsid w:val="00D252DA"/>
    <w:rsid w:val="00D25553"/>
    <w:rsid w:val="00D259D1"/>
    <w:rsid w:val="00D30BEE"/>
    <w:rsid w:val="00D312B1"/>
    <w:rsid w:val="00D324E0"/>
    <w:rsid w:val="00D3295C"/>
    <w:rsid w:val="00D32A6D"/>
    <w:rsid w:val="00D32BE0"/>
    <w:rsid w:val="00D32CBE"/>
    <w:rsid w:val="00D33272"/>
    <w:rsid w:val="00D337F3"/>
    <w:rsid w:val="00D34947"/>
    <w:rsid w:val="00D35244"/>
    <w:rsid w:val="00D352E1"/>
    <w:rsid w:val="00D36730"/>
    <w:rsid w:val="00D3702D"/>
    <w:rsid w:val="00D37895"/>
    <w:rsid w:val="00D421A3"/>
    <w:rsid w:val="00D424D6"/>
    <w:rsid w:val="00D42973"/>
    <w:rsid w:val="00D43304"/>
    <w:rsid w:val="00D4394F"/>
    <w:rsid w:val="00D4458A"/>
    <w:rsid w:val="00D44D36"/>
    <w:rsid w:val="00D44DF0"/>
    <w:rsid w:val="00D450AA"/>
    <w:rsid w:val="00D46649"/>
    <w:rsid w:val="00D46BBD"/>
    <w:rsid w:val="00D46F7E"/>
    <w:rsid w:val="00D47BF6"/>
    <w:rsid w:val="00D47FB7"/>
    <w:rsid w:val="00D521C4"/>
    <w:rsid w:val="00D5327B"/>
    <w:rsid w:val="00D54508"/>
    <w:rsid w:val="00D545CA"/>
    <w:rsid w:val="00D55293"/>
    <w:rsid w:val="00D56F4D"/>
    <w:rsid w:val="00D60449"/>
    <w:rsid w:val="00D621EA"/>
    <w:rsid w:val="00D62A1D"/>
    <w:rsid w:val="00D638E0"/>
    <w:rsid w:val="00D64A6D"/>
    <w:rsid w:val="00D64A79"/>
    <w:rsid w:val="00D64E5C"/>
    <w:rsid w:val="00D6504C"/>
    <w:rsid w:val="00D673DA"/>
    <w:rsid w:val="00D67857"/>
    <w:rsid w:val="00D70CAC"/>
    <w:rsid w:val="00D70D99"/>
    <w:rsid w:val="00D71242"/>
    <w:rsid w:val="00D71684"/>
    <w:rsid w:val="00D74B58"/>
    <w:rsid w:val="00D74FEC"/>
    <w:rsid w:val="00D75190"/>
    <w:rsid w:val="00D754B7"/>
    <w:rsid w:val="00D76F22"/>
    <w:rsid w:val="00D77ED8"/>
    <w:rsid w:val="00D80220"/>
    <w:rsid w:val="00D83EF8"/>
    <w:rsid w:val="00D84225"/>
    <w:rsid w:val="00D846B6"/>
    <w:rsid w:val="00D84FCA"/>
    <w:rsid w:val="00D86548"/>
    <w:rsid w:val="00D86624"/>
    <w:rsid w:val="00D86BB7"/>
    <w:rsid w:val="00D86CAD"/>
    <w:rsid w:val="00D86FC4"/>
    <w:rsid w:val="00D900A9"/>
    <w:rsid w:val="00D90519"/>
    <w:rsid w:val="00D90C3D"/>
    <w:rsid w:val="00D90FFC"/>
    <w:rsid w:val="00D91251"/>
    <w:rsid w:val="00D91297"/>
    <w:rsid w:val="00D91D2E"/>
    <w:rsid w:val="00D92A40"/>
    <w:rsid w:val="00D93197"/>
    <w:rsid w:val="00D93ACE"/>
    <w:rsid w:val="00D95076"/>
    <w:rsid w:val="00D951F7"/>
    <w:rsid w:val="00D9581B"/>
    <w:rsid w:val="00D9716C"/>
    <w:rsid w:val="00D97791"/>
    <w:rsid w:val="00D97C28"/>
    <w:rsid w:val="00D97CBD"/>
    <w:rsid w:val="00DA0499"/>
    <w:rsid w:val="00DA04E9"/>
    <w:rsid w:val="00DA0C2D"/>
    <w:rsid w:val="00DA1923"/>
    <w:rsid w:val="00DA1A11"/>
    <w:rsid w:val="00DA2628"/>
    <w:rsid w:val="00DA3B19"/>
    <w:rsid w:val="00DA506B"/>
    <w:rsid w:val="00DA6690"/>
    <w:rsid w:val="00DA7C62"/>
    <w:rsid w:val="00DA7CE5"/>
    <w:rsid w:val="00DA7F48"/>
    <w:rsid w:val="00DB01CA"/>
    <w:rsid w:val="00DB053B"/>
    <w:rsid w:val="00DB091C"/>
    <w:rsid w:val="00DB1DE0"/>
    <w:rsid w:val="00DB3970"/>
    <w:rsid w:val="00DB3E52"/>
    <w:rsid w:val="00DB4311"/>
    <w:rsid w:val="00DB53A0"/>
    <w:rsid w:val="00DB7887"/>
    <w:rsid w:val="00DC0536"/>
    <w:rsid w:val="00DC0AE9"/>
    <w:rsid w:val="00DC0B89"/>
    <w:rsid w:val="00DC0F93"/>
    <w:rsid w:val="00DC1BD2"/>
    <w:rsid w:val="00DC1E14"/>
    <w:rsid w:val="00DC2643"/>
    <w:rsid w:val="00DC2ABA"/>
    <w:rsid w:val="00DC3291"/>
    <w:rsid w:val="00DC36D8"/>
    <w:rsid w:val="00DC3D2C"/>
    <w:rsid w:val="00DC3D76"/>
    <w:rsid w:val="00DC4197"/>
    <w:rsid w:val="00DC48DD"/>
    <w:rsid w:val="00DC4B2D"/>
    <w:rsid w:val="00DC5274"/>
    <w:rsid w:val="00DC6EDB"/>
    <w:rsid w:val="00DD23E2"/>
    <w:rsid w:val="00DD3BB3"/>
    <w:rsid w:val="00DD3EDA"/>
    <w:rsid w:val="00DD4E5E"/>
    <w:rsid w:val="00DD5127"/>
    <w:rsid w:val="00DD578B"/>
    <w:rsid w:val="00DD5855"/>
    <w:rsid w:val="00DD59D5"/>
    <w:rsid w:val="00DD5C37"/>
    <w:rsid w:val="00DD672C"/>
    <w:rsid w:val="00DD7FE9"/>
    <w:rsid w:val="00DE1102"/>
    <w:rsid w:val="00DE1D12"/>
    <w:rsid w:val="00DE2B32"/>
    <w:rsid w:val="00DE2BA8"/>
    <w:rsid w:val="00DE316C"/>
    <w:rsid w:val="00DE463D"/>
    <w:rsid w:val="00DE464B"/>
    <w:rsid w:val="00DE4DF9"/>
    <w:rsid w:val="00DE582E"/>
    <w:rsid w:val="00DE6288"/>
    <w:rsid w:val="00DE6FA3"/>
    <w:rsid w:val="00DE73BB"/>
    <w:rsid w:val="00DE79A6"/>
    <w:rsid w:val="00DF0082"/>
    <w:rsid w:val="00DF0720"/>
    <w:rsid w:val="00DF2172"/>
    <w:rsid w:val="00DF23D9"/>
    <w:rsid w:val="00DF2736"/>
    <w:rsid w:val="00DF5876"/>
    <w:rsid w:val="00DF6878"/>
    <w:rsid w:val="00DF6AA9"/>
    <w:rsid w:val="00DF73F9"/>
    <w:rsid w:val="00E005BB"/>
    <w:rsid w:val="00E01416"/>
    <w:rsid w:val="00E01CD3"/>
    <w:rsid w:val="00E01D53"/>
    <w:rsid w:val="00E02B55"/>
    <w:rsid w:val="00E04721"/>
    <w:rsid w:val="00E052FD"/>
    <w:rsid w:val="00E06157"/>
    <w:rsid w:val="00E07138"/>
    <w:rsid w:val="00E076E5"/>
    <w:rsid w:val="00E11659"/>
    <w:rsid w:val="00E11DAA"/>
    <w:rsid w:val="00E11DC4"/>
    <w:rsid w:val="00E123F1"/>
    <w:rsid w:val="00E1318E"/>
    <w:rsid w:val="00E13D86"/>
    <w:rsid w:val="00E14364"/>
    <w:rsid w:val="00E148DD"/>
    <w:rsid w:val="00E14ABB"/>
    <w:rsid w:val="00E14B8E"/>
    <w:rsid w:val="00E15213"/>
    <w:rsid w:val="00E158EE"/>
    <w:rsid w:val="00E15E7C"/>
    <w:rsid w:val="00E168A6"/>
    <w:rsid w:val="00E17237"/>
    <w:rsid w:val="00E17348"/>
    <w:rsid w:val="00E2043B"/>
    <w:rsid w:val="00E20F4F"/>
    <w:rsid w:val="00E220EC"/>
    <w:rsid w:val="00E22B79"/>
    <w:rsid w:val="00E237A2"/>
    <w:rsid w:val="00E24046"/>
    <w:rsid w:val="00E25E70"/>
    <w:rsid w:val="00E26168"/>
    <w:rsid w:val="00E262C5"/>
    <w:rsid w:val="00E269E2"/>
    <w:rsid w:val="00E30754"/>
    <w:rsid w:val="00E311EB"/>
    <w:rsid w:val="00E314DA"/>
    <w:rsid w:val="00E31C7B"/>
    <w:rsid w:val="00E32089"/>
    <w:rsid w:val="00E32254"/>
    <w:rsid w:val="00E331FF"/>
    <w:rsid w:val="00E33285"/>
    <w:rsid w:val="00E3386B"/>
    <w:rsid w:val="00E348F7"/>
    <w:rsid w:val="00E35A62"/>
    <w:rsid w:val="00E35C35"/>
    <w:rsid w:val="00E36B39"/>
    <w:rsid w:val="00E402B9"/>
    <w:rsid w:val="00E425C6"/>
    <w:rsid w:val="00E42EC3"/>
    <w:rsid w:val="00E43550"/>
    <w:rsid w:val="00E436AF"/>
    <w:rsid w:val="00E44B65"/>
    <w:rsid w:val="00E44EDB"/>
    <w:rsid w:val="00E45ADE"/>
    <w:rsid w:val="00E46ABC"/>
    <w:rsid w:val="00E478BA"/>
    <w:rsid w:val="00E520E7"/>
    <w:rsid w:val="00E52336"/>
    <w:rsid w:val="00E526CE"/>
    <w:rsid w:val="00E53F40"/>
    <w:rsid w:val="00E5401B"/>
    <w:rsid w:val="00E540A7"/>
    <w:rsid w:val="00E56643"/>
    <w:rsid w:val="00E56E41"/>
    <w:rsid w:val="00E57352"/>
    <w:rsid w:val="00E573B3"/>
    <w:rsid w:val="00E57454"/>
    <w:rsid w:val="00E576D5"/>
    <w:rsid w:val="00E57DC0"/>
    <w:rsid w:val="00E60158"/>
    <w:rsid w:val="00E612D1"/>
    <w:rsid w:val="00E623CC"/>
    <w:rsid w:val="00E628A4"/>
    <w:rsid w:val="00E62DA3"/>
    <w:rsid w:val="00E643DE"/>
    <w:rsid w:val="00E64F49"/>
    <w:rsid w:val="00E6509C"/>
    <w:rsid w:val="00E656F5"/>
    <w:rsid w:val="00E65A79"/>
    <w:rsid w:val="00E6745B"/>
    <w:rsid w:val="00E70235"/>
    <w:rsid w:val="00E7024B"/>
    <w:rsid w:val="00E70476"/>
    <w:rsid w:val="00E7062C"/>
    <w:rsid w:val="00E708CF"/>
    <w:rsid w:val="00E71032"/>
    <w:rsid w:val="00E71561"/>
    <w:rsid w:val="00E7211F"/>
    <w:rsid w:val="00E72A48"/>
    <w:rsid w:val="00E72E75"/>
    <w:rsid w:val="00E74364"/>
    <w:rsid w:val="00E7455C"/>
    <w:rsid w:val="00E756D3"/>
    <w:rsid w:val="00E762D5"/>
    <w:rsid w:val="00E76D92"/>
    <w:rsid w:val="00E76D98"/>
    <w:rsid w:val="00E80C94"/>
    <w:rsid w:val="00E816BE"/>
    <w:rsid w:val="00E835C4"/>
    <w:rsid w:val="00E84626"/>
    <w:rsid w:val="00E8496D"/>
    <w:rsid w:val="00E86362"/>
    <w:rsid w:val="00E8657F"/>
    <w:rsid w:val="00E86B33"/>
    <w:rsid w:val="00E86CD1"/>
    <w:rsid w:val="00E8748B"/>
    <w:rsid w:val="00E87D0E"/>
    <w:rsid w:val="00E910D0"/>
    <w:rsid w:val="00E91BD6"/>
    <w:rsid w:val="00E9321B"/>
    <w:rsid w:val="00E93BA6"/>
    <w:rsid w:val="00E93CDD"/>
    <w:rsid w:val="00E94197"/>
    <w:rsid w:val="00E955AF"/>
    <w:rsid w:val="00E97658"/>
    <w:rsid w:val="00E979C2"/>
    <w:rsid w:val="00EA239F"/>
    <w:rsid w:val="00EA2F63"/>
    <w:rsid w:val="00EA3153"/>
    <w:rsid w:val="00EA338B"/>
    <w:rsid w:val="00EA453E"/>
    <w:rsid w:val="00EA59F9"/>
    <w:rsid w:val="00EA5AC5"/>
    <w:rsid w:val="00EA6F66"/>
    <w:rsid w:val="00EB0FCA"/>
    <w:rsid w:val="00EB2303"/>
    <w:rsid w:val="00EB2353"/>
    <w:rsid w:val="00EB2889"/>
    <w:rsid w:val="00EB29B1"/>
    <w:rsid w:val="00EB2E6D"/>
    <w:rsid w:val="00EB3437"/>
    <w:rsid w:val="00EB39EF"/>
    <w:rsid w:val="00EB3B63"/>
    <w:rsid w:val="00EB45FD"/>
    <w:rsid w:val="00EB4C5F"/>
    <w:rsid w:val="00EB52D9"/>
    <w:rsid w:val="00EB5C0F"/>
    <w:rsid w:val="00EB5CD0"/>
    <w:rsid w:val="00EB5D5B"/>
    <w:rsid w:val="00EB61F6"/>
    <w:rsid w:val="00EB6C63"/>
    <w:rsid w:val="00EB6CB1"/>
    <w:rsid w:val="00EB7143"/>
    <w:rsid w:val="00EB78EE"/>
    <w:rsid w:val="00EB7EE3"/>
    <w:rsid w:val="00EC20DD"/>
    <w:rsid w:val="00EC30BE"/>
    <w:rsid w:val="00EC47EE"/>
    <w:rsid w:val="00EC482C"/>
    <w:rsid w:val="00EC4A1F"/>
    <w:rsid w:val="00EC5317"/>
    <w:rsid w:val="00EC5488"/>
    <w:rsid w:val="00EC6C0F"/>
    <w:rsid w:val="00EC7FE5"/>
    <w:rsid w:val="00ED0836"/>
    <w:rsid w:val="00ED1A79"/>
    <w:rsid w:val="00ED25B1"/>
    <w:rsid w:val="00ED2C5C"/>
    <w:rsid w:val="00ED320F"/>
    <w:rsid w:val="00ED3D8F"/>
    <w:rsid w:val="00ED57B3"/>
    <w:rsid w:val="00ED6190"/>
    <w:rsid w:val="00ED63FB"/>
    <w:rsid w:val="00ED6E40"/>
    <w:rsid w:val="00ED7332"/>
    <w:rsid w:val="00EE01C0"/>
    <w:rsid w:val="00EE05B3"/>
    <w:rsid w:val="00EE071F"/>
    <w:rsid w:val="00EE0EB2"/>
    <w:rsid w:val="00EE136F"/>
    <w:rsid w:val="00EE1434"/>
    <w:rsid w:val="00EE1E1F"/>
    <w:rsid w:val="00EE20A0"/>
    <w:rsid w:val="00EE2740"/>
    <w:rsid w:val="00EE36C4"/>
    <w:rsid w:val="00EE3BD0"/>
    <w:rsid w:val="00EE42A3"/>
    <w:rsid w:val="00EE5554"/>
    <w:rsid w:val="00EE7B93"/>
    <w:rsid w:val="00EE7CE4"/>
    <w:rsid w:val="00EF0923"/>
    <w:rsid w:val="00EF0B2C"/>
    <w:rsid w:val="00EF0B70"/>
    <w:rsid w:val="00EF1682"/>
    <w:rsid w:val="00EF19C8"/>
    <w:rsid w:val="00EF1D1F"/>
    <w:rsid w:val="00EF22B7"/>
    <w:rsid w:val="00EF26D6"/>
    <w:rsid w:val="00EF2864"/>
    <w:rsid w:val="00EF2B3E"/>
    <w:rsid w:val="00EF32B1"/>
    <w:rsid w:val="00EF3403"/>
    <w:rsid w:val="00EF3D49"/>
    <w:rsid w:val="00EF5A0E"/>
    <w:rsid w:val="00EF5C4C"/>
    <w:rsid w:val="00EF6289"/>
    <w:rsid w:val="00EF775D"/>
    <w:rsid w:val="00F00180"/>
    <w:rsid w:val="00F008F4"/>
    <w:rsid w:val="00F00965"/>
    <w:rsid w:val="00F00B25"/>
    <w:rsid w:val="00F0110B"/>
    <w:rsid w:val="00F01FA4"/>
    <w:rsid w:val="00F027B7"/>
    <w:rsid w:val="00F03269"/>
    <w:rsid w:val="00F03C63"/>
    <w:rsid w:val="00F04072"/>
    <w:rsid w:val="00F04E4A"/>
    <w:rsid w:val="00F05288"/>
    <w:rsid w:val="00F0536C"/>
    <w:rsid w:val="00F05C17"/>
    <w:rsid w:val="00F05D28"/>
    <w:rsid w:val="00F0614D"/>
    <w:rsid w:val="00F06521"/>
    <w:rsid w:val="00F06D72"/>
    <w:rsid w:val="00F07CC2"/>
    <w:rsid w:val="00F07DDE"/>
    <w:rsid w:val="00F108A5"/>
    <w:rsid w:val="00F10BF8"/>
    <w:rsid w:val="00F10FA7"/>
    <w:rsid w:val="00F112A2"/>
    <w:rsid w:val="00F11643"/>
    <w:rsid w:val="00F11AA2"/>
    <w:rsid w:val="00F11E2C"/>
    <w:rsid w:val="00F13027"/>
    <w:rsid w:val="00F1326C"/>
    <w:rsid w:val="00F13A37"/>
    <w:rsid w:val="00F14C19"/>
    <w:rsid w:val="00F15432"/>
    <w:rsid w:val="00F15D97"/>
    <w:rsid w:val="00F169FC"/>
    <w:rsid w:val="00F171AB"/>
    <w:rsid w:val="00F176B7"/>
    <w:rsid w:val="00F1772B"/>
    <w:rsid w:val="00F21253"/>
    <w:rsid w:val="00F22440"/>
    <w:rsid w:val="00F22D59"/>
    <w:rsid w:val="00F22E8F"/>
    <w:rsid w:val="00F24E54"/>
    <w:rsid w:val="00F251C9"/>
    <w:rsid w:val="00F25D51"/>
    <w:rsid w:val="00F25E95"/>
    <w:rsid w:val="00F25F37"/>
    <w:rsid w:val="00F266C8"/>
    <w:rsid w:val="00F26DDE"/>
    <w:rsid w:val="00F26E12"/>
    <w:rsid w:val="00F26FBE"/>
    <w:rsid w:val="00F27DD2"/>
    <w:rsid w:val="00F306EF"/>
    <w:rsid w:val="00F311E1"/>
    <w:rsid w:val="00F324D4"/>
    <w:rsid w:val="00F3262B"/>
    <w:rsid w:val="00F32D41"/>
    <w:rsid w:val="00F3348C"/>
    <w:rsid w:val="00F337DB"/>
    <w:rsid w:val="00F3471D"/>
    <w:rsid w:val="00F34B84"/>
    <w:rsid w:val="00F34B93"/>
    <w:rsid w:val="00F34CB8"/>
    <w:rsid w:val="00F34D88"/>
    <w:rsid w:val="00F351A4"/>
    <w:rsid w:val="00F3548F"/>
    <w:rsid w:val="00F3718F"/>
    <w:rsid w:val="00F4028F"/>
    <w:rsid w:val="00F404F8"/>
    <w:rsid w:val="00F408B8"/>
    <w:rsid w:val="00F41201"/>
    <w:rsid w:val="00F41E66"/>
    <w:rsid w:val="00F422BF"/>
    <w:rsid w:val="00F42616"/>
    <w:rsid w:val="00F426D6"/>
    <w:rsid w:val="00F431FE"/>
    <w:rsid w:val="00F432C8"/>
    <w:rsid w:val="00F44169"/>
    <w:rsid w:val="00F4562C"/>
    <w:rsid w:val="00F45679"/>
    <w:rsid w:val="00F45D5B"/>
    <w:rsid w:val="00F461F1"/>
    <w:rsid w:val="00F468ED"/>
    <w:rsid w:val="00F50363"/>
    <w:rsid w:val="00F50DCD"/>
    <w:rsid w:val="00F50F3F"/>
    <w:rsid w:val="00F51D65"/>
    <w:rsid w:val="00F51E45"/>
    <w:rsid w:val="00F525B6"/>
    <w:rsid w:val="00F5390E"/>
    <w:rsid w:val="00F53BEC"/>
    <w:rsid w:val="00F548A4"/>
    <w:rsid w:val="00F54F46"/>
    <w:rsid w:val="00F55A95"/>
    <w:rsid w:val="00F55AF8"/>
    <w:rsid w:val="00F55F14"/>
    <w:rsid w:val="00F562B0"/>
    <w:rsid w:val="00F56B39"/>
    <w:rsid w:val="00F57829"/>
    <w:rsid w:val="00F578A0"/>
    <w:rsid w:val="00F579A1"/>
    <w:rsid w:val="00F61000"/>
    <w:rsid w:val="00F611F4"/>
    <w:rsid w:val="00F614D5"/>
    <w:rsid w:val="00F621E1"/>
    <w:rsid w:val="00F62493"/>
    <w:rsid w:val="00F63668"/>
    <w:rsid w:val="00F6475C"/>
    <w:rsid w:val="00F6485A"/>
    <w:rsid w:val="00F654E4"/>
    <w:rsid w:val="00F65ADC"/>
    <w:rsid w:val="00F672DC"/>
    <w:rsid w:val="00F6789A"/>
    <w:rsid w:val="00F70E1F"/>
    <w:rsid w:val="00F7106F"/>
    <w:rsid w:val="00F71DF5"/>
    <w:rsid w:val="00F74055"/>
    <w:rsid w:val="00F746CC"/>
    <w:rsid w:val="00F74773"/>
    <w:rsid w:val="00F74F76"/>
    <w:rsid w:val="00F7555C"/>
    <w:rsid w:val="00F76B49"/>
    <w:rsid w:val="00F76B70"/>
    <w:rsid w:val="00F772E4"/>
    <w:rsid w:val="00F77921"/>
    <w:rsid w:val="00F77C6B"/>
    <w:rsid w:val="00F8010E"/>
    <w:rsid w:val="00F8055F"/>
    <w:rsid w:val="00F80BDB"/>
    <w:rsid w:val="00F81F71"/>
    <w:rsid w:val="00F82843"/>
    <w:rsid w:val="00F83553"/>
    <w:rsid w:val="00F83ACF"/>
    <w:rsid w:val="00F83B1D"/>
    <w:rsid w:val="00F84A04"/>
    <w:rsid w:val="00F86632"/>
    <w:rsid w:val="00F87145"/>
    <w:rsid w:val="00F87B59"/>
    <w:rsid w:val="00F87E6C"/>
    <w:rsid w:val="00F90790"/>
    <w:rsid w:val="00F9214E"/>
    <w:rsid w:val="00F923AF"/>
    <w:rsid w:val="00F92D54"/>
    <w:rsid w:val="00F934E1"/>
    <w:rsid w:val="00F93699"/>
    <w:rsid w:val="00F942C1"/>
    <w:rsid w:val="00F9709F"/>
    <w:rsid w:val="00F97BA8"/>
    <w:rsid w:val="00FA099E"/>
    <w:rsid w:val="00FA0E02"/>
    <w:rsid w:val="00FA15F4"/>
    <w:rsid w:val="00FA17CB"/>
    <w:rsid w:val="00FA1C6B"/>
    <w:rsid w:val="00FA208F"/>
    <w:rsid w:val="00FA3B62"/>
    <w:rsid w:val="00FA4161"/>
    <w:rsid w:val="00FA4CC2"/>
    <w:rsid w:val="00FA4F57"/>
    <w:rsid w:val="00FA546D"/>
    <w:rsid w:val="00FA5861"/>
    <w:rsid w:val="00FA5875"/>
    <w:rsid w:val="00FA66EA"/>
    <w:rsid w:val="00FA74F1"/>
    <w:rsid w:val="00FA766C"/>
    <w:rsid w:val="00FA778F"/>
    <w:rsid w:val="00FB04C4"/>
    <w:rsid w:val="00FB0746"/>
    <w:rsid w:val="00FB1266"/>
    <w:rsid w:val="00FB194D"/>
    <w:rsid w:val="00FB258E"/>
    <w:rsid w:val="00FB26D8"/>
    <w:rsid w:val="00FB2B5E"/>
    <w:rsid w:val="00FB4291"/>
    <w:rsid w:val="00FB5D8F"/>
    <w:rsid w:val="00FB647C"/>
    <w:rsid w:val="00FB6EB0"/>
    <w:rsid w:val="00FB702B"/>
    <w:rsid w:val="00FB7770"/>
    <w:rsid w:val="00FC0712"/>
    <w:rsid w:val="00FC0C8E"/>
    <w:rsid w:val="00FC0CDD"/>
    <w:rsid w:val="00FC1964"/>
    <w:rsid w:val="00FC2249"/>
    <w:rsid w:val="00FC24A0"/>
    <w:rsid w:val="00FC25FF"/>
    <w:rsid w:val="00FC2F1F"/>
    <w:rsid w:val="00FC3B4D"/>
    <w:rsid w:val="00FC3B72"/>
    <w:rsid w:val="00FC3C95"/>
    <w:rsid w:val="00FC5F0B"/>
    <w:rsid w:val="00FD04EB"/>
    <w:rsid w:val="00FD0747"/>
    <w:rsid w:val="00FD0A2D"/>
    <w:rsid w:val="00FD0DA8"/>
    <w:rsid w:val="00FD0DF9"/>
    <w:rsid w:val="00FD1EAA"/>
    <w:rsid w:val="00FD2331"/>
    <w:rsid w:val="00FD2DEE"/>
    <w:rsid w:val="00FD3046"/>
    <w:rsid w:val="00FD31E9"/>
    <w:rsid w:val="00FD33AA"/>
    <w:rsid w:val="00FD35A8"/>
    <w:rsid w:val="00FD3EBC"/>
    <w:rsid w:val="00FD4963"/>
    <w:rsid w:val="00FD548B"/>
    <w:rsid w:val="00FD6B5E"/>
    <w:rsid w:val="00FD6D3D"/>
    <w:rsid w:val="00FD6F62"/>
    <w:rsid w:val="00FD7571"/>
    <w:rsid w:val="00FD7906"/>
    <w:rsid w:val="00FD7BA8"/>
    <w:rsid w:val="00FD7EE4"/>
    <w:rsid w:val="00FE2BD7"/>
    <w:rsid w:val="00FE2F38"/>
    <w:rsid w:val="00FE3340"/>
    <w:rsid w:val="00FE3771"/>
    <w:rsid w:val="00FE43BD"/>
    <w:rsid w:val="00FE4695"/>
    <w:rsid w:val="00FE478F"/>
    <w:rsid w:val="00FE4C55"/>
    <w:rsid w:val="00FE5704"/>
    <w:rsid w:val="00FE618C"/>
    <w:rsid w:val="00FE7700"/>
    <w:rsid w:val="00FF0615"/>
    <w:rsid w:val="00FF0778"/>
    <w:rsid w:val="00FF0E79"/>
    <w:rsid w:val="00FF134E"/>
    <w:rsid w:val="00FF1942"/>
    <w:rsid w:val="00FF1AFB"/>
    <w:rsid w:val="00FF3BCF"/>
    <w:rsid w:val="00FF5A14"/>
    <w:rsid w:val="00FF5C28"/>
    <w:rsid w:val="00FF642E"/>
    <w:rsid w:val="00FF6857"/>
    <w:rsid w:val="00FF6D9E"/>
    <w:rsid w:val="00FF6DDD"/>
    <w:rsid w:val="00FF72FB"/>
    <w:rsid w:val="00FF7F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9E30D05-CF6B-47D5-8B6D-803D1D5F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26CE"/>
    <w:pPr>
      <w:overflowPunct w:val="0"/>
      <w:autoSpaceDE w:val="0"/>
      <w:autoSpaceDN w:val="0"/>
      <w:bidi/>
      <w:adjustRightInd w:val="0"/>
    </w:pPr>
    <w:rPr>
      <w:rFonts w:cs="David"/>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uller3">
    <w:name w:val="Ruller 3"/>
    <w:basedOn w:val="a"/>
    <w:rsid w:val="00E526CE"/>
    <w:pPr>
      <w:tabs>
        <w:tab w:val="left" w:pos="3210"/>
        <w:tab w:val="left" w:pos="6753"/>
      </w:tabs>
      <w:spacing w:line="360" w:lineRule="auto"/>
    </w:pPr>
    <w:rPr>
      <w:rFonts w:cs="FrankRuehl"/>
      <w:spacing w:val="10"/>
      <w:sz w:val="22"/>
      <w:szCs w:val="28"/>
    </w:rPr>
  </w:style>
  <w:style w:type="paragraph" w:customStyle="1" w:styleId="FileNumber">
    <w:name w:val="File Number"/>
    <w:basedOn w:val="a"/>
    <w:rsid w:val="00E526CE"/>
    <w:pPr>
      <w:spacing w:line="360" w:lineRule="auto"/>
      <w:jc w:val="right"/>
    </w:pPr>
    <w:rPr>
      <w:bCs/>
    </w:rPr>
  </w:style>
  <w:style w:type="paragraph" w:customStyle="1" w:styleId="BodyRuller">
    <w:name w:val="Body Ruller"/>
    <w:basedOn w:val="a"/>
    <w:rsid w:val="00E526CE"/>
    <w:rPr>
      <w:sz w:val="22"/>
      <w:szCs w:val="28"/>
    </w:rPr>
  </w:style>
  <w:style w:type="paragraph" w:customStyle="1" w:styleId="FileNumber0">
    <w:name w:val="סגנון File Number + ימין"/>
    <w:basedOn w:val="FileNumber"/>
    <w:rsid w:val="00E526CE"/>
    <w:pPr>
      <w:jc w:val="left"/>
    </w:pPr>
    <w:rPr>
      <w:szCs w:val="28"/>
    </w:rPr>
  </w:style>
  <w:style w:type="table" w:customStyle="1" w:styleId="1">
    <w:name w:val="טבלה רגילה1"/>
    <w:semiHidden/>
    <w:rsid w:val="00E526CE"/>
    <w:tblPr>
      <w:tblCellMar>
        <w:top w:w="0" w:type="dxa"/>
        <w:left w:w="108" w:type="dxa"/>
        <w:bottom w:w="0" w:type="dxa"/>
        <w:right w:w="108" w:type="dxa"/>
      </w:tblCellMar>
    </w:tblPr>
  </w:style>
  <w:style w:type="paragraph" w:customStyle="1" w:styleId="DocumentHead">
    <w:name w:val="Document Head"/>
    <w:basedOn w:val="a"/>
    <w:rsid w:val="00E526CE"/>
    <w:pPr>
      <w:spacing w:line="360" w:lineRule="auto"/>
      <w:jc w:val="center"/>
    </w:pPr>
    <w:rPr>
      <w:bCs/>
      <w:spacing w:val="30"/>
      <w:szCs w:val="28"/>
      <w:u w:val="single"/>
    </w:rPr>
  </w:style>
  <w:style w:type="paragraph" w:styleId="a3">
    <w:name w:val="footer"/>
    <w:basedOn w:val="a"/>
    <w:rsid w:val="00DF6AA9"/>
    <w:pPr>
      <w:tabs>
        <w:tab w:val="center" w:pos="4153"/>
        <w:tab w:val="right" w:pos="8306"/>
      </w:tabs>
    </w:pPr>
  </w:style>
  <w:style w:type="character" w:styleId="a4">
    <w:name w:val="page number"/>
    <w:basedOn w:val="a0"/>
    <w:rsid w:val="00DF6AA9"/>
  </w:style>
  <w:style w:type="paragraph" w:styleId="a5">
    <w:name w:val="header"/>
    <w:basedOn w:val="a"/>
    <w:rsid w:val="00DF6AA9"/>
    <w:pPr>
      <w:tabs>
        <w:tab w:val="center" w:pos="4153"/>
        <w:tab w:val="right" w:pos="8306"/>
      </w:tabs>
    </w:pPr>
  </w:style>
  <w:style w:type="character" w:styleId="Hyperlink">
    <w:name w:val="Hyperlink"/>
    <w:rsid w:val="00A364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www.nevo.co.il/law/71764/3" TargetMode="External"/><Relationship Id="rId21" Type="http://schemas.openxmlformats.org/officeDocument/2006/relationships/hyperlink" Target="http://www.nevo.co.il/law/71764/4.a" TargetMode="External"/><Relationship Id="rId42" Type="http://schemas.openxmlformats.org/officeDocument/2006/relationships/hyperlink" Target="http://www.nevo.co.il/law/71764" TargetMode="External"/><Relationship Id="rId47" Type="http://schemas.openxmlformats.org/officeDocument/2006/relationships/hyperlink" Target="http://www.nevo.co.il/law/71764/9" TargetMode="External"/><Relationship Id="rId63" Type="http://schemas.openxmlformats.org/officeDocument/2006/relationships/hyperlink" Target="http://www.nevo.co.il/law/71764/2" TargetMode="External"/><Relationship Id="rId68" Type="http://schemas.openxmlformats.org/officeDocument/2006/relationships/hyperlink" Target="http://www.nevo.co.il/law/71764/10" TargetMode="External"/><Relationship Id="rId84" Type="http://schemas.openxmlformats.org/officeDocument/2006/relationships/hyperlink" Target="http://www.nevo.co.il/law/71764/3" TargetMode="External"/><Relationship Id="rId89" Type="http://schemas.openxmlformats.org/officeDocument/2006/relationships/hyperlink" Target="http://www.nevo.co.il/law/71764/3" TargetMode="External"/><Relationship Id="rId112" Type="http://schemas.openxmlformats.org/officeDocument/2006/relationships/hyperlink" Target="http://www.nevo.co.il/law/71764/3" TargetMode="External"/><Relationship Id="rId16" Type="http://schemas.openxmlformats.org/officeDocument/2006/relationships/hyperlink" Target="http://www.nevo.co.il/law/71764/4.b" TargetMode="External"/><Relationship Id="rId107" Type="http://schemas.openxmlformats.org/officeDocument/2006/relationships/hyperlink" Target="http://www.nevo.co.il/law/71764/2" TargetMode="External"/><Relationship Id="rId11" Type="http://schemas.openxmlformats.org/officeDocument/2006/relationships/footer" Target="footer1.xml"/><Relationship Id="rId32" Type="http://schemas.openxmlformats.org/officeDocument/2006/relationships/hyperlink" Target="http://www.nevo.co.il/law/71764" TargetMode="External"/><Relationship Id="rId37" Type="http://schemas.openxmlformats.org/officeDocument/2006/relationships/hyperlink" Target="http://www.nevo.co.il/law/71764/3" TargetMode="External"/><Relationship Id="rId53" Type="http://schemas.openxmlformats.org/officeDocument/2006/relationships/hyperlink" Target="http://www.nevo.co.il/law/71764/4.a" TargetMode="External"/><Relationship Id="rId58" Type="http://schemas.openxmlformats.org/officeDocument/2006/relationships/hyperlink" Target="http://www.nevo.co.il/law/71764" TargetMode="External"/><Relationship Id="rId74" Type="http://schemas.openxmlformats.org/officeDocument/2006/relationships/hyperlink" Target="http://www.nevo.co.il/law/71764/3" TargetMode="External"/><Relationship Id="rId79" Type="http://schemas.openxmlformats.org/officeDocument/2006/relationships/hyperlink" Target="http://www.nevo.co.il/law/71764" TargetMode="External"/><Relationship Id="rId102" Type="http://schemas.openxmlformats.org/officeDocument/2006/relationships/hyperlink" Target="http://www.nevo.co.il/law/71764/3" TargetMode="External"/><Relationship Id="rId123" Type="http://schemas.openxmlformats.org/officeDocument/2006/relationships/hyperlink" Target="http://www.nevo.co.il/law/71764/3" TargetMode="External"/><Relationship Id="rId128" Type="http://schemas.openxmlformats.org/officeDocument/2006/relationships/hyperlink" Target="http://www.nevo.co.il/case/17911136" TargetMode="External"/><Relationship Id="rId5" Type="http://schemas.openxmlformats.org/officeDocument/2006/relationships/footnotes" Target="footnotes.xml"/><Relationship Id="rId90" Type="http://schemas.openxmlformats.org/officeDocument/2006/relationships/hyperlink" Target="http://www.nevo.co.il/law/71764" TargetMode="External"/><Relationship Id="rId95" Type="http://schemas.openxmlformats.org/officeDocument/2006/relationships/hyperlink" Target="http://www.nevo.co.il/law/71764/3" TargetMode="External"/><Relationship Id="rId22" Type="http://schemas.openxmlformats.org/officeDocument/2006/relationships/hyperlink" Target="http://www.nevo.co.il/law/71764/3" TargetMode="External"/><Relationship Id="rId27" Type="http://schemas.openxmlformats.org/officeDocument/2006/relationships/hyperlink" Target="http://www.nevo.co.il/law/71764" TargetMode="External"/><Relationship Id="rId43" Type="http://schemas.openxmlformats.org/officeDocument/2006/relationships/hyperlink" Target="http://www.nevo.co.il/law/71764/1" TargetMode="External"/><Relationship Id="rId48" Type="http://schemas.openxmlformats.org/officeDocument/2006/relationships/hyperlink" Target="http://www.nevo.co.il/law/71764/2" TargetMode="External"/><Relationship Id="rId64" Type="http://schemas.openxmlformats.org/officeDocument/2006/relationships/hyperlink" Target="http://www.nevo.co.il/law/71764/2" TargetMode="External"/><Relationship Id="rId69" Type="http://schemas.openxmlformats.org/officeDocument/2006/relationships/hyperlink" Target="http://www.nevo.co.il/law/71764/10" TargetMode="External"/><Relationship Id="rId113" Type="http://schemas.openxmlformats.org/officeDocument/2006/relationships/hyperlink" Target="http://www.nevo.co.il/law/71764/3" TargetMode="External"/><Relationship Id="rId118" Type="http://schemas.openxmlformats.org/officeDocument/2006/relationships/hyperlink" Target="http://www.nevo.co.il/law/71764" TargetMode="External"/><Relationship Id="rId80" Type="http://schemas.openxmlformats.org/officeDocument/2006/relationships/hyperlink" Target="http://www.nevo.co.il/law/71764/3" TargetMode="External"/><Relationship Id="rId85" Type="http://schemas.openxmlformats.org/officeDocument/2006/relationships/hyperlink" Target="http://www.nevo.co.il/law/71764/3" TargetMode="External"/><Relationship Id="rId12" Type="http://schemas.openxmlformats.org/officeDocument/2006/relationships/footer" Target="footer2.xml"/><Relationship Id="rId17" Type="http://schemas.openxmlformats.org/officeDocument/2006/relationships/hyperlink" Target="http://www.nevo.co.il/law/71764/9" TargetMode="External"/><Relationship Id="rId33" Type="http://schemas.openxmlformats.org/officeDocument/2006/relationships/hyperlink" Target="http://www.nevo.co.il/law/71764/4.c" TargetMode="External"/><Relationship Id="rId38" Type="http://schemas.openxmlformats.org/officeDocument/2006/relationships/hyperlink" Target="http://www.nevo.co.il/law/71764" TargetMode="External"/><Relationship Id="rId59" Type="http://schemas.openxmlformats.org/officeDocument/2006/relationships/hyperlink" Target="http://www.nevo.co.il/law/71764/3" TargetMode="External"/><Relationship Id="rId103" Type="http://schemas.openxmlformats.org/officeDocument/2006/relationships/hyperlink" Target="http://www.nevo.co.il/law/71764/4" TargetMode="External"/><Relationship Id="rId108" Type="http://schemas.openxmlformats.org/officeDocument/2006/relationships/hyperlink" Target="http://www.nevo.co.il/law/71764/3" TargetMode="External"/><Relationship Id="rId124" Type="http://schemas.openxmlformats.org/officeDocument/2006/relationships/hyperlink" Target="http://www.nevo.co.il/law/71764" TargetMode="External"/><Relationship Id="rId129" Type="http://schemas.openxmlformats.org/officeDocument/2006/relationships/hyperlink" Target="http://www.nevo.co.il/advertisements/nevo-100.doc" TargetMode="External"/><Relationship Id="rId54" Type="http://schemas.openxmlformats.org/officeDocument/2006/relationships/hyperlink" Target="http://www.nevo.co.il/law/71764/3" TargetMode="External"/><Relationship Id="rId70" Type="http://schemas.openxmlformats.org/officeDocument/2006/relationships/hyperlink" Target="http://www.nevo.co.il/law/71764/2" TargetMode="External"/><Relationship Id="rId75" Type="http://schemas.openxmlformats.org/officeDocument/2006/relationships/hyperlink" Target="http://www.nevo.co.il/case/17911136" TargetMode="External"/><Relationship Id="rId91" Type="http://schemas.openxmlformats.org/officeDocument/2006/relationships/hyperlink" Target="http://www.nevo.co.il/case/17912109" TargetMode="External"/><Relationship Id="rId96" Type="http://schemas.openxmlformats.org/officeDocument/2006/relationships/hyperlink" Target="http://www.nevo.co.il/law/71764"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nevo.co.il/law/71764/3" TargetMode="External"/><Relationship Id="rId28" Type="http://schemas.openxmlformats.org/officeDocument/2006/relationships/hyperlink" Target="http://www.nevo.co.il/law/71764" TargetMode="External"/><Relationship Id="rId49" Type="http://schemas.openxmlformats.org/officeDocument/2006/relationships/hyperlink" Target="http://www.nevo.co.il/law/5015" TargetMode="External"/><Relationship Id="rId114" Type="http://schemas.openxmlformats.org/officeDocument/2006/relationships/hyperlink" Target="http://www.nevo.co.il/law/71764/3" TargetMode="External"/><Relationship Id="rId119" Type="http://schemas.openxmlformats.org/officeDocument/2006/relationships/hyperlink" Target="http://www.nevo.co.il/law/71764/3" TargetMode="External"/><Relationship Id="rId44" Type="http://schemas.openxmlformats.org/officeDocument/2006/relationships/hyperlink" Target="http://www.nevo.co.il/law/71764" TargetMode="External"/><Relationship Id="rId60" Type="http://schemas.openxmlformats.org/officeDocument/2006/relationships/hyperlink" Target="http://www.nevo.co.il/law/71764/3" TargetMode="External"/><Relationship Id="rId65" Type="http://schemas.openxmlformats.org/officeDocument/2006/relationships/hyperlink" Target="http://www.nevo.co.il/law/71764/3" TargetMode="External"/><Relationship Id="rId81" Type="http://schemas.openxmlformats.org/officeDocument/2006/relationships/hyperlink" Target="http://www.nevo.co.il/law/71764/3" TargetMode="External"/><Relationship Id="rId86" Type="http://schemas.openxmlformats.org/officeDocument/2006/relationships/hyperlink" Target="http://www.nevo.co.il/case/17911136" TargetMode="External"/><Relationship Id="rId130" Type="http://schemas.openxmlformats.org/officeDocument/2006/relationships/fontTable" Target="fontTable.xml"/><Relationship Id="rId13" Type="http://schemas.openxmlformats.org/officeDocument/2006/relationships/hyperlink" Target="http://www.nevo.co.il/law/71764" TargetMode="External"/><Relationship Id="rId18" Type="http://schemas.openxmlformats.org/officeDocument/2006/relationships/hyperlink" Target="http://www.nevo.co.il/law/71764/3" TargetMode="External"/><Relationship Id="rId39" Type="http://schemas.openxmlformats.org/officeDocument/2006/relationships/hyperlink" Target="http://www.nevo.co.il/law/71764" TargetMode="External"/><Relationship Id="rId109" Type="http://schemas.openxmlformats.org/officeDocument/2006/relationships/hyperlink" Target="http://www.nevo.co.il/law/71764/3" TargetMode="External"/><Relationship Id="rId34" Type="http://schemas.openxmlformats.org/officeDocument/2006/relationships/hyperlink" Target="http://www.nevo.co.il/case/17911136" TargetMode="External"/><Relationship Id="rId50" Type="http://schemas.openxmlformats.org/officeDocument/2006/relationships/hyperlink" Target="http://www.nevo.co.il/law/71764" TargetMode="External"/><Relationship Id="rId55" Type="http://schemas.openxmlformats.org/officeDocument/2006/relationships/hyperlink" Target="http://www.nevo.co.il/law/71764/3" TargetMode="External"/><Relationship Id="rId76" Type="http://schemas.openxmlformats.org/officeDocument/2006/relationships/hyperlink" Target="http://www.nevo.co.il/law/71764/3" TargetMode="External"/><Relationship Id="rId97" Type="http://schemas.openxmlformats.org/officeDocument/2006/relationships/hyperlink" Target="http://www.nevo.co.il/law/71764/3" TargetMode="External"/><Relationship Id="rId104" Type="http://schemas.openxmlformats.org/officeDocument/2006/relationships/hyperlink" Target="http://www.nevo.co.il/law/71764/4.a" TargetMode="External"/><Relationship Id="rId120" Type="http://schemas.openxmlformats.org/officeDocument/2006/relationships/hyperlink" Target="http://www.nevo.co.il/law/71764/2" TargetMode="External"/><Relationship Id="rId125" Type="http://schemas.openxmlformats.org/officeDocument/2006/relationships/hyperlink" Target="http://www.nevo.co.il/law/71764/3" TargetMode="External"/><Relationship Id="rId7" Type="http://schemas.openxmlformats.org/officeDocument/2006/relationships/hyperlink" Target="http://www.nevo.co.il/case/17926787" TargetMode="External"/><Relationship Id="rId71" Type="http://schemas.openxmlformats.org/officeDocument/2006/relationships/hyperlink" Target="http://www.nevo.co.il/law/71764/3" TargetMode="External"/><Relationship Id="rId92" Type="http://schemas.openxmlformats.org/officeDocument/2006/relationships/hyperlink" Target="http://www.nevo.co.il/law/71764/3" TargetMode="External"/><Relationship Id="rId2" Type="http://schemas.openxmlformats.org/officeDocument/2006/relationships/styles" Target="styles.xml"/><Relationship Id="rId29" Type="http://schemas.openxmlformats.org/officeDocument/2006/relationships/hyperlink" Target="http://www.nevo.co.il/law/71764/9" TargetMode="External"/><Relationship Id="rId24" Type="http://schemas.openxmlformats.org/officeDocument/2006/relationships/hyperlink" Target="http://www.nevo.co.il/law/71764/3" TargetMode="External"/><Relationship Id="rId40" Type="http://schemas.openxmlformats.org/officeDocument/2006/relationships/hyperlink" Target="http://www.nevo.co.il/law/71764" TargetMode="External"/><Relationship Id="rId45" Type="http://schemas.openxmlformats.org/officeDocument/2006/relationships/hyperlink" Target="http://www.nevo.co.il/law/71764" TargetMode="External"/><Relationship Id="rId66" Type="http://schemas.openxmlformats.org/officeDocument/2006/relationships/hyperlink" Target="http://www.nevo.co.il/law/4666/1" TargetMode="External"/><Relationship Id="rId87" Type="http://schemas.openxmlformats.org/officeDocument/2006/relationships/hyperlink" Target="http://www.nevo.co.il/law/71764/3" TargetMode="External"/><Relationship Id="rId110" Type="http://schemas.openxmlformats.org/officeDocument/2006/relationships/hyperlink" Target="http://www.nevo.co.il/law/71764/2" TargetMode="External"/><Relationship Id="rId115" Type="http://schemas.openxmlformats.org/officeDocument/2006/relationships/hyperlink" Target="http://www.nevo.co.il/law/73015/63" TargetMode="External"/><Relationship Id="rId131" Type="http://schemas.openxmlformats.org/officeDocument/2006/relationships/theme" Target="theme/theme1.xml"/><Relationship Id="rId61" Type="http://schemas.openxmlformats.org/officeDocument/2006/relationships/hyperlink" Target="http://www.nevo.co.il/law/71764/3" TargetMode="External"/><Relationship Id="rId82" Type="http://schemas.openxmlformats.org/officeDocument/2006/relationships/hyperlink" Target="http://www.nevo.co.il/law/71764/2" TargetMode="External"/><Relationship Id="rId19" Type="http://schemas.openxmlformats.org/officeDocument/2006/relationships/hyperlink" Target="http://www.nevo.co.il/law/71764/4.a" TargetMode="External"/><Relationship Id="rId14" Type="http://schemas.openxmlformats.org/officeDocument/2006/relationships/hyperlink" Target="http://www.nevo.co.il/law/71764/2" TargetMode="External"/><Relationship Id="rId30" Type="http://schemas.openxmlformats.org/officeDocument/2006/relationships/hyperlink" Target="http://www.nevo.co.il/law/5015" TargetMode="External"/><Relationship Id="rId35" Type="http://schemas.openxmlformats.org/officeDocument/2006/relationships/hyperlink" Target="http://www.nevo.co.il/law/71764" TargetMode="External"/><Relationship Id="rId56" Type="http://schemas.openxmlformats.org/officeDocument/2006/relationships/hyperlink" Target="http://www.nevo.co.il/law/71764" TargetMode="External"/><Relationship Id="rId77" Type="http://schemas.openxmlformats.org/officeDocument/2006/relationships/hyperlink" Target="http://www.nevo.co.il/law/71764/2" TargetMode="External"/><Relationship Id="rId100" Type="http://schemas.openxmlformats.org/officeDocument/2006/relationships/hyperlink" Target="http://www.nevo.co.il/law/71764/3" TargetMode="External"/><Relationship Id="rId105" Type="http://schemas.openxmlformats.org/officeDocument/2006/relationships/hyperlink" Target="http://www.nevo.co.il/law/71764/2" TargetMode="External"/><Relationship Id="rId126" Type="http://schemas.openxmlformats.org/officeDocument/2006/relationships/hyperlink" Target="http://www.nevo.co.il/law/71764/4" TargetMode="External"/><Relationship Id="rId8" Type="http://schemas.openxmlformats.org/officeDocument/2006/relationships/hyperlink" Target="http://www.nevo.co.il/links/psika/?link=&#1492;&#1502;%20870/77" TargetMode="External"/><Relationship Id="rId51" Type="http://schemas.openxmlformats.org/officeDocument/2006/relationships/hyperlink" Target="http://www.nevo.co.il/law/71764/10" TargetMode="External"/><Relationship Id="rId72" Type="http://schemas.openxmlformats.org/officeDocument/2006/relationships/hyperlink" Target="http://www.nevo.co.il/law/71764/3" TargetMode="External"/><Relationship Id="rId93" Type="http://schemas.openxmlformats.org/officeDocument/2006/relationships/hyperlink" Target="http://www.nevo.co.il/law/71764" TargetMode="External"/><Relationship Id="rId98" Type="http://schemas.openxmlformats.org/officeDocument/2006/relationships/hyperlink" Target="http://www.nevo.co.il/law/71764" TargetMode="External"/><Relationship Id="rId121" Type="http://schemas.openxmlformats.org/officeDocument/2006/relationships/hyperlink" Target="http://www.nevo.co.il/law/71764/2" TargetMode="External"/><Relationship Id="rId3" Type="http://schemas.openxmlformats.org/officeDocument/2006/relationships/settings" Target="settings.xml"/><Relationship Id="rId25" Type="http://schemas.openxmlformats.org/officeDocument/2006/relationships/hyperlink" Target="http://www.nevo.co.il/law/71764" TargetMode="External"/><Relationship Id="rId46" Type="http://schemas.openxmlformats.org/officeDocument/2006/relationships/hyperlink" Target="http://www.nevo.co.il/law/71764/2.a" TargetMode="External"/><Relationship Id="rId67" Type="http://schemas.openxmlformats.org/officeDocument/2006/relationships/hyperlink" Target="http://www.nevo.co.il/law/71764/3" TargetMode="External"/><Relationship Id="rId116" Type="http://schemas.openxmlformats.org/officeDocument/2006/relationships/hyperlink" Target="http://www.nevo.co.il/law/73015" TargetMode="External"/><Relationship Id="rId20" Type="http://schemas.openxmlformats.org/officeDocument/2006/relationships/hyperlink" Target="http://www.nevo.co.il/law/71764/2" TargetMode="External"/><Relationship Id="rId41" Type="http://schemas.openxmlformats.org/officeDocument/2006/relationships/hyperlink" Target="http://www.nevo.co.il/law/71764/3" TargetMode="External"/><Relationship Id="rId62" Type="http://schemas.openxmlformats.org/officeDocument/2006/relationships/hyperlink" Target="http://www.nevo.co.il/law/71764/3" TargetMode="External"/><Relationship Id="rId83" Type="http://schemas.openxmlformats.org/officeDocument/2006/relationships/hyperlink" Target="http://www.nevo.co.il/law/71764/4" TargetMode="External"/><Relationship Id="rId88" Type="http://schemas.openxmlformats.org/officeDocument/2006/relationships/hyperlink" Target="http://www.nevo.co.il/law/71764" TargetMode="External"/><Relationship Id="rId111" Type="http://schemas.openxmlformats.org/officeDocument/2006/relationships/hyperlink" Target="http://www.nevo.co.il/law/71764/4.a" TargetMode="External"/><Relationship Id="rId15" Type="http://schemas.openxmlformats.org/officeDocument/2006/relationships/hyperlink" Target="http://www.nevo.co.il/law/71764/4.a" TargetMode="External"/><Relationship Id="rId36" Type="http://schemas.openxmlformats.org/officeDocument/2006/relationships/hyperlink" Target="http://www.nevo.co.il/law/71764" TargetMode="External"/><Relationship Id="rId57" Type="http://schemas.openxmlformats.org/officeDocument/2006/relationships/hyperlink" Target="http://www.nevo.co.il/law/71764/3" TargetMode="External"/><Relationship Id="rId106" Type="http://schemas.openxmlformats.org/officeDocument/2006/relationships/hyperlink" Target="http://www.nevo.co.il/law/71764/4.b" TargetMode="External"/><Relationship Id="rId127" Type="http://schemas.openxmlformats.org/officeDocument/2006/relationships/hyperlink" Target="http://www.nevo.co.il/law/71764/3" TargetMode="External"/><Relationship Id="rId10" Type="http://schemas.openxmlformats.org/officeDocument/2006/relationships/header" Target="header2.xml"/><Relationship Id="rId31" Type="http://schemas.openxmlformats.org/officeDocument/2006/relationships/hyperlink" Target="http://www.nevo.co.il/law/71764/9" TargetMode="External"/><Relationship Id="rId52" Type="http://schemas.openxmlformats.org/officeDocument/2006/relationships/hyperlink" Target="http://www.nevo.co.il/law/71764/2" TargetMode="External"/><Relationship Id="rId73" Type="http://schemas.openxmlformats.org/officeDocument/2006/relationships/hyperlink" Target="http://www.nevo.co.il/law/71764/3" TargetMode="External"/><Relationship Id="rId78" Type="http://schemas.openxmlformats.org/officeDocument/2006/relationships/hyperlink" Target="http://www.nevo.co.il/law/71764/3" TargetMode="External"/><Relationship Id="rId94" Type="http://schemas.openxmlformats.org/officeDocument/2006/relationships/hyperlink" Target="http://www.nevo.co.il/law/71764" TargetMode="External"/><Relationship Id="rId99" Type="http://schemas.openxmlformats.org/officeDocument/2006/relationships/hyperlink" Target="http://www.nevo.co.il/law/71764/2" TargetMode="External"/><Relationship Id="rId101" Type="http://schemas.openxmlformats.org/officeDocument/2006/relationships/hyperlink" Target="http://www.nevo.co.il/law/71764/2" TargetMode="External"/><Relationship Id="rId122" Type="http://schemas.openxmlformats.org/officeDocument/2006/relationships/hyperlink" Target="http://www.nevo.co.il/law/71764/4.a" TargetMode="External"/><Relationship Id="rId4" Type="http://schemas.openxmlformats.org/officeDocument/2006/relationships/webSettings" Target="webSettings.xml"/><Relationship Id="rId9" Type="http://schemas.openxmlformats.org/officeDocument/2006/relationships/header" Target="header1.xml"/><Relationship Id="rId26" Type="http://schemas.openxmlformats.org/officeDocument/2006/relationships/hyperlink" Target="http://www.nevo.co.il/law/7176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12088</Words>
  <Characters>60442</Characters>
  <Application>Microsoft Office Word</Application>
  <DocSecurity>0</DocSecurity>
  <Lines>503</Lines>
  <Paragraphs>144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nevo.co.il</vt:lpstr>
      <vt:lpstr>nevo.co.il</vt:lpstr>
    </vt:vector>
  </TitlesOfParts>
  <Company> </Company>
  <LinksUpToDate>false</LinksUpToDate>
  <CharactersWithSpaces>72386</CharactersWithSpaces>
  <SharedDoc>false</SharedDoc>
  <HLinks>
    <vt:vector size="714" baseType="variant">
      <vt:variant>
        <vt:i4>393283</vt:i4>
      </vt:variant>
      <vt:variant>
        <vt:i4>354</vt:i4>
      </vt:variant>
      <vt:variant>
        <vt:i4>0</vt:i4>
      </vt:variant>
      <vt:variant>
        <vt:i4>5</vt:i4>
      </vt:variant>
      <vt:variant>
        <vt:lpwstr>http://www.nevo.co.il/advertisements/nevo-100.doc</vt:lpwstr>
      </vt:variant>
      <vt:variant>
        <vt:lpwstr/>
      </vt:variant>
      <vt:variant>
        <vt:i4>3801203</vt:i4>
      </vt:variant>
      <vt:variant>
        <vt:i4>351</vt:i4>
      </vt:variant>
      <vt:variant>
        <vt:i4>0</vt:i4>
      </vt:variant>
      <vt:variant>
        <vt:i4>5</vt:i4>
      </vt:variant>
      <vt:variant>
        <vt:lpwstr>http://www.nevo.co.il/case/17911136</vt:lpwstr>
      </vt:variant>
      <vt:variant>
        <vt:lpwstr/>
      </vt:variant>
      <vt:variant>
        <vt:i4>5374036</vt:i4>
      </vt:variant>
      <vt:variant>
        <vt:i4>348</vt:i4>
      </vt:variant>
      <vt:variant>
        <vt:i4>0</vt:i4>
      </vt:variant>
      <vt:variant>
        <vt:i4>5</vt:i4>
      </vt:variant>
      <vt:variant>
        <vt:lpwstr>http://www.nevo.co.il/law/71764/3</vt:lpwstr>
      </vt:variant>
      <vt:variant>
        <vt:lpwstr/>
      </vt:variant>
      <vt:variant>
        <vt:i4>5374036</vt:i4>
      </vt:variant>
      <vt:variant>
        <vt:i4>345</vt:i4>
      </vt:variant>
      <vt:variant>
        <vt:i4>0</vt:i4>
      </vt:variant>
      <vt:variant>
        <vt:i4>5</vt:i4>
      </vt:variant>
      <vt:variant>
        <vt:lpwstr>http://www.nevo.co.il/law/71764/4</vt:lpwstr>
      </vt:variant>
      <vt:variant>
        <vt:lpwstr/>
      </vt:variant>
      <vt:variant>
        <vt:i4>5374036</vt:i4>
      </vt:variant>
      <vt:variant>
        <vt:i4>342</vt:i4>
      </vt:variant>
      <vt:variant>
        <vt:i4>0</vt:i4>
      </vt:variant>
      <vt:variant>
        <vt:i4>5</vt:i4>
      </vt:variant>
      <vt:variant>
        <vt:lpwstr>http://www.nevo.co.il/law/71764/3</vt:lpwstr>
      </vt:variant>
      <vt:variant>
        <vt:lpwstr/>
      </vt:variant>
      <vt:variant>
        <vt:i4>8192096</vt:i4>
      </vt:variant>
      <vt:variant>
        <vt:i4>339</vt:i4>
      </vt:variant>
      <vt:variant>
        <vt:i4>0</vt:i4>
      </vt:variant>
      <vt:variant>
        <vt:i4>5</vt:i4>
      </vt:variant>
      <vt:variant>
        <vt:lpwstr>http://www.nevo.co.il/law/71764</vt:lpwstr>
      </vt:variant>
      <vt:variant>
        <vt:lpwstr/>
      </vt:variant>
      <vt:variant>
        <vt:i4>5374036</vt:i4>
      </vt:variant>
      <vt:variant>
        <vt:i4>336</vt:i4>
      </vt:variant>
      <vt:variant>
        <vt:i4>0</vt:i4>
      </vt:variant>
      <vt:variant>
        <vt:i4>5</vt:i4>
      </vt:variant>
      <vt:variant>
        <vt:lpwstr>http://www.nevo.co.il/law/71764/3</vt:lpwstr>
      </vt:variant>
      <vt:variant>
        <vt:lpwstr/>
      </vt:variant>
      <vt:variant>
        <vt:i4>8126560</vt:i4>
      </vt:variant>
      <vt:variant>
        <vt:i4>333</vt:i4>
      </vt:variant>
      <vt:variant>
        <vt:i4>0</vt:i4>
      </vt:variant>
      <vt:variant>
        <vt:i4>5</vt:i4>
      </vt:variant>
      <vt:variant>
        <vt:lpwstr>http://www.nevo.co.il/law/71764/4.a</vt:lpwstr>
      </vt:variant>
      <vt:variant>
        <vt:lpwstr/>
      </vt:variant>
      <vt:variant>
        <vt:i4>5374036</vt:i4>
      </vt:variant>
      <vt:variant>
        <vt:i4>330</vt:i4>
      </vt:variant>
      <vt:variant>
        <vt:i4>0</vt:i4>
      </vt:variant>
      <vt:variant>
        <vt:i4>5</vt:i4>
      </vt:variant>
      <vt:variant>
        <vt:lpwstr>http://www.nevo.co.il/law/71764/2</vt:lpwstr>
      </vt:variant>
      <vt:variant>
        <vt:lpwstr/>
      </vt:variant>
      <vt:variant>
        <vt:i4>5374036</vt:i4>
      </vt:variant>
      <vt:variant>
        <vt:i4>327</vt:i4>
      </vt:variant>
      <vt:variant>
        <vt:i4>0</vt:i4>
      </vt:variant>
      <vt:variant>
        <vt:i4>5</vt:i4>
      </vt:variant>
      <vt:variant>
        <vt:lpwstr>http://www.nevo.co.il/law/71764/2</vt:lpwstr>
      </vt:variant>
      <vt:variant>
        <vt:lpwstr/>
      </vt:variant>
      <vt:variant>
        <vt:i4>5374036</vt:i4>
      </vt:variant>
      <vt:variant>
        <vt:i4>324</vt:i4>
      </vt:variant>
      <vt:variant>
        <vt:i4>0</vt:i4>
      </vt:variant>
      <vt:variant>
        <vt:i4>5</vt:i4>
      </vt:variant>
      <vt:variant>
        <vt:lpwstr>http://www.nevo.co.il/law/71764/3</vt:lpwstr>
      </vt:variant>
      <vt:variant>
        <vt:lpwstr/>
      </vt:variant>
      <vt:variant>
        <vt:i4>8192096</vt:i4>
      </vt:variant>
      <vt:variant>
        <vt:i4>321</vt:i4>
      </vt:variant>
      <vt:variant>
        <vt:i4>0</vt:i4>
      </vt:variant>
      <vt:variant>
        <vt:i4>5</vt:i4>
      </vt:variant>
      <vt:variant>
        <vt:lpwstr>http://www.nevo.co.il/law/71764</vt:lpwstr>
      </vt:variant>
      <vt:variant>
        <vt:lpwstr/>
      </vt:variant>
      <vt:variant>
        <vt:i4>5374036</vt:i4>
      </vt:variant>
      <vt:variant>
        <vt:i4>318</vt:i4>
      </vt:variant>
      <vt:variant>
        <vt:i4>0</vt:i4>
      </vt:variant>
      <vt:variant>
        <vt:i4>5</vt:i4>
      </vt:variant>
      <vt:variant>
        <vt:lpwstr>http://www.nevo.co.il/law/71764/3</vt:lpwstr>
      </vt:variant>
      <vt:variant>
        <vt:lpwstr/>
      </vt:variant>
      <vt:variant>
        <vt:i4>7864423</vt:i4>
      </vt:variant>
      <vt:variant>
        <vt:i4>315</vt:i4>
      </vt:variant>
      <vt:variant>
        <vt:i4>0</vt:i4>
      </vt:variant>
      <vt:variant>
        <vt:i4>5</vt:i4>
      </vt:variant>
      <vt:variant>
        <vt:lpwstr>http://www.nevo.co.il/law/73015</vt:lpwstr>
      </vt:variant>
      <vt:variant>
        <vt:lpwstr/>
      </vt:variant>
      <vt:variant>
        <vt:i4>6553700</vt:i4>
      </vt:variant>
      <vt:variant>
        <vt:i4>312</vt:i4>
      </vt:variant>
      <vt:variant>
        <vt:i4>0</vt:i4>
      </vt:variant>
      <vt:variant>
        <vt:i4>5</vt:i4>
      </vt:variant>
      <vt:variant>
        <vt:lpwstr>http://www.nevo.co.il/law/73015/63</vt:lpwstr>
      </vt:variant>
      <vt:variant>
        <vt:lpwstr/>
      </vt:variant>
      <vt:variant>
        <vt:i4>5374036</vt:i4>
      </vt:variant>
      <vt:variant>
        <vt:i4>309</vt:i4>
      </vt:variant>
      <vt:variant>
        <vt:i4>0</vt:i4>
      </vt:variant>
      <vt:variant>
        <vt:i4>5</vt:i4>
      </vt:variant>
      <vt:variant>
        <vt:lpwstr>http://www.nevo.co.il/law/71764/3</vt:lpwstr>
      </vt:variant>
      <vt:variant>
        <vt:lpwstr/>
      </vt:variant>
      <vt:variant>
        <vt:i4>5374036</vt:i4>
      </vt:variant>
      <vt:variant>
        <vt:i4>306</vt:i4>
      </vt:variant>
      <vt:variant>
        <vt:i4>0</vt:i4>
      </vt:variant>
      <vt:variant>
        <vt:i4>5</vt:i4>
      </vt:variant>
      <vt:variant>
        <vt:lpwstr>http://www.nevo.co.il/law/71764/3</vt:lpwstr>
      </vt:variant>
      <vt:variant>
        <vt:lpwstr/>
      </vt:variant>
      <vt:variant>
        <vt:i4>5374036</vt:i4>
      </vt:variant>
      <vt:variant>
        <vt:i4>303</vt:i4>
      </vt:variant>
      <vt:variant>
        <vt:i4>0</vt:i4>
      </vt:variant>
      <vt:variant>
        <vt:i4>5</vt:i4>
      </vt:variant>
      <vt:variant>
        <vt:lpwstr>http://www.nevo.co.il/law/71764/3</vt:lpwstr>
      </vt:variant>
      <vt:variant>
        <vt:lpwstr/>
      </vt:variant>
      <vt:variant>
        <vt:i4>8126560</vt:i4>
      </vt:variant>
      <vt:variant>
        <vt:i4>300</vt:i4>
      </vt:variant>
      <vt:variant>
        <vt:i4>0</vt:i4>
      </vt:variant>
      <vt:variant>
        <vt:i4>5</vt:i4>
      </vt:variant>
      <vt:variant>
        <vt:lpwstr>http://www.nevo.co.il/law/71764/4.a</vt:lpwstr>
      </vt:variant>
      <vt:variant>
        <vt:lpwstr/>
      </vt:variant>
      <vt:variant>
        <vt:i4>5374036</vt:i4>
      </vt:variant>
      <vt:variant>
        <vt:i4>297</vt:i4>
      </vt:variant>
      <vt:variant>
        <vt:i4>0</vt:i4>
      </vt:variant>
      <vt:variant>
        <vt:i4>5</vt:i4>
      </vt:variant>
      <vt:variant>
        <vt:lpwstr>http://www.nevo.co.il/law/71764/2</vt:lpwstr>
      </vt:variant>
      <vt:variant>
        <vt:lpwstr/>
      </vt:variant>
      <vt:variant>
        <vt:i4>5374036</vt:i4>
      </vt:variant>
      <vt:variant>
        <vt:i4>294</vt:i4>
      </vt:variant>
      <vt:variant>
        <vt:i4>0</vt:i4>
      </vt:variant>
      <vt:variant>
        <vt:i4>5</vt:i4>
      </vt:variant>
      <vt:variant>
        <vt:lpwstr>http://www.nevo.co.il/law/71764/3</vt:lpwstr>
      </vt:variant>
      <vt:variant>
        <vt:lpwstr/>
      </vt:variant>
      <vt:variant>
        <vt:i4>5374036</vt:i4>
      </vt:variant>
      <vt:variant>
        <vt:i4>291</vt:i4>
      </vt:variant>
      <vt:variant>
        <vt:i4>0</vt:i4>
      </vt:variant>
      <vt:variant>
        <vt:i4>5</vt:i4>
      </vt:variant>
      <vt:variant>
        <vt:lpwstr>http://www.nevo.co.il/law/71764/3</vt:lpwstr>
      </vt:variant>
      <vt:variant>
        <vt:lpwstr/>
      </vt:variant>
      <vt:variant>
        <vt:i4>5374036</vt:i4>
      </vt:variant>
      <vt:variant>
        <vt:i4>288</vt:i4>
      </vt:variant>
      <vt:variant>
        <vt:i4>0</vt:i4>
      </vt:variant>
      <vt:variant>
        <vt:i4>5</vt:i4>
      </vt:variant>
      <vt:variant>
        <vt:lpwstr>http://www.nevo.co.il/law/71764/2</vt:lpwstr>
      </vt:variant>
      <vt:variant>
        <vt:lpwstr/>
      </vt:variant>
      <vt:variant>
        <vt:i4>8126560</vt:i4>
      </vt:variant>
      <vt:variant>
        <vt:i4>285</vt:i4>
      </vt:variant>
      <vt:variant>
        <vt:i4>0</vt:i4>
      </vt:variant>
      <vt:variant>
        <vt:i4>5</vt:i4>
      </vt:variant>
      <vt:variant>
        <vt:lpwstr>http://www.nevo.co.il/law/71764/4.b</vt:lpwstr>
      </vt:variant>
      <vt:variant>
        <vt:lpwstr/>
      </vt:variant>
      <vt:variant>
        <vt:i4>5374036</vt:i4>
      </vt:variant>
      <vt:variant>
        <vt:i4>282</vt:i4>
      </vt:variant>
      <vt:variant>
        <vt:i4>0</vt:i4>
      </vt:variant>
      <vt:variant>
        <vt:i4>5</vt:i4>
      </vt:variant>
      <vt:variant>
        <vt:lpwstr>http://www.nevo.co.il/law/71764/2</vt:lpwstr>
      </vt:variant>
      <vt:variant>
        <vt:lpwstr/>
      </vt:variant>
      <vt:variant>
        <vt:i4>8126560</vt:i4>
      </vt:variant>
      <vt:variant>
        <vt:i4>279</vt:i4>
      </vt:variant>
      <vt:variant>
        <vt:i4>0</vt:i4>
      </vt:variant>
      <vt:variant>
        <vt:i4>5</vt:i4>
      </vt:variant>
      <vt:variant>
        <vt:lpwstr>http://www.nevo.co.il/law/71764/4.a</vt:lpwstr>
      </vt:variant>
      <vt:variant>
        <vt:lpwstr/>
      </vt:variant>
      <vt:variant>
        <vt:i4>5374036</vt:i4>
      </vt:variant>
      <vt:variant>
        <vt:i4>276</vt:i4>
      </vt:variant>
      <vt:variant>
        <vt:i4>0</vt:i4>
      </vt:variant>
      <vt:variant>
        <vt:i4>5</vt:i4>
      </vt:variant>
      <vt:variant>
        <vt:lpwstr>http://www.nevo.co.il/law/71764/4</vt:lpwstr>
      </vt:variant>
      <vt:variant>
        <vt:lpwstr/>
      </vt:variant>
      <vt:variant>
        <vt:i4>5374036</vt:i4>
      </vt:variant>
      <vt:variant>
        <vt:i4>273</vt:i4>
      </vt:variant>
      <vt:variant>
        <vt:i4>0</vt:i4>
      </vt:variant>
      <vt:variant>
        <vt:i4>5</vt:i4>
      </vt:variant>
      <vt:variant>
        <vt:lpwstr>http://www.nevo.co.il/law/71764/3</vt:lpwstr>
      </vt:variant>
      <vt:variant>
        <vt:lpwstr/>
      </vt:variant>
      <vt:variant>
        <vt:i4>5374036</vt:i4>
      </vt:variant>
      <vt:variant>
        <vt:i4>270</vt:i4>
      </vt:variant>
      <vt:variant>
        <vt:i4>0</vt:i4>
      </vt:variant>
      <vt:variant>
        <vt:i4>5</vt:i4>
      </vt:variant>
      <vt:variant>
        <vt:lpwstr>http://www.nevo.co.il/law/71764/2</vt:lpwstr>
      </vt:variant>
      <vt:variant>
        <vt:lpwstr/>
      </vt:variant>
      <vt:variant>
        <vt:i4>5374036</vt:i4>
      </vt:variant>
      <vt:variant>
        <vt:i4>267</vt:i4>
      </vt:variant>
      <vt:variant>
        <vt:i4>0</vt:i4>
      </vt:variant>
      <vt:variant>
        <vt:i4>5</vt:i4>
      </vt:variant>
      <vt:variant>
        <vt:lpwstr>http://www.nevo.co.il/law/71764/3</vt:lpwstr>
      </vt:variant>
      <vt:variant>
        <vt:lpwstr/>
      </vt:variant>
      <vt:variant>
        <vt:i4>5374036</vt:i4>
      </vt:variant>
      <vt:variant>
        <vt:i4>264</vt:i4>
      </vt:variant>
      <vt:variant>
        <vt:i4>0</vt:i4>
      </vt:variant>
      <vt:variant>
        <vt:i4>5</vt:i4>
      </vt:variant>
      <vt:variant>
        <vt:lpwstr>http://www.nevo.co.il/law/71764/2</vt:lpwstr>
      </vt:variant>
      <vt:variant>
        <vt:lpwstr/>
      </vt:variant>
      <vt:variant>
        <vt:i4>8192096</vt:i4>
      </vt:variant>
      <vt:variant>
        <vt:i4>261</vt:i4>
      </vt:variant>
      <vt:variant>
        <vt:i4>0</vt:i4>
      </vt:variant>
      <vt:variant>
        <vt:i4>5</vt:i4>
      </vt:variant>
      <vt:variant>
        <vt:lpwstr>http://www.nevo.co.il/law/71764</vt:lpwstr>
      </vt:variant>
      <vt:variant>
        <vt:lpwstr/>
      </vt:variant>
      <vt:variant>
        <vt:i4>5374036</vt:i4>
      </vt:variant>
      <vt:variant>
        <vt:i4>258</vt:i4>
      </vt:variant>
      <vt:variant>
        <vt:i4>0</vt:i4>
      </vt:variant>
      <vt:variant>
        <vt:i4>5</vt:i4>
      </vt:variant>
      <vt:variant>
        <vt:lpwstr>http://www.nevo.co.il/law/71764/3</vt:lpwstr>
      </vt:variant>
      <vt:variant>
        <vt:lpwstr/>
      </vt:variant>
      <vt:variant>
        <vt:i4>8192096</vt:i4>
      </vt:variant>
      <vt:variant>
        <vt:i4>255</vt:i4>
      </vt:variant>
      <vt:variant>
        <vt:i4>0</vt:i4>
      </vt:variant>
      <vt:variant>
        <vt:i4>5</vt:i4>
      </vt:variant>
      <vt:variant>
        <vt:lpwstr>http://www.nevo.co.il/law/71764</vt:lpwstr>
      </vt:variant>
      <vt:variant>
        <vt:lpwstr/>
      </vt:variant>
      <vt:variant>
        <vt:i4>5374036</vt:i4>
      </vt:variant>
      <vt:variant>
        <vt:i4>252</vt:i4>
      </vt:variant>
      <vt:variant>
        <vt:i4>0</vt:i4>
      </vt:variant>
      <vt:variant>
        <vt:i4>5</vt:i4>
      </vt:variant>
      <vt:variant>
        <vt:lpwstr>http://www.nevo.co.il/law/71764/3</vt:lpwstr>
      </vt:variant>
      <vt:variant>
        <vt:lpwstr/>
      </vt:variant>
      <vt:variant>
        <vt:i4>8192096</vt:i4>
      </vt:variant>
      <vt:variant>
        <vt:i4>249</vt:i4>
      </vt:variant>
      <vt:variant>
        <vt:i4>0</vt:i4>
      </vt:variant>
      <vt:variant>
        <vt:i4>5</vt:i4>
      </vt:variant>
      <vt:variant>
        <vt:lpwstr>http://www.nevo.co.il/law/71764</vt:lpwstr>
      </vt:variant>
      <vt:variant>
        <vt:lpwstr/>
      </vt:variant>
      <vt:variant>
        <vt:i4>8192096</vt:i4>
      </vt:variant>
      <vt:variant>
        <vt:i4>246</vt:i4>
      </vt:variant>
      <vt:variant>
        <vt:i4>0</vt:i4>
      </vt:variant>
      <vt:variant>
        <vt:i4>5</vt:i4>
      </vt:variant>
      <vt:variant>
        <vt:lpwstr>http://www.nevo.co.il/law/71764</vt:lpwstr>
      </vt:variant>
      <vt:variant>
        <vt:lpwstr/>
      </vt:variant>
      <vt:variant>
        <vt:i4>5374036</vt:i4>
      </vt:variant>
      <vt:variant>
        <vt:i4>243</vt:i4>
      </vt:variant>
      <vt:variant>
        <vt:i4>0</vt:i4>
      </vt:variant>
      <vt:variant>
        <vt:i4>5</vt:i4>
      </vt:variant>
      <vt:variant>
        <vt:lpwstr>http://www.nevo.co.il/law/71764/3</vt:lpwstr>
      </vt:variant>
      <vt:variant>
        <vt:lpwstr/>
      </vt:variant>
      <vt:variant>
        <vt:i4>3801203</vt:i4>
      </vt:variant>
      <vt:variant>
        <vt:i4>240</vt:i4>
      </vt:variant>
      <vt:variant>
        <vt:i4>0</vt:i4>
      </vt:variant>
      <vt:variant>
        <vt:i4>5</vt:i4>
      </vt:variant>
      <vt:variant>
        <vt:lpwstr>http://www.nevo.co.il/case/17912109</vt:lpwstr>
      </vt:variant>
      <vt:variant>
        <vt:lpwstr/>
      </vt:variant>
      <vt:variant>
        <vt:i4>8192096</vt:i4>
      </vt:variant>
      <vt:variant>
        <vt:i4>237</vt:i4>
      </vt:variant>
      <vt:variant>
        <vt:i4>0</vt:i4>
      </vt:variant>
      <vt:variant>
        <vt:i4>5</vt:i4>
      </vt:variant>
      <vt:variant>
        <vt:lpwstr>http://www.nevo.co.il/law/71764</vt:lpwstr>
      </vt:variant>
      <vt:variant>
        <vt:lpwstr/>
      </vt:variant>
      <vt:variant>
        <vt:i4>5374036</vt:i4>
      </vt:variant>
      <vt:variant>
        <vt:i4>234</vt:i4>
      </vt:variant>
      <vt:variant>
        <vt:i4>0</vt:i4>
      </vt:variant>
      <vt:variant>
        <vt:i4>5</vt:i4>
      </vt:variant>
      <vt:variant>
        <vt:lpwstr>http://www.nevo.co.il/law/71764/3</vt:lpwstr>
      </vt:variant>
      <vt:variant>
        <vt:lpwstr/>
      </vt:variant>
      <vt:variant>
        <vt:i4>8192096</vt:i4>
      </vt:variant>
      <vt:variant>
        <vt:i4>231</vt:i4>
      </vt:variant>
      <vt:variant>
        <vt:i4>0</vt:i4>
      </vt:variant>
      <vt:variant>
        <vt:i4>5</vt:i4>
      </vt:variant>
      <vt:variant>
        <vt:lpwstr>http://www.nevo.co.il/law/71764</vt:lpwstr>
      </vt:variant>
      <vt:variant>
        <vt:lpwstr/>
      </vt:variant>
      <vt:variant>
        <vt:i4>5374036</vt:i4>
      </vt:variant>
      <vt:variant>
        <vt:i4>228</vt:i4>
      </vt:variant>
      <vt:variant>
        <vt:i4>0</vt:i4>
      </vt:variant>
      <vt:variant>
        <vt:i4>5</vt:i4>
      </vt:variant>
      <vt:variant>
        <vt:lpwstr>http://www.nevo.co.il/law/71764/3</vt:lpwstr>
      </vt:variant>
      <vt:variant>
        <vt:lpwstr/>
      </vt:variant>
      <vt:variant>
        <vt:i4>3801203</vt:i4>
      </vt:variant>
      <vt:variant>
        <vt:i4>225</vt:i4>
      </vt:variant>
      <vt:variant>
        <vt:i4>0</vt:i4>
      </vt:variant>
      <vt:variant>
        <vt:i4>5</vt:i4>
      </vt:variant>
      <vt:variant>
        <vt:lpwstr>http://www.nevo.co.il/case/17911136</vt:lpwstr>
      </vt:variant>
      <vt:variant>
        <vt:lpwstr/>
      </vt:variant>
      <vt:variant>
        <vt:i4>5374036</vt:i4>
      </vt:variant>
      <vt:variant>
        <vt:i4>222</vt:i4>
      </vt:variant>
      <vt:variant>
        <vt:i4>0</vt:i4>
      </vt:variant>
      <vt:variant>
        <vt:i4>5</vt:i4>
      </vt:variant>
      <vt:variant>
        <vt:lpwstr>http://www.nevo.co.il/law/71764/3</vt:lpwstr>
      </vt:variant>
      <vt:variant>
        <vt:lpwstr/>
      </vt:variant>
      <vt:variant>
        <vt:i4>5374036</vt:i4>
      </vt:variant>
      <vt:variant>
        <vt:i4>219</vt:i4>
      </vt:variant>
      <vt:variant>
        <vt:i4>0</vt:i4>
      </vt:variant>
      <vt:variant>
        <vt:i4>5</vt:i4>
      </vt:variant>
      <vt:variant>
        <vt:lpwstr>http://www.nevo.co.il/law/71764/3</vt:lpwstr>
      </vt:variant>
      <vt:variant>
        <vt:lpwstr/>
      </vt:variant>
      <vt:variant>
        <vt:i4>5374036</vt:i4>
      </vt:variant>
      <vt:variant>
        <vt:i4>216</vt:i4>
      </vt:variant>
      <vt:variant>
        <vt:i4>0</vt:i4>
      </vt:variant>
      <vt:variant>
        <vt:i4>5</vt:i4>
      </vt:variant>
      <vt:variant>
        <vt:lpwstr>http://www.nevo.co.il/law/71764/4</vt:lpwstr>
      </vt:variant>
      <vt:variant>
        <vt:lpwstr/>
      </vt:variant>
      <vt:variant>
        <vt:i4>5374036</vt:i4>
      </vt:variant>
      <vt:variant>
        <vt:i4>213</vt:i4>
      </vt:variant>
      <vt:variant>
        <vt:i4>0</vt:i4>
      </vt:variant>
      <vt:variant>
        <vt:i4>5</vt:i4>
      </vt:variant>
      <vt:variant>
        <vt:lpwstr>http://www.nevo.co.il/law/71764/2</vt:lpwstr>
      </vt:variant>
      <vt:variant>
        <vt:lpwstr/>
      </vt:variant>
      <vt:variant>
        <vt:i4>5374036</vt:i4>
      </vt:variant>
      <vt:variant>
        <vt:i4>210</vt:i4>
      </vt:variant>
      <vt:variant>
        <vt:i4>0</vt:i4>
      </vt:variant>
      <vt:variant>
        <vt:i4>5</vt:i4>
      </vt:variant>
      <vt:variant>
        <vt:lpwstr>http://www.nevo.co.il/law/71764/3</vt:lpwstr>
      </vt:variant>
      <vt:variant>
        <vt:lpwstr/>
      </vt:variant>
      <vt:variant>
        <vt:i4>5374036</vt:i4>
      </vt:variant>
      <vt:variant>
        <vt:i4>207</vt:i4>
      </vt:variant>
      <vt:variant>
        <vt:i4>0</vt:i4>
      </vt:variant>
      <vt:variant>
        <vt:i4>5</vt:i4>
      </vt:variant>
      <vt:variant>
        <vt:lpwstr>http://www.nevo.co.il/law/71764/3</vt:lpwstr>
      </vt:variant>
      <vt:variant>
        <vt:lpwstr/>
      </vt:variant>
      <vt:variant>
        <vt:i4>8192096</vt:i4>
      </vt:variant>
      <vt:variant>
        <vt:i4>204</vt:i4>
      </vt:variant>
      <vt:variant>
        <vt:i4>0</vt:i4>
      </vt:variant>
      <vt:variant>
        <vt:i4>5</vt:i4>
      </vt:variant>
      <vt:variant>
        <vt:lpwstr>http://www.nevo.co.il/law/71764</vt:lpwstr>
      </vt:variant>
      <vt:variant>
        <vt:lpwstr/>
      </vt:variant>
      <vt:variant>
        <vt:i4>5374036</vt:i4>
      </vt:variant>
      <vt:variant>
        <vt:i4>201</vt:i4>
      </vt:variant>
      <vt:variant>
        <vt:i4>0</vt:i4>
      </vt:variant>
      <vt:variant>
        <vt:i4>5</vt:i4>
      </vt:variant>
      <vt:variant>
        <vt:lpwstr>http://www.nevo.co.il/law/71764/3</vt:lpwstr>
      </vt:variant>
      <vt:variant>
        <vt:lpwstr/>
      </vt:variant>
      <vt:variant>
        <vt:i4>5374036</vt:i4>
      </vt:variant>
      <vt:variant>
        <vt:i4>198</vt:i4>
      </vt:variant>
      <vt:variant>
        <vt:i4>0</vt:i4>
      </vt:variant>
      <vt:variant>
        <vt:i4>5</vt:i4>
      </vt:variant>
      <vt:variant>
        <vt:lpwstr>http://www.nevo.co.il/law/71764/2</vt:lpwstr>
      </vt:variant>
      <vt:variant>
        <vt:lpwstr/>
      </vt:variant>
      <vt:variant>
        <vt:i4>5374036</vt:i4>
      </vt:variant>
      <vt:variant>
        <vt:i4>195</vt:i4>
      </vt:variant>
      <vt:variant>
        <vt:i4>0</vt:i4>
      </vt:variant>
      <vt:variant>
        <vt:i4>5</vt:i4>
      </vt:variant>
      <vt:variant>
        <vt:lpwstr>http://www.nevo.co.il/law/71764/3</vt:lpwstr>
      </vt:variant>
      <vt:variant>
        <vt:lpwstr/>
      </vt:variant>
      <vt:variant>
        <vt:i4>3801203</vt:i4>
      </vt:variant>
      <vt:variant>
        <vt:i4>192</vt:i4>
      </vt:variant>
      <vt:variant>
        <vt:i4>0</vt:i4>
      </vt:variant>
      <vt:variant>
        <vt:i4>5</vt:i4>
      </vt:variant>
      <vt:variant>
        <vt:lpwstr>http://www.nevo.co.il/case/17911136</vt:lpwstr>
      </vt:variant>
      <vt:variant>
        <vt:lpwstr/>
      </vt:variant>
      <vt:variant>
        <vt:i4>5374036</vt:i4>
      </vt:variant>
      <vt:variant>
        <vt:i4>189</vt:i4>
      </vt:variant>
      <vt:variant>
        <vt:i4>0</vt:i4>
      </vt:variant>
      <vt:variant>
        <vt:i4>5</vt:i4>
      </vt:variant>
      <vt:variant>
        <vt:lpwstr>http://www.nevo.co.il/law/71764/3</vt:lpwstr>
      </vt:variant>
      <vt:variant>
        <vt:lpwstr/>
      </vt:variant>
      <vt:variant>
        <vt:i4>5374036</vt:i4>
      </vt:variant>
      <vt:variant>
        <vt:i4>186</vt:i4>
      </vt:variant>
      <vt:variant>
        <vt:i4>0</vt:i4>
      </vt:variant>
      <vt:variant>
        <vt:i4>5</vt:i4>
      </vt:variant>
      <vt:variant>
        <vt:lpwstr>http://www.nevo.co.il/law/71764/3</vt:lpwstr>
      </vt:variant>
      <vt:variant>
        <vt:lpwstr/>
      </vt:variant>
      <vt:variant>
        <vt:i4>5374036</vt:i4>
      </vt:variant>
      <vt:variant>
        <vt:i4>183</vt:i4>
      </vt:variant>
      <vt:variant>
        <vt:i4>0</vt:i4>
      </vt:variant>
      <vt:variant>
        <vt:i4>5</vt:i4>
      </vt:variant>
      <vt:variant>
        <vt:lpwstr>http://www.nevo.co.il/law/71764/3</vt:lpwstr>
      </vt:variant>
      <vt:variant>
        <vt:lpwstr/>
      </vt:variant>
      <vt:variant>
        <vt:i4>5374036</vt:i4>
      </vt:variant>
      <vt:variant>
        <vt:i4>180</vt:i4>
      </vt:variant>
      <vt:variant>
        <vt:i4>0</vt:i4>
      </vt:variant>
      <vt:variant>
        <vt:i4>5</vt:i4>
      </vt:variant>
      <vt:variant>
        <vt:lpwstr>http://www.nevo.co.il/law/71764/3</vt:lpwstr>
      </vt:variant>
      <vt:variant>
        <vt:lpwstr/>
      </vt:variant>
      <vt:variant>
        <vt:i4>5374036</vt:i4>
      </vt:variant>
      <vt:variant>
        <vt:i4>177</vt:i4>
      </vt:variant>
      <vt:variant>
        <vt:i4>0</vt:i4>
      </vt:variant>
      <vt:variant>
        <vt:i4>5</vt:i4>
      </vt:variant>
      <vt:variant>
        <vt:lpwstr>http://www.nevo.co.il/law/71764/2</vt:lpwstr>
      </vt:variant>
      <vt:variant>
        <vt:lpwstr/>
      </vt:variant>
      <vt:variant>
        <vt:i4>6422629</vt:i4>
      </vt:variant>
      <vt:variant>
        <vt:i4>174</vt:i4>
      </vt:variant>
      <vt:variant>
        <vt:i4>0</vt:i4>
      </vt:variant>
      <vt:variant>
        <vt:i4>5</vt:i4>
      </vt:variant>
      <vt:variant>
        <vt:lpwstr>http://www.nevo.co.il/law/71764/10</vt:lpwstr>
      </vt:variant>
      <vt:variant>
        <vt:lpwstr/>
      </vt:variant>
      <vt:variant>
        <vt:i4>6422629</vt:i4>
      </vt:variant>
      <vt:variant>
        <vt:i4>171</vt:i4>
      </vt:variant>
      <vt:variant>
        <vt:i4>0</vt:i4>
      </vt:variant>
      <vt:variant>
        <vt:i4>5</vt:i4>
      </vt:variant>
      <vt:variant>
        <vt:lpwstr>http://www.nevo.co.il/law/71764/10</vt:lpwstr>
      </vt:variant>
      <vt:variant>
        <vt:lpwstr/>
      </vt:variant>
      <vt:variant>
        <vt:i4>5374036</vt:i4>
      </vt:variant>
      <vt:variant>
        <vt:i4>168</vt:i4>
      </vt:variant>
      <vt:variant>
        <vt:i4>0</vt:i4>
      </vt:variant>
      <vt:variant>
        <vt:i4>5</vt:i4>
      </vt:variant>
      <vt:variant>
        <vt:lpwstr>http://www.nevo.co.il/law/71764/3</vt:lpwstr>
      </vt:variant>
      <vt:variant>
        <vt:lpwstr/>
      </vt:variant>
      <vt:variant>
        <vt:i4>4915277</vt:i4>
      </vt:variant>
      <vt:variant>
        <vt:i4>165</vt:i4>
      </vt:variant>
      <vt:variant>
        <vt:i4>0</vt:i4>
      </vt:variant>
      <vt:variant>
        <vt:i4>5</vt:i4>
      </vt:variant>
      <vt:variant>
        <vt:lpwstr>http://www.nevo.co.il/law/4666/1</vt:lpwstr>
      </vt:variant>
      <vt:variant>
        <vt:lpwstr/>
      </vt:variant>
      <vt:variant>
        <vt:i4>5374036</vt:i4>
      </vt:variant>
      <vt:variant>
        <vt:i4>162</vt:i4>
      </vt:variant>
      <vt:variant>
        <vt:i4>0</vt:i4>
      </vt:variant>
      <vt:variant>
        <vt:i4>5</vt:i4>
      </vt:variant>
      <vt:variant>
        <vt:lpwstr>http://www.nevo.co.il/law/71764/3</vt:lpwstr>
      </vt:variant>
      <vt:variant>
        <vt:lpwstr/>
      </vt:variant>
      <vt:variant>
        <vt:i4>5374036</vt:i4>
      </vt:variant>
      <vt:variant>
        <vt:i4>159</vt:i4>
      </vt:variant>
      <vt:variant>
        <vt:i4>0</vt:i4>
      </vt:variant>
      <vt:variant>
        <vt:i4>5</vt:i4>
      </vt:variant>
      <vt:variant>
        <vt:lpwstr>http://www.nevo.co.il/law/71764/2</vt:lpwstr>
      </vt:variant>
      <vt:variant>
        <vt:lpwstr/>
      </vt:variant>
      <vt:variant>
        <vt:i4>5374036</vt:i4>
      </vt:variant>
      <vt:variant>
        <vt:i4>156</vt:i4>
      </vt:variant>
      <vt:variant>
        <vt:i4>0</vt:i4>
      </vt:variant>
      <vt:variant>
        <vt:i4>5</vt:i4>
      </vt:variant>
      <vt:variant>
        <vt:lpwstr>http://www.nevo.co.il/law/71764/2</vt:lpwstr>
      </vt:variant>
      <vt:variant>
        <vt:lpwstr/>
      </vt:variant>
      <vt:variant>
        <vt:i4>5374036</vt:i4>
      </vt:variant>
      <vt:variant>
        <vt:i4>153</vt:i4>
      </vt:variant>
      <vt:variant>
        <vt:i4>0</vt:i4>
      </vt:variant>
      <vt:variant>
        <vt:i4>5</vt:i4>
      </vt:variant>
      <vt:variant>
        <vt:lpwstr>http://www.nevo.co.il/law/71764/3</vt:lpwstr>
      </vt:variant>
      <vt:variant>
        <vt:lpwstr/>
      </vt:variant>
      <vt:variant>
        <vt:i4>5374036</vt:i4>
      </vt:variant>
      <vt:variant>
        <vt:i4>150</vt:i4>
      </vt:variant>
      <vt:variant>
        <vt:i4>0</vt:i4>
      </vt:variant>
      <vt:variant>
        <vt:i4>5</vt:i4>
      </vt:variant>
      <vt:variant>
        <vt:lpwstr>http://www.nevo.co.il/law/71764/3</vt:lpwstr>
      </vt:variant>
      <vt:variant>
        <vt:lpwstr/>
      </vt:variant>
      <vt:variant>
        <vt:i4>5374036</vt:i4>
      </vt:variant>
      <vt:variant>
        <vt:i4>147</vt:i4>
      </vt:variant>
      <vt:variant>
        <vt:i4>0</vt:i4>
      </vt:variant>
      <vt:variant>
        <vt:i4>5</vt:i4>
      </vt:variant>
      <vt:variant>
        <vt:lpwstr>http://www.nevo.co.il/law/71764/3</vt:lpwstr>
      </vt:variant>
      <vt:variant>
        <vt:lpwstr/>
      </vt:variant>
      <vt:variant>
        <vt:i4>5374036</vt:i4>
      </vt:variant>
      <vt:variant>
        <vt:i4>144</vt:i4>
      </vt:variant>
      <vt:variant>
        <vt:i4>0</vt:i4>
      </vt:variant>
      <vt:variant>
        <vt:i4>5</vt:i4>
      </vt:variant>
      <vt:variant>
        <vt:lpwstr>http://www.nevo.co.il/law/71764/3</vt:lpwstr>
      </vt:variant>
      <vt:variant>
        <vt:lpwstr/>
      </vt:variant>
      <vt:variant>
        <vt:i4>8192096</vt:i4>
      </vt:variant>
      <vt:variant>
        <vt:i4>141</vt:i4>
      </vt:variant>
      <vt:variant>
        <vt:i4>0</vt:i4>
      </vt:variant>
      <vt:variant>
        <vt:i4>5</vt:i4>
      </vt:variant>
      <vt:variant>
        <vt:lpwstr>http://www.nevo.co.il/law/71764</vt:lpwstr>
      </vt:variant>
      <vt:variant>
        <vt:lpwstr/>
      </vt:variant>
      <vt:variant>
        <vt:i4>5374036</vt:i4>
      </vt:variant>
      <vt:variant>
        <vt:i4>138</vt:i4>
      </vt:variant>
      <vt:variant>
        <vt:i4>0</vt:i4>
      </vt:variant>
      <vt:variant>
        <vt:i4>5</vt:i4>
      </vt:variant>
      <vt:variant>
        <vt:lpwstr>http://www.nevo.co.il/law/71764/3</vt:lpwstr>
      </vt:variant>
      <vt:variant>
        <vt:lpwstr/>
      </vt:variant>
      <vt:variant>
        <vt:i4>8192096</vt:i4>
      </vt:variant>
      <vt:variant>
        <vt:i4>135</vt:i4>
      </vt:variant>
      <vt:variant>
        <vt:i4>0</vt:i4>
      </vt:variant>
      <vt:variant>
        <vt:i4>5</vt:i4>
      </vt:variant>
      <vt:variant>
        <vt:lpwstr>http://www.nevo.co.il/law/71764</vt:lpwstr>
      </vt:variant>
      <vt:variant>
        <vt:lpwstr/>
      </vt:variant>
      <vt:variant>
        <vt:i4>5374036</vt:i4>
      </vt:variant>
      <vt:variant>
        <vt:i4>132</vt:i4>
      </vt:variant>
      <vt:variant>
        <vt:i4>0</vt:i4>
      </vt:variant>
      <vt:variant>
        <vt:i4>5</vt:i4>
      </vt:variant>
      <vt:variant>
        <vt:lpwstr>http://www.nevo.co.il/law/71764/3</vt:lpwstr>
      </vt:variant>
      <vt:variant>
        <vt:lpwstr/>
      </vt:variant>
      <vt:variant>
        <vt:i4>5374036</vt:i4>
      </vt:variant>
      <vt:variant>
        <vt:i4>129</vt:i4>
      </vt:variant>
      <vt:variant>
        <vt:i4>0</vt:i4>
      </vt:variant>
      <vt:variant>
        <vt:i4>5</vt:i4>
      </vt:variant>
      <vt:variant>
        <vt:lpwstr>http://www.nevo.co.il/law/71764/3</vt:lpwstr>
      </vt:variant>
      <vt:variant>
        <vt:lpwstr/>
      </vt:variant>
      <vt:variant>
        <vt:i4>8126560</vt:i4>
      </vt:variant>
      <vt:variant>
        <vt:i4>126</vt:i4>
      </vt:variant>
      <vt:variant>
        <vt:i4>0</vt:i4>
      </vt:variant>
      <vt:variant>
        <vt:i4>5</vt:i4>
      </vt:variant>
      <vt:variant>
        <vt:lpwstr>http://www.nevo.co.il/law/71764/4.a</vt:lpwstr>
      </vt:variant>
      <vt:variant>
        <vt:lpwstr/>
      </vt:variant>
      <vt:variant>
        <vt:i4>5374036</vt:i4>
      </vt:variant>
      <vt:variant>
        <vt:i4>123</vt:i4>
      </vt:variant>
      <vt:variant>
        <vt:i4>0</vt:i4>
      </vt:variant>
      <vt:variant>
        <vt:i4>5</vt:i4>
      </vt:variant>
      <vt:variant>
        <vt:lpwstr>http://www.nevo.co.il/law/71764/2</vt:lpwstr>
      </vt:variant>
      <vt:variant>
        <vt:lpwstr/>
      </vt:variant>
      <vt:variant>
        <vt:i4>6422629</vt:i4>
      </vt:variant>
      <vt:variant>
        <vt:i4>120</vt:i4>
      </vt:variant>
      <vt:variant>
        <vt:i4>0</vt:i4>
      </vt:variant>
      <vt:variant>
        <vt:i4>5</vt:i4>
      </vt:variant>
      <vt:variant>
        <vt:lpwstr>http://www.nevo.co.il/law/71764/10</vt:lpwstr>
      </vt:variant>
      <vt:variant>
        <vt:lpwstr/>
      </vt:variant>
      <vt:variant>
        <vt:i4>8192096</vt:i4>
      </vt:variant>
      <vt:variant>
        <vt:i4>117</vt:i4>
      </vt:variant>
      <vt:variant>
        <vt:i4>0</vt:i4>
      </vt:variant>
      <vt:variant>
        <vt:i4>5</vt:i4>
      </vt:variant>
      <vt:variant>
        <vt:lpwstr>http://www.nevo.co.il/law/71764</vt:lpwstr>
      </vt:variant>
      <vt:variant>
        <vt:lpwstr/>
      </vt:variant>
      <vt:variant>
        <vt:i4>8323172</vt:i4>
      </vt:variant>
      <vt:variant>
        <vt:i4>114</vt:i4>
      </vt:variant>
      <vt:variant>
        <vt:i4>0</vt:i4>
      </vt:variant>
      <vt:variant>
        <vt:i4>5</vt:i4>
      </vt:variant>
      <vt:variant>
        <vt:lpwstr>http://www.nevo.co.il/law/5015</vt:lpwstr>
      </vt:variant>
      <vt:variant>
        <vt:lpwstr/>
      </vt:variant>
      <vt:variant>
        <vt:i4>5374036</vt:i4>
      </vt:variant>
      <vt:variant>
        <vt:i4>111</vt:i4>
      </vt:variant>
      <vt:variant>
        <vt:i4>0</vt:i4>
      </vt:variant>
      <vt:variant>
        <vt:i4>5</vt:i4>
      </vt:variant>
      <vt:variant>
        <vt:lpwstr>http://www.nevo.co.il/law/71764/2</vt:lpwstr>
      </vt:variant>
      <vt:variant>
        <vt:lpwstr/>
      </vt:variant>
      <vt:variant>
        <vt:i4>5374036</vt:i4>
      </vt:variant>
      <vt:variant>
        <vt:i4>108</vt:i4>
      </vt:variant>
      <vt:variant>
        <vt:i4>0</vt:i4>
      </vt:variant>
      <vt:variant>
        <vt:i4>5</vt:i4>
      </vt:variant>
      <vt:variant>
        <vt:lpwstr>http://www.nevo.co.il/law/71764/9</vt:lpwstr>
      </vt:variant>
      <vt:variant>
        <vt:lpwstr/>
      </vt:variant>
      <vt:variant>
        <vt:i4>8126566</vt:i4>
      </vt:variant>
      <vt:variant>
        <vt:i4>105</vt:i4>
      </vt:variant>
      <vt:variant>
        <vt:i4>0</vt:i4>
      </vt:variant>
      <vt:variant>
        <vt:i4>5</vt:i4>
      </vt:variant>
      <vt:variant>
        <vt:lpwstr>http://www.nevo.co.il/law/71764/2.a</vt:lpwstr>
      </vt:variant>
      <vt:variant>
        <vt:lpwstr/>
      </vt:variant>
      <vt:variant>
        <vt:i4>8192096</vt:i4>
      </vt:variant>
      <vt:variant>
        <vt:i4>102</vt:i4>
      </vt:variant>
      <vt:variant>
        <vt:i4>0</vt:i4>
      </vt:variant>
      <vt:variant>
        <vt:i4>5</vt:i4>
      </vt:variant>
      <vt:variant>
        <vt:lpwstr>http://www.nevo.co.il/law/71764</vt:lpwstr>
      </vt:variant>
      <vt:variant>
        <vt:lpwstr/>
      </vt:variant>
      <vt:variant>
        <vt:i4>8192096</vt:i4>
      </vt:variant>
      <vt:variant>
        <vt:i4>99</vt:i4>
      </vt:variant>
      <vt:variant>
        <vt:i4>0</vt:i4>
      </vt:variant>
      <vt:variant>
        <vt:i4>5</vt:i4>
      </vt:variant>
      <vt:variant>
        <vt:lpwstr>http://www.nevo.co.il/law/71764</vt:lpwstr>
      </vt:variant>
      <vt:variant>
        <vt:lpwstr/>
      </vt:variant>
      <vt:variant>
        <vt:i4>5374036</vt:i4>
      </vt:variant>
      <vt:variant>
        <vt:i4>96</vt:i4>
      </vt:variant>
      <vt:variant>
        <vt:i4>0</vt:i4>
      </vt:variant>
      <vt:variant>
        <vt:i4>5</vt:i4>
      </vt:variant>
      <vt:variant>
        <vt:lpwstr>http://www.nevo.co.il/law/71764/1</vt:lpwstr>
      </vt:variant>
      <vt:variant>
        <vt:lpwstr/>
      </vt:variant>
      <vt:variant>
        <vt:i4>8192096</vt:i4>
      </vt:variant>
      <vt:variant>
        <vt:i4>93</vt:i4>
      </vt:variant>
      <vt:variant>
        <vt:i4>0</vt:i4>
      </vt:variant>
      <vt:variant>
        <vt:i4>5</vt:i4>
      </vt:variant>
      <vt:variant>
        <vt:lpwstr>http://www.nevo.co.il/law/71764</vt:lpwstr>
      </vt:variant>
      <vt:variant>
        <vt:lpwstr/>
      </vt:variant>
      <vt:variant>
        <vt:i4>5374036</vt:i4>
      </vt:variant>
      <vt:variant>
        <vt:i4>90</vt:i4>
      </vt:variant>
      <vt:variant>
        <vt:i4>0</vt:i4>
      </vt:variant>
      <vt:variant>
        <vt:i4>5</vt:i4>
      </vt:variant>
      <vt:variant>
        <vt:lpwstr>http://www.nevo.co.il/law/71764/3</vt:lpwstr>
      </vt:variant>
      <vt:variant>
        <vt:lpwstr/>
      </vt:variant>
      <vt:variant>
        <vt:i4>8192096</vt:i4>
      </vt:variant>
      <vt:variant>
        <vt:i4>87</vt:i4>
      </vt:variant>
      <vt:variant>
        <vt:i4>0</vt:i4>
      </vt:variant>
      <vt:variant>
        <vt:i4>5</vt:i4>
      </vt:variant>
      <vt:variant>
        <vt:lpwstr>http://www.nevo.co.il/law/71764</vt:lpwstr>
      </vt:variant>
      <vt:variant>
        <vt:lpwstr/>
      </vt:variant>
      <vt:variant>
        <vt:i4>8192096</vt:i4>
      </vt:variant>
      <vt:variant>
        <vt:i4>84</vt:i4>
      </vt:variant>
      <vt:variant>
        <vt:i4>0</vt:i4>
      </vt:variant>
      <vt:variant>
        <vt:i4>5</vt:i4>
      </vt:variant>
      <vt:variant>
        <vt:lpwstr>http://www.nevo.co.il/law/71764</vt:lpwstr>
      </vt:variant>
      <vt:variant>
        <vt:lpwstr/>
      </vt:variant>
      <vt:variant>
        <vt:i4>8192096</vt:i4>
      </vt:variant>
      <vt:variant>
        <vt:i4>81</vt:i4>
      </vt:variant>
      <vt:variant>
        <vt:i4>0</vt:i4>
      </vt:variant>
      <vt:variant>
        <vt:i4>5</vt:i4>
      </vt:variant>
      <vt:variant>
        <vt:lpwstr>http://www.nevo.co.il/law/71764</vt:lpwstr>
      </vt:variant>
      <vt:variant>
        <vt:lpwstr/>
      </vt:variant>
      <vt:variant>
        <vt:i4>5374036</vt:i4>
      </vt:variant>
      <vt:variant>
        <vt:i4>78</vt:i4>
      </vt:variant>
      <vt:variant>
        <vt:i4>0</vt:i4>
      </vt:variant>
      <vt:variant>
        <vt:i4>5</vt:i4>
      </vt:variant>
      <vt:variant>
        <vt:lpwstr>http://www.nevo.co.il/law/71764/3</vt:lpwstr>
      </vt:variant>
      <vt:variant>
        <vt:lpwstr/>
      </vt:variant>
      <vt:variant>
        <vt:i4>8192096</vt:i4>
      </vt:variant>
      <vt:variant>
        <vt:i4>75</vt:i4>
      </vt:variant>
      <vt:variant>
        <vt:i4>0</vt:i4>
      </vt:variant>
      <vt:variant>
        <vt:i4>5</vt:i4>
      </vt:variant>
      <vt:variant>
        <vt:lpwstr>http://www.nevo.co.il/law/71764</vt:lpwstr>
      </vt:variant>
      <vt:variant>
        <vt:lpwstr/>
      </vt:variant>
      <vt:variant>
        <vt:i4>8192096</vt:i4>
      </vt:variant>
      <vt:variant>
        <vt:i4>72</vt:i4>
      </vt:variant>
      <vt:variant>
        <vt:i4>0</vt:i4>
      </vt:variant>
      <vt:variant>
        <vt:i4>5</vt:i4>
      </vt:variant>
      <vt:variant>
        <vt:lpwstr>http://www.nevo.co.il/law/71764</vt:lpwstr>
      </vt:variant>
      <vt:variant>
        <vt:lpwstr/>
      </vt:variant>
      <vt:variant>
        <vt:i4>3801203</vt:i4>
      </vt:variant>
      <vt:variant>
        <vt:i4>69</vt:i4>
      </vt:variant>
      <vt:variant>
        <vt:i4>0</vt:i4>
      </vt:variant>
      <vt:variant>
        <vt:i4>5</vt:i4>
      </vt:variant>
      <vt:variant>
        <vt:lpwstr>http://www.nevo.co.il/case/17911136</vt:lpwstr>
      </vt:variant>
      <vt:variant>
        <vt:lpwstr/>
      </vt:variant>
      <vt:variant>
        <vt:i4>8126560</vt:i4>
      </vt:variant>
      <vt:variant>
        <vt:i4>66</vt:i4>
      </vt:variant>
      <vt:variant>
        <vt:i4>0</vt:i4>
      </vt:variant>
      <vt:variant>
        <vt:i4>5</vt:i4>
      </vt:variant>
      <vt:variant>
        <vt:lpwstr>http://www.nevo.co.il/law/71764/4.c</vt:lpwstr>
      </vt:variant>
      <vt:variant>
        <vt:lpwstr/>
      </vt:variant>
      <vt:variant>
        <vt:i4>8192096</vt:i4>
      </vt:variant>
      <vt:variant>
        <vt:i4>63</vt:i4>
      </vt:variant>
      <vt:variant>
        <vt:i4>0</vt:i4>
      </vt:variant>
      <vt:variant>
        <vt:i4>5</vt:i4>
      </vt:variant>
      <vt:variant>
        <vt:lpwstr>http://www.nevo.co.il/law/71764</vt:lpwstr>
      </vt:variant>
      <vt:variant>
        <vt:lpwstr/>
      </vt:variant>
      <vt:variant>
        <vt:i4>5374036</vt:i4>
      </vt:variant>
      <vt:variant>
        <vt:i4>60</vt:i4>
      </vt:variant>
      <vt:variant>
        <vt:i4>0</vt:i4>
      </vt:variant>
      <vt:variant>
        <vt:i4>5</vt:i4>
      </vt:variant>
      <vt:variant>
        <vt:lpwstr>http://www.nevo.co.il/law/71764/9</vt:lpwstr>
      </vt:variant>
      <vt:variant>
        <vt:lpwstr/>
      </vt:variant>
      <vt:variant>
        <vt:i4>8323172</vt:i4>
      </vt:variant>
      <vt:variant>
        <vt:i4>57</vt:i4>
      </vt:variant>
      <vt:variant>
        <vt:i4>0</vt:i4>
      </vt:variant>
      <vt:variant>
        <vt:i4>5</vt:i4>
      </vt:variant>
      <vt:variant>
        <vt:lpwstr>http://www.nevo.co.il/law/5015</vt:lpwstr>
      </vt:variant>
      <vt:variant>
        <vt:lpwstr/>
      </vt:variant>
      <vt:variant>
        <vt:i4>5374036</vt:i4>
      </vt:variant>
      <vt:variant>
        <vt:i4>54</vt:i4>
      </vt:variant>
      <vt:variant>
        <vt:i4>0</vt:i4>
      </vt:variant>
      <vt:variant>
        <vt:i4>5</vt:i4>
      </vt:variant>
      <vt:variant>
        <vt:lpwstr>http://www.nevo.co.il/law/71764/9</vt:lpwstr>
      </vt:variant>
      <vt:variant>
        <vt:lpwstr/>
      </vt:variant>
      <vt:variant>
        <vt:i4>8192096</vt:i4>
      </vt:variant>
      <vt:variant>
        <vt:i4>51</vt:i4>
      </vt:variant>
      <vt:variant>
        <vt:i4>0</vt:i4>
      </vt:variant>
      <vt:variant>
        <vt:i4>5</vt:i4>
      </vt:variant>
      <vt:variant>
        <vt:lpwstr>http://www.nevo.co.il/law/71764</vt:lpwstr>
      </vt:variant>
      <vt:variant>
        <vt:lpwstr/>
      </vt:variant>
      <vt:variant>
        <vt:i4>8192096</vt:i4>
      </vt:variant>
      <vt:variant>
        <vt:i4>48</vt:i4>
      </vt:variant>
      <vt:variant>
        <vt:i4>0</vt:i4>
      </vt:variant>
      <vt:variant>
        <vt:i4>5</vt:i4>
      </vt:variant>
      <vt:variant>
        <vt:lpwstr>http://www.nevo.co.il/law/71764</vt:lpwstr>
      </vt:variant>
      <vt:variant>
        <vt:lpwstr/>
      </vt:variant>
      <vt:variant>
        <vt:i4>8192096</vt:i4>
      </vt:variant>
      <vt:variant>
        <vt:i4>45</vt:i4>
      </vt:variant>
      <vt:variant>
        <vt:i4>0</vt:i4>
      </vt:variant>
      <vt:variant>
        <vt:i4>5</vt:i4>
      </vt:variant>
      <vt:variant>
        <vt:lpwstr>http://www.nevo.co.il/law/71764</vt:lpwstr>
      </vt:variant>
      <vt:variant>
        <vt:lpwstr/>
      </vt:variant>
      <vt:variant>
        <vt:i4>8192096</vt:i4>
      </vt:variant>
      <vt:variant>
        <vt:i4>42</vt:i4>
      </vt:variant>
      <vt:variant>
        <vt:i4>0</vt:i4>
      </vt:variant>
      <vt:variant>
        <vt:i4>5</vt:i4>
      </vt:variant>
      <vt:variant>
        <vt:lpwstr>http://www.nevo.co.il/law/71764</vt:lpwstr>
      </vt:variant>
      <vt:variant>
        <vt:lpwstr/>
      </vt:variant>
      <vt:variant>
        <vt:i4>5374036</vt:i4>
      </vt:variant>
      <vt:variant>
        <vt:i4>39</vt:i4>
      </vt:variant>
      <vt:variant>
        <vt:i4>0</vt:i4>
      </vt:variant>
      <vt:variant>
        <vt:i4>5</vt:i4>
      </vt:variant>
      <vt:variant>
        <vt:lpwstr>http://www.nevo.co.il/law/71764/3</vt:lpwstr>
      </vt:variant>
      <vt:variant>
        <vt:lpwstr/>
      </vt:variant>
      <vt:variant>
        <vt:i4>5374036</vt:i4>
      </vt:variant>
      <vt:variant>
        <vt:i4>36</vt:i4>
      </vt:variant>
      <vt:variant>
        <vt:i4>0</vt:i4>
      </vt:variant>
      <vt:variant>
        <vt:i4>5</vt:i4>
      </vt:variant>
      <vt:variant>
        <vt:lpwstr>http://www.nevo.co.il/law/71764/3</vt:lpwstr>
      </vt:variant>
      <vt:variant>
        <vt:lpwstr/>
      </vt:variant>
      <vt:variant>
        <vt:i4>5374036</vt:i4>
      </vt:variant>
      <vt:variant>
        <vt:i4>33</vt:i4>
      </vt:variant>
      <vt:variant>
        <vt:i4>0</vt:i4>
      </vt:variant>
      <vt:variant>
        <vt:i4>5</vt:i4>
      </vt:variant>
      <vt:variant>
        <vt:lpwstr>http://www.nevo.co.il/law/71764/3</vt:lpwstr>
      </vt:variant>
      <vt:variant>
        <vt:lpwstr/>
      </vt:variant>
      <vt:variant>
        <vt:i4>8126560</vt:i4>
      </vt:variant>
      <vt:variant>
        <vt:i4>30</vt:i4>
      </vt:variant>
      <vt:variant>
        <vt:i4>0</vt:i4>
      </vt:variant>
      <vt:variant>
        <vt:i4>5</vt:i4>
      </vt:variant>
      <vt:variant>
        <vt:lpwstr>http://www.nevo.co.il/law/71764/4.a</vt:lpwstr>
      </vt:variant>
      <vt:variant>
        <vt:lpwstr/>
      </vt:variant>
      <vt:variant>
        <vt:i4>5374036</vt:i4>
      </vt:variant>
      <vt:variant>
        <vt:i4>27</vt:i4>
      </vt:variant>
      <vt:variant>
        <vt:i4>0</vt:i4>
      </vt:variant>
      <vt:variant>
        <vt:i4>5</vt:i4>
      </vt:variant>
      <vt:variant>
        <vt:lpwstr>http://www.nevo.co.il/law/71764/2</vt:lpwstr>
      </vt:variant>
      <vt:variant>
        <vt:lpwstr/>
      </vt:variant>
      <vt:variant>
        <vt:i4>8126560</vt:i4>
      </vt:variant>
      <vt:variant>
        <vt:i4>24</vt:i4>
      </vt:variant>
      <vt:variant>
        <vt:i4>0</vt:i4>
      </vt:variant>
      <vt:variant>
        <vt:i4>5</vt:i4>
      </vt:variant>
      <vt:variant>
        <vt:lpwstr>http://www.nevo.co.il/law/71764/4.a</vt:lpwstr>
      </vt:variant>
      <vt:variant>
        <vt:lpwstr/>
      </vt:variant>
      <vt:variant>
        <vt:i4>5374036</vt:i4>
      </vt:variant>
      <vt:variant>
        <vt:i4>21</vt:i4>
      </vt:variant>
      <vt:variant>
        <vt:i4>0</vt:i4>
      </vt:variant>
      <vt:variant>
        <vt:i4>5</vt:i4>
      </vt:variant>
      <vt:variant>
        <vt:lpwstr>http://www.nevo.co.il/law/71764/3</vt:lpwstr>
      </vt:variant>
      <vt:variant>
        <vt:lpwstr/>
      </vt:variant>
      <vt:variant>
        <vt:i4>5374036</vt:i4>
      </vt:variant>
      <vt:variant>
        <vt:i4>18</vt:i4>
      </vt:variant>
      <vt:variant>
        <vt:i4>0</vt:i4>
      </vt:variant>
      <vt:variant>
        <vt:i4>5</vt:i4>
      </vt:variant>
      <vt:variant>
        <vt:lpwstr>http://www.nevo.co.il/law/71764/9</vt:lpwstr>
      </vt:variant>
      <vt:variant>
        <vt:lpwstr/>
      </vt:variant>
      <vt:variant>
        <vt:i4>8126560</vt:i4>
      </vt:variant>
      <vt:variant>
        <vt:i4>15</vt:i4>
      </vt:variant>
      <vt:variant>
        <vt:i4>0</vt:i4>
      </vt:variant>
      <vt:variant>
        <vt:i4>5</vt:i4>
      </vt:variant>
      <vt:variant>
        <vt:lpwstr>http://www.nevo.co.il/law/71764/4.b</vt:lpwstr>
      </vt:variant>
      <vt:variant>
        <vt:lpwstr/>
      </vt:variant>
      <vt:variant>
        <vt:i4>8126560</vt:i4>
      </vt:variant>
      <vt:variant>
        <vt:i4>12</vt:i4>
      </vt:variant>
      <vt:variant>
        <vt:i4>0</vt:i4>
      </vt:variant>
      <vt:variant>
        <vt:i4>5</vt:i4>
      </vt:variant>
      <vt:variant>
        <vt:lpwstr>http://www.nevo.co.il/law/71764/4.a</vt:lpwstr>
      </vt:variant>
      <vt:variant>
        <vt:lpwstr/>
      </vt:variant>
      <vt:variant>
        <vt:i4>5374036</vt:i4>
      </vt:variant>
      <vt:variant>
        <vt:i4>9</vt:i4>
      </vt:variant>
      <vt:variant>
        <vt:i4>0</vt:i4>
      </vt:variant>
      <vt:variant>
        <vt:i4>5</vt:i4>
      </vt:variant>
      <vt:variant>
        <vt:lpwstr>http://www.nevo.co.il/law/71764/2</vt:lpwstr>
      </vt:variant>
      <vt:variant>
        <vt:lpwstr/>
      </vt:variant>
      <vt:variant>
        <vt:i4>8192096</vt:i4>
      </vt:variant>
      <vt:variant>
        <vt:i4>6</vt:i4>
      </vt:variant>
      <vt:variant>
        <vt:i4>0</vt:i4>
      </vt:variant>
      <vt:variant>
        <vt:i4>5</vt:i4>
      </vt:variant>
      <vt:variant>
        <vt:lpwstr>http://www.nevo.co.il/law/71764</vt:lpwstr>
      </vt:variant>
      <vt:variant>
        <vt:lpwstr/>
      </vt:variant>
      <vt:variant>
        <vt:i4>99616163</vt:i4>
      </vt:variant>
      <vt:variant>
        <vt:i4>3</vt:i4>
      </vt:variant>
      <vt:variant>
        <vt:i4>0</vt:i4>
      </vt:variant>
      <vt:variant>
        <vt:i4>5</vt:i4>
      </vt:variant>
      <vt:variant>
        <vt:lpwstr>http://www.nevo.co.il/links/psika/?link=המ 870/77</vt:lpwstr>
      </vt:variant>
      <vt:variant>
        <vt:lpwstr/>
      </vt:variant>
      <vt:variant>
        <vt:i4>3539062</vt:i4>
      </vt:variant>
      <vt:variant>
        <vt:i4>0</vt:i4>
      </vt:variant>
      <vt:variant>
        <vt:i4>0</vt:i4>
      </vt:variant>
      <vt:variant>
        <vt:i4>5</vt:i4>
      </vt:variant>
      <vt:variant>
        <vt:lpwstr>http://www.nevo.co.il/case/17926787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nevo.co.il</dc:title>
  <dc:subject> </dc:subject>
  <dc:creator>זילבר יוסי</dc:creator>
  <cp:keywords/>
  <dc:description/>
  <cp:lastModifiedBy>זילבר יוסי</cp:lastModifiedBy>
  <cp:revision>2</cp:revision>
  <dcterms:created xsi:type="dcterms:W3CDTF">2016-11-02T17:47:00Z</dcterms:created>
  <dcterms:modified xsi:type="dcterms:W3CDTF">2016-11-02T17:47:00Z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1</vt:lpwstr>
  </property>
  <property fmtid="{D5CDD505-2E9C-101B-9397-08002B2CF9AE}" pid="3" name="PSAKDIN">
    <vt:lpwstr>פסק-דין</vt:lpwstr>
  </property>
  <property fmtid="{D5CDD505-2E9C-101B-9397-08002B2CF9AE}" pid="4" name="PROCESS">
    <vt:lpwstr>עא</vt:lpwstr>
  </property>
  <property fmtid="{D5CDD505-2E9C-101B-9397-08002B2CF9AE}" pid="5" name="PROCNUM">
    <vt:lpwstr>546</vt:lpwstr>
  </property>
  <property fmtid="{D5CDD505-2E9C-101B-9397-08002B2CF9AE}" pid="6" name="PROCYEAR">
    <vt:lpwstr>78</vt:lpwstr>
  </property>
  <property fmtid="{D5CDD505-2E9C-101B-9397-08002B2CF9AE}" pid="7" name="APPELLANT">
    <vt:lpwstr>בנק קופת עם בע#מ</vt:lpwstr>
  </property>
  <property fmtid="{D5CDD505-2E9C-101B-9397-08002B2CF9AE}" pid="8" name="APPELLEE">
    <vt:lpwstr>אליעזר הנדלס;מדינת ישראל, משטרת ישראל</vt:lpwstr>
  </property>
  <property fmtid="{D5CDD505-2E9C-101B-9397-08002B2CF9AE}" pid="9" name="LAWYER">
    <vt:lpwstr>ש' שרשבסקי;ש' ברוש</vt:lpwstr>
  </property>
  <property fmtid="{D5CDD505-2E9C-101B-9397-08002B2CF9AE}" pid="10" name="JUDGE">
    <vt:lpwstr>לנדוי;אלון;ברק</vt:lpwstr>
  </property>
  <property fmtid="{D5CDD505-2E9C-101B-9397-08002B2CF9AE}" pid="11" name="DATE">
    <vt:lpwstr>19800217</vt:lpwstr>
  </property>
  <property fmtid="{D5CDD505-2E9C-101B-9397-08002B2CF9AE}" pid="12" name="TYPE_N_DATE">
    <vt:lpwstr>41019800217</vt:lpwstr>
  </property>
  <property fmtid="{D5CDD505-2E9C-101B-9397-08002B2CF9AE}" pid="13" name="WORDNUMPAGES">
    <vt:lpwstr>30</vt:lpwstr>
  </property>
  <property fmtid="{D5CDD505-2E9C-101B-9397-08002B2CF9AE}" pid="14" name="TYPE_ABS_DATE">
    <vt:lpwstr>410119800217</vt:lpwstr>
  </property>
  <property fmtid="{D5CDD505-2E9C-101B-9397-08002B2CF9AE}" pid="15" name="VOLUME">
    <vt:lpwstr>לד</vt:lpwstr>
  </property>
  <property fmtid="{D5CDD505-2E9C-101B-9397-08002B2CF9AE}" pid="16" name="PART">
    <vt:lpwstr>3</vt:lpwstr>
  </property>
  <property fmtid="{D5CDD505-2E9C-101B-9397-08002B2CF9AE}" pid="17" name="PAGE">
    <vt:lpwstr>57</vt:lpwstr>
  </property>
  <property fmtid="{D5CDD505-2E9C-101B-9397-08002B2CF9AE}" pid="18" name="ISABSTRACT">
    <vt:lpwstr>Y</vt:lpwstr>
  </property>
  <property fmtid="{D5CDD505-2E9C-101B-9397-08002B2CF9AE}" pid="19" name="PADIMAIL">
    <vt:lpwstr>YES</vt:lpwstr>
  </property>
  <property fmtid="{D5CDD505-2E9C-101B-9397-08002B2CF9AE}" pid="20" name="APPELLANT1">
    <vt:lpwstr/>
  </property>
  <property fmtid="{D5CDD505-2E9C-101B-9397-08002B2CF9AE}" pid="21" name="APPELLANT2">
    <vt:lpwstr/>
  </property>
  <property fmtid="{D5CDD505-2E9C-101B-9397-08002B2CF9AE}" pid="22" name="APPELLEE1">
    <vt:lpwstr/>
  </property>
  <property fmtid="{D5CDD505-2E9C-101B-9397-08002B2CF9AE}" pid="23" name="APPELLEE2">
    <vt:lpwstr/>
  </property>
  <property fmtid="{D5CDD505-2E9C-101B-9397-08002B2CF9AE}" pid="24" name="CITY">
    <vt:lpwstr/>
  </property>
  <property fmtid="{D5CDD505-2E9C-101B-9397-08002B2CF9AE}" pid="25" name="DELEMATA">
    <vt:lpwstr/>
  </property>
  <property fmtid="{D5CDD505-2E9C-101B-9397-08002B2CF9AE}" pid="26" name="LINKK1">
    <vt:lpwstr/>
  </property>
  <property fmtid="{D5CDD505-2E9C-101B-9397-08002B2CF9AE}" pid="27" name="LINKK2">
    <vt:lpwstr/>
  </property>
  <property fmtid="{D5CDD505-2E9C-101B-9397-08002B2CF9AE}" pid="28" name="LINKK3">
    <vt:lpwstr/>
  </property>
  <property fmtid="{D5CDD505-2E9C-101B-9397-08002B2CF9AE}" pid="29" name="LINKK4">
    <vt:lpwstr/>
  </property>
  <property fmtid="{D5CDD505-2E9C-101B-9397-08002B2CF9AE}" pid="30" name="LINKK5">
    <vt:lpwstr/>
  </property>
  <property fmtid="{D5CDD505-2E9C-101B-9397-08002B2CF9AE}" pid="31" name="NEWPROC">
    <vt:lpwstr/>
  </property>
  <property fmtid="{D5CDD505-2E9C-101B-9397-08002B2CF9AE}" pid="32" name="NEWPARTA">
    <vt:lpwstr/>
  </property>
  <property fmtid="{D5CDD505-2E9C-101B-9397-08002B2CF9AE}" pid="33" name="NEWPARTB">
    <vt:lpwstr/>
  </property>
  <property fmtid="{D5CDD505-2E9C-101B-9397-08002B2CF9AE}" pid="34" name="NEWPARTC">
    <vt:lpwstr/>
  </property>
  <property fmtid="{D5CDD505-2E9C-101B-9397-08002B2CF9AE}" pid="35" name="LAWLISTTMP1">
    <vt:lpwstr>71764/002:16;004.a:7;004.b:2;009:4;003:42;004.c;001;002.a;010:3;004:3</vt:lpwstr>
  </property>
  <property fmtid="{D5CDD505-2E9C-101B-9397-08002B2CF9AE}" pid="36" name="LAWLISTTMP2">
    <vt:lpwstr>5015</vt:lpwstr>
  </property>
  <property fmtid="{D5CDD505-2E9C-101B-9397-08002B2CF9AE}" pid="37" name="LAWLISTTMP3">
    <vt:lpwstr>4666/001</vt:lpwstr>
  </property>
  <property fmtid="{D5CDD505-2E9C-101B-9397-08002B2CF9AE}" pid="38" name="LAWLISTTMP4">
    <vt:lpwstr>73015/063</vt:lpwstr>
  </property>
  <property fmtid="{D5CDD505-2E9C-101B-9397-08002B2CF9AE}" pid="39" name="CASESLISTTMP1">
    <vt:lpwstr>17926787;17911136:4;17912109</vt:lpwstr>
  </property>
  <property fmtid="{D5CDD505-2E9C-101B-9397-08002B2CF9AE}" pid="40" name="CASENOTES1">
    <vt:lpwstr>ProcID=47;162&amp;PartA=870&amp;PartC=77</vt:lpwstr>
  </property>
</Properties>
</file>