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right"/>
        <w:rPr>
          <w:rFonts w:cs="FrankRuehl"/>
          <w:rtl/>
          <w:lang w:eastAsia="en-US"/>
        </w:rPr>
      </w:pPr>
      <w:r>
        <w:rPr>
          <w:rFonts w:cs="FrankRuehl"/>
          <w:rtl/>
          <w:lang w:eastAsia="en-US"/>
        </w:rPr>
        <w:t xml:space="preserve">דיון נוסף מס' </w:t>
      </w:r>
      <w:r>
        <w:rPr>
          <w:rFonts w:cs="FrankRuehl"/>
          <w:lang w:eastAsia="en-US"/>
        </w:rPr>
        <w:t>13/80</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both"/>
        <w:rPr>
          <w:rFonts w:cs="FrankRuehl"/>
          <w:lang w:eastAsia="en-US"/>
        </w:rPr>
      </w:pPr>
      <w:r>
        <w:rPr>
          <w:rFonts w:cs="FrankRuehl"/>
          <w:rtl/>
          <w:lang w:eastAsia="en-US"/>
        </w:rPr>
        <w:t>אליעזר הנדלס</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both"/>
        <w:rPr>
          <w:rFonts w:cs="FrankRuehl"/>
          <w:rtl/>
          <w:lang w:eastAsia="en-US"/>
        </w:rPr>
      </w:pPr>
      <w:r>
        <w:rPr>
          <w:rFonts w:cs="FrankRuehl"/>
          <w:rtl/>
          <w:lang w:eastAsia="en-US"/>
        </w:rPr>
        <w:t>נגד</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both"/>
        <w:rPr>
          <w:rFonts w:cs="FrankRuehl"/>
          <w:rtl/>
          <w:lang w:eastAsia="en-US"/>
        </w:rPr>
      </w:pPr>
      <w:r>
        <w:rPr>
          <w:rFonts w:cs="FrankRuehl"/>
          <w:lang w:eastAsia="en-US"/>
        </w:rPr>
        <w:t>.1</w:t>
      </w:r>
      <w:r>
        <w:rPr>
          <w:rFonts w:cs="FrankRuehl"/>
          <w:rtl/>
          <w:lang w:eastAsia="en-US"/>
        </w:rPr>
        <w:t>בנק קופת עם בע"מ</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both"/>
        <w:rPr>
          <w:rFonts w:cs="FrankRuehl"/>
          <w:rtl/>
          <w:lang w:eastAsia="en-US"/>
        </w:rPr>
      </w:pPr>
      <w:r>
        <w:rPr>
          <w:rFonts w:cs="FrankRuehl"/>
          <w:lang w:eastAsia="en-US"/>
        </w:rPr>
        <w:t>.2</w:t>
      </w:r>
      <w:r>
        <w:rPr>
          <w:rFonts w:cs="FrankRuehl"/>
          <w:rtl/>
          <w:lang w:eastAsia="en-US"/>
        </w:rPr>
        <w:t>מדינת ישראל, משטרת ישראל</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rtl/>
          <w:lang w:eastAsia="en-US"/>
        </w:rPr>
      </w:pP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lang w:eastAsia="en-US"/>
        </w:rPr>
      </w:pPr>
      <w:bookmarkStart w:id="0" w:name="BeitMishpat"/>
      <w:bookmarkStart w:id="1" w:name="_GoBack"/>
      <w:bookmarkEnd w:id="0"/>
      <w:r>
        <w:rPr>
          <w:rFonts w:cs="FrankRuehl"/>
          <w:rtl/>
          <w:lang w:eastAsia="en-US"/>
        </w:rPr>
        <w:t>בבית המשפט העליון</w:t>
      </w:r>
    </w:p>
    <w:bookmarkEnd w:id="1"/>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rtl/>
          <w:lang w:eastAsia="en-US"/>
        </w:rPr>
      </w:pPr>
      <w:r>
        <w:rPr>
          <w:rFonts w:cs="FrankRuehl"/>
          <w:rtl/>
          <w:lang w:eastAsia="en-US"/>
        </w:rPr>
        <w:t xml:space="preserve"> [</w:t>
      </w:r>
      <w:r>
        <w:rPr>
          <w:rFonts w:cs="FrankRuehl"/>
          <w:lang w:eastAsia="en-US"/>
        </w:rPr>
        <w:t>27.4.80, 9.3.81</w:t>
      </w:r>
      <w:r>
        <w:rPr>
          <w:rFonts w:cs="FrankRuehl"/>
          <w:rtl/>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lang w:eastAsia="en-US"/>
        </w:rPr>
      </w:pPr>
      <w:r>
        <w:rPr>
          <w:rFonts w:cs="FrankRuehl"/>
          <w:rtl/>
          <w:lang w:eastAsia="en-US"/>
        </w:rPr>
        <w:t>לפני הנשיא מ' לנדוי, מ"מ הנשיא ח' כהן</w:t>
      </w:r>
      <w:r>
        <w:rPr>
          <w:rFonts w:cs="FrankRuehl"/>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rtl/>
          <w:lang w:eastAsia="en-US"/>
        </w:rPr>
      </w:pPr>
      <w:r>
        <w:rPr>
          <w:rFonts w:cs="FrankRuehl"/>
          <w:rtl/>
          <w:lang w:eastAsia="en-US"/>
        </w:rPr>
        <w:t>והשופטים מ' אלון, א' ברק, ש' לוין</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lang w:eastAsia="en-US"/>
        </w:rPr>
      </w:pP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after="80" w:line="260" w:lineRule="exact"/>
        <w:jc w:val="center"/>
        <w:rPr>
          <w:rFonts w:cs="FrankRuehl"/>
          <w:rtl/>
          <w:lang w:eastAsia="en-US"/>
        </w:rPr>
      </w:pPr>
      <w:bookmarkStart w:id="2" w:name="LastJudge"/>
    </w:p>
    <w:bookmarkEnd w:id="2"/>
    <w:p w:rsidR="00C27A1E" w:rsidRDefault="000652F4">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rtl/>
          <w:lang w:eastAsia="en-US"/>
        </w:rPr>
      </w:pPr>
      <w:r w:rsidRPr="000652F4">
        <w:rPr>
          <w:rFonts w:cs="FrankRuehl"/>
          <w:color w:val="0000FF"/>
          <w:sz w:val="22"/>
          <w:szCs w:val="22"/>
          <w:u w:val="single"/>
          <w:rtl/>
          <w:lang w:eastAsia="en-US"/>
        </w:rPr>
        <w:fldChar w:fldCharType="begin"/>
      </w:r>
      <w:r w:rsidRPr="000652F4">
        <w:rPr>
          <w:rFonts w:cs="FrankRuehl"/>
          <w:color w:val="0000FF"/>
          <w:sz w:val="22"/>
          <w:szCs w:val="22"/>
          <w:u w:val="single"/>
          <w:rtl/>
          <w:lang w:eastAsia="en-US"/>
        </w:rPr>
        <w:instrText xml:space="preserve"> </w:instrText>
      </w:r>
      <w:r w:rsidRPr="000652F4">
        <w:rPr>
          <w:rFonts w:cs="FrankRuehl"/>
          <w:color w:val="0000FF"/>
          <w:sz w:val="22"/>
          <w:szCs w:val="22"/>
          <w:u w:val="single"/>
          <w:lang w:eastAsia="en-US"/>
        </w:rPr>
        <w:instrText>HYPERLINK</w:instrText>
      </w:r>
      <w:r w:rsidRPr="000652F4">
        <w:rPr>
          <w:rFonts w:cs="FrankRuehl"/>
          <w:color w:val="0000FF"/>
          <w:sz w:val="22"/>
          <w:szCs w:val="22"/>
          <w:u w:val="single"/>
          <w:rtl/>
          <w:lang w:eastAsia="en-US"/>
        </w:rPr>
        <w:instrText xml:space="preserve"> "</w:instrText>
      </w:r>
      <w:r w:rsidRPr="000652F4">
        <w:rPr>
          <w:rFonts w:cs="FrankRuehl"/>
          <w:color w:val="0000FF"/>
          <w:sz w:val="22"/>
          <w:szCs w:val="22"/>
          <w:u w:val="single"/>
          <w:lang w:eastAsia="en-US"/>
        </w:rPr>
        <w:instrText>http://www.nevo.co.il/law/71764</w:instrText>
      </w:r>
      <w:r w:rsidRPr="000652F4">
        <w:rPr>
          <w:rFonts w:cs="FrankRuehl"/>
          <w:color w:val="0000FF"/>
          <w:sz w:val="22"/>
          <w:szCs w:val="22"/>
          <w:u w:val="single"/>
          <w:rtl/>
          <w:lang w:eastAsia="en-US"/>
        </w:rPr>
        <w:instrText xml:space="preserve">" </w:instrText>
      </w:r>
      <w:r w:rsidRPr="000652F4">
        <w:rPr>
          <w:rFonts w:cs="FrankRuehl"/>
          <w:color w:val="0000FF"/>
          <w:sz w:val="22"/>
          <w:szCs w:val="22"/>
          <w:u w:val="single"/>
          <w:lang w:eastAsia="en-US"/>
        </w:rPr>
      </w:r>
      <w:r w:rsidRPr="000652F4">
        <w:rPr>
          <w:rFonts w:cs="FrankRuehl"/>
          <w:color w:val="0000FF"/>
          <w:sz w:val="22"/>
          <w:szCs w:val="22"/>
          <w:u w:val="single"/>
          <w:rtl/>
          <w:lang w:eastAsia="en-US"/>
        </w:rPr>
        <w:fldChar w:fldCharType="separate"/>
      </w:r>
      <w:r w:rsidRPr="000652F4">
        <w:rPr>
          <w:rStyle w:val="Hyperlink"/>
          <w:rFonts w:cs="FrankRuehl"/>
          <w:sz w:val="22"/>
          <w:szCs w:val="22"/>
          <w:rtl/>
          <w:lang w:eastAsia="en-US"/>
        </w:rPr>
        <w:t>חוק השבת אבידה</w:t>
      </w:r>
      <w:r w:rsidRPr="000652F4">
        <w:rPr>
          <w:rFonts w:cs="FrankRuehl"/>
          <w:color w:val="0000FF"/>
          <w:sz w:val="22"/>
          <w:szCs w:val="22"/>
          <w:u w:val="single"/>
          <w:rtl/>
          <w:lang w:eastAsia="en-US"/>
        </w:rPr>
        <w:fldChar w:fldCharType="end"/>
      </w:r>
      <w:r w:rsidR="00C27A1E">
        <w:rPr>
          <w:rFonts w:cs="FrankRuehl"/>
          <w:sz w:val="22"/>
          <w:szCs w:val="22"/>
          <w:rtl/>
          <w:lang w:eastAsia="en-US"/>
        </w:rPr>
        <w:t>, תשל"ג-</w:t>
      </w:r>
      <w:r w:rsidR="00C27A1E">
        <w:rPr>
          <w:rFonts w:cs="FrankRuehl"/>
          <w:sz w:val="22"/>
          <w:szCs w:val="22"/>
          <w:lang w:eastAsia="en-US"/>
        </w:rPr>
        <w:t>1973</w:t>
      </w:r>
      <w:r w:rsidR="00C27A1E">
        <w:rPr>
          <w:rFonts w:cs="FrankRuehl"/>
          <w:sz w:val="22"/>
          <w:szCs w:val="22"/>
          <w:rtl/>
          <w:lang w:eastAsia="en-US"/>
        </w:rPr>
        <w:t xml:space="preserve">, ס"ח </w:t>
      </w:r>
      <w:r w:rsidR="00C27A1E">
        <w:rPr>
          <w:rFonts w:cs="FrankRuehl"/>
          <w:sz w:val="22"/>
          <w:szCs w:val="22"/>
          <w:lang w:eastAsia="en-US"/>
        </w:rPr>
        <w:t>172</w:t>
      </w:r>
      <w:r w:rsidR="00C27A1E">
        <w:rPr>
          <w:rFonts w:cs="FrankRuehl"/>
          <w:sz w:val="22"/>
          <w:szCs w:val="22"/>
          <w:rtl/>
          <w:lang w:eastAsia="en-US"/>
        </w:rPr>
        <w:t xml:space="preserve">, </w:t>
      </w:r>
      <w:hyperlink r:id="rId6" w:history="1">
        <w:r w:rsidR="00463CF5" w:rsidRPr="00463CF5">
          <w:rPr>
            <w:rFonts w:cs="FrankRuehl"/>
            <w:color w:val="0000FF"/>
            <w:sz w:val="22"/>
            <w:szCs w:val="22"/>
            <w:u w:val="single"/>
            <w:rtl/>
            <w:lang w:eastAsia="en-US"/>
          </w:rPr>
          <w:t>סעיפים 2</w:t>
        </w:r>
      </w:hyperlink>
      <w:r w:rsidR="00C27A1E">
        <w:rPr>
          <w:rFonts w:cs="FrankRuehl"/>
          <w:sz w:val="22"/>
          <w:szCs w:val="22"/>
          <w:rtl/>
          <w:lang w:eastAsia="en-US"/>
        </w:rPr>
        <w:t xml:space="preserve">, </w:t>
      </w:r>
      <w:hyperlink r:id="rId7" w:history="1">
        <w:r w:rsidR="00463CF5" w:rsidRPr="00463CF5">
          <w:rPr>
            <w:rFonts w:cs="FrankRuehl"/>
            <w:color w:val="0000FF"/>
            <w:sz w:val="22"/>
            <w:szCs w:val="22"/>
            <w:u w:val="single"/>
            <w:rtl/>
            <w:lang w:eastAsia="en-US"/>
          </w:rPr>
          <w:t>2(א),</w:t>
        </w:r>
      </w:hyperlink>
      <w:r w:rsidR="00C27A1E">
        <w:rPr>
          <w:rFonts w:cs="FrankRuehl"/>
          <w:sz w:val="22"/>
          <w:szCs w:val="22"/>
          <w:rtl/>
          <w:lang w:eastAsia="en-US"/>
        </w:rPr>
        <w:t xml:space="preserve"> </w:t>
      </w:r>
      <w:hyperlink r:id="rId8" w:history="1">
        <w:r w:rsidR="00463CF5" w:rsidRPr="00463CF5">
          <w:rPr>
            <w:rFonts w:cs="FrankRuehl"/>
            <w:color w:val="0000FF"/>
            <w:sz w:val="22"/>
            <w:szCs w:val="22"/>
            <w:u w:val="single"/>
            <w:rtl/>
            <w:lang w:eastAsia="en-US"/>
          </w:rPr>
          <w:t>2(ב),</w:t>
        </w:r>
      </w:hyperlink>
      <w:r w:rsidR="00C27A1E">
        <w:rPr>
          <w:rFonts w:cs="FrankRuehl"/>
          <w:sz w:val="22"/>
          <w:szCs w:val="22"/>
          <w:rtl/>
          <w:lang w:eastAsia="en-US"/>
        </w:rPr>
        <w:t xml:space="preserve"> </w:t>
      </w:r>
      <w:hyperlink r:id="rId9" w:history="1">
        <w:r w:rsidR="00463CF5" w:rsidRPr="00463CF5">
          <w:rPr>
            <w:rFonts w:cs="FrankRuehl"/>
            <w:color w:val="0000FF"/>
            <w:sz w:val="22"/>
            <w:szCs w:val="22"/>
            <w:u w:val="single"/>
            <w:rtl/>
            <w:lang w:eastAsia="en-US"/>
          </w:rPr>
          <w:t>3</w:t>
        </w:r>
      </w:hyperlink>
      <w:r w:rsidR="00C27A1E">
        <w:rPr>
          <w:rFonts w:cs="FrankRuehl"/>
          <w:sz w:val="22"/>
          <w:szCs w:val="22"/>
          <w:rtl/>
          <w:lang w:eastAsia="en-US"/>
        </w:rPr>
        <w:t xml:space="preserve">, </w:t>
      </w:r>
      <w:hyperlink r:id="rId10" w:history="1">
        <w:r w:rsidR="00463CF5" w:rsidRPr="00463CF5">
          <w:rPr>
            <w:rFonts w:cs="FrankRuehl"/>
            <w:color w:val="0000FF"/>
            <w:sz w:val="22"/>
            <w:szCs w:val="22"/>
            <w:u w:val="single"/>
            <w:rtl/>
            <w:lang w:eastAsia="en-US"/>
          </w:rPr>
          <w:t>7(א)</w:t>
        </w:r>
      </w:hyperlink>
      <w:r w:rsidR="00C27A1E">
        <w:rPr>
          <w:rFonts w:cs="FrankRuehl"/>
          <w:sz w:val="22"/>
          <w:szCs w:val="22"/>
          <w:rtl/>
          <w:lang w:eastAsia="en-US"/>
        </w:rPr>
        <w:t xml:space="preserve"> - </w:t>
      </w:r>
      <w:hyperlink r:id="rId11" w:history="1">
        <w:r w:rsidRPr="000652F4">
          <w:rPr>
            <w:rStyle w:val="Hyperlink"/>
            <w:rFonts w:cs="FrankRuehl"/>
            <w:sz w:val="22"/>
            <w:szCs w:val="22"/>
            <w:rtl/>
            <w:lang w:eastAsia="en-US"/>
          </w:rPr>
          <w:t>תקנות השבת אבידה</w:t>
        </w:r>
      </w:hyperlink>
      <w:r w:rsidR="00C27A1E">
        <w:rPr>
          <w:rFonts w:cs="FrankRuehl"/>
          <w:sz w:val="22"/>
          <w:szCs w:val="22"/>
          <w:rtl/>
          <w:lang w:eastAsia="en-US"/>
        </w:rPr>
        <w:t>, תשל"ג-</w:t>
      </w:r>
      <w:r w:rsidR="00C27A1E">
        <w:rPr>
          <w:rFonts w:cs="FrankRuehl"/>
          <w:sz w:val="22"/>
          <w:szCs w:val="22"/>
          <w:lang w:eastAsia="en-US"/>
        </w:rPr>
        <w:t>1973</w:t>
      </w:r>
      <w:r w:rsidR="00C27A1E">
        <w:rPr>
          <w:rFonts w:cs="FrankRuehl"/>
          <w:sz w:val="22"/>
          <w:szCs w:val="22"/>
          <w:rtl/>
          <w:lang w:eastAsia="en-US"/>
        </w:rPr>
        <w:t xml:space="preserve">, ק"ת </w:t>
      </w:r>
      <w:r w:rsidR="00C27A1E">
        <w:rPr>
          <w:rFonts w:cs="FrankRuehl"/>
          <w:sz w:val="22"/>
          <w:szCs w:val="22"/>
          <w:lang w:eastAsia="en-US"/>
        </w:rPr>
        <w:t>1839</w:t>
      </w:r>
      <w:r w:rsidR="00C27A1E">
        <w:rPr>
          <w:rFonts w:cs="FrankRuehl"/>
          <w:sz w:val="22"/>
          <w:szCs w:val="22"/>
          <w:rtl/>
          <w:lang w:eastAsia="en-US"/>
        </w:rPr>
        <w:t xml:space="preserve">, תקנה </w:t>
      </w:r>
      <w:hyperlink r:id="rId12" w:history="1">
        <w:r w:rsidR="00463CF5" w:rsidRPr="00463CF5">
          <w:rPr>
            <w:rFonts w:cs="FrankRuehl"/>
            <w:color w:val="0000FF"/>
            <w:sz w:val="22"/>
            <w:szCs w:val="22"/>
            <w:u w:val="single"/>
            <w:rtl/>
            <w:lang w:eastAsia="en-US"/>
          </w:rPr>
          <w:t>2</w:t>
        </w:r>
      </w:hyperlink>
      <w:r w:rsidR="00C27A1E">
        <w:rPr>
          <w:rFonts w:cs="FrankRuehl"/>
          <w:sz w:val="22"/>
          <w:szCs w:val="22"/>
          <w:rtl/>
          <w:lang w:eastAsia="en-US"/>
        </w:rPr>
        <w:t xml:space="preserve">- </w:t>
      </w:r>
      <w:hyperlink r:id="rId13" w:history="1">
        <w:r w:rsidRPr="000652F4">
          <w:rPr>
            <w:rStyle w:val="Hyperlink"/>
            <w:rFonts w:cs="FrankRuehl"/>
            <w:sz w:val="22"/>
            <w:szCs w:val="22"/>
            <w:rtl/>
            <w:lang w:eastAsia="en-US"/>
          </w:rPr>
          <w:t>חוק יסודות המשפט</w:t>
        </w:r>
      </w:hyperlink>
      <w:r w:rsidR="00C27A1E">
        <w:rPr>
          <w:rFonts w:cs="FrankRuehl"/>
          <w:sz w:val="22"/>
          <w:szCs w:val="22"/>
          <w:rtl/>
          <w:lang w:eastAsia="en-US"/>
        </w:rPr>
        <w:t>, תש"ם-</w:t>
      </w:r>
      <w:r w:rsidR="00C27A1E">
        <w:rPr>
          <w:rFonts w:cs="FrankRuehl"/>
          <w:sz w:val="22"/>
          <w:szCs w:val="22"/>
          <w:lang w:eastAsia="en-US"/>
        </w:rPr>
        <w:t>1980</w:t>
      </w:r>
      <w:r w:rsidR="00C27A1E">
        <w:rPr>
          <w:rFonts w:cs="FrankRuehl"/>
          <w:sz w:val="22"/>
          <w:szCs w:val="22"/>
          <w:rtl/>
          <w:lang w:eastAsia="en-US"/>
        </w:rPr>
        <w:t xml:space="preserve">, ס"ח </w:t>
      </w:r>
      <w:r w:rsidR="00C27A1E">
        <w:rPr>
          <w:rFonts w:cs="FrankRuehl"/>
          <w:sz w:val="22"/>
          <w:szCs w:val="22"/>
          <w:lang w:eastAsia="en-US"/>
        </w:rPr>
        <w:t>163</w:t>
      </w:r>
      <w:r w:rsidR="00C27A1E">
        <w:rPr>
          <w:rFonts w:cs="FrankRuehl"/>
          <w:sz w:val="22"/>
          <w:szCs w:val="22"/>
          <w:rtl/>
          <w:lang w:eastAsia="en-US"/>
        </w:rPr>
        <w:t xml:space="preserve">, סעיף </w:t>
      </w:r>
      <w:hyperlink r:id="rId14" w:history="1">
        <w:r w:rsidR="00463CF5" w:rsidRPr="00463CF5">
          <w:rPr>
            <w:rFonts w:cs="FrankRuehl"/>
            <w:color w:val="0000FF"/>
            <w:sz w:val="22"/>
            <w:szCs w:val="22"/>
            <w:u w:val="single"/>
            <w:rtl/>
            <w:lang w:eastAsia="en-US"/>
          </w:rPr>
          <w:t>2</w:t>
        </w:r>
      </w:hyperlink>
      <w:r w:rsidR="00C27A1E">
        <w:rPr>
          <w:rFonts w:cs="FrankRuehl"/>
          <w:sz w:val="22"/>
          <w:szCs w:val="22"/>
          <w:rtl/>
          <w:lang w:eastAsia="en-US"/>
        </w:rPr>
        <w:t xml:space="preserve">- </w:t>
      </w:r>
      <w:hyperlink r:id="rId15" w:history="1">
        <w:r w:rsidR="00463CF5" w:rsidRPr="00463CF5">
          <w:rPr>
            <w:rFonts w:cs="FrankRuehl"/>
            <w:color w:val="0000FF"/>
            <w:sz w:val="22"/>
            <w:szCs w:val="22"/>
            <w:u w:val="single"/>
            <w:rtl/>
            <w:lang w:eastAsia="en-US"/>
          </w:rPr>
          <w:t>פקודת הפרשנות</w:t>
        </w:r>
      </w:hyperlink>
      <w:r w:rsidR="00C27A1E">
        <w:rPr>
          <w:rFonts w:cs="FrankRuehl"/>
          <w:sz w:val="22"/>
          <w:szCs w:val="22"/>
          <w:rtl/>
          <w:lang w:eastAsia="en-US"/>
        </w:rPr>
        <w:t xml:space="preserve"> [נוסח חדש], נ"ח 2, סעיפים </w:t>
      </w:r>
      <w:hyperlink r:id="rId16" w:history="1">
        <w:r w:rsidR="00463CF5" w:rsidRPr="00463CF5">
          <w:rPr>
            <w:rFonts w:cs="FrankRuehl"/>
            <w:color w:val="0000FF"/>
            <w:sz w:val="22"/>
            <w:szCs w:val="22"/>
            <w:u w:val="single"/>
            <w:rtl/>
            <w:lang w:eastAsia="en-US"/>
          </w:rPr>
          <w:t>1</w:t>
        </w:r>
      </w:hyperlink>
      <w:r w:rsidR="00C27A1E">
        <w:rPr>
          <w:rFonts w:cs="FrankRuehl"/>
          <w:sz w:val="22"/>
          <w:szCs w:val="22"/>
          <w:rtl/>
          <w:lang w:eastAsia="en-US"/>
        </w:rPr>
        <w:t xml:space="preserve">(המונח "רחוב" או "דרך"), </w:t>
      </w:r>
      <w:hyperlink r:id="rId17" w:history="1">
        <w:r w:rsidR="00463CF5" w:rsidRPr="00463CF5">
          <w:rPr>
            <w:rFonts w:cs="FrankRuehl"/>
            <w:color w:val="0000FF"/>
            <w:sz w:val="22"/>
            <w:szCs w:val="22"/>
            <w:u w:val="single"/>
            <w:rtl/>
            <w:lang w:eastAsia="en-US"/>
          </w:rPr>
          <w:t>2</w:t>
        </w:r>
      </w:hyperlink>
      <w:r w:rsidR="00C27A1E">
        <w:rPr>
          <w:rFonts w:cs="FrankRuehl"/>
          <w:sz w:val="22"/>
          <w:szCs w:val="22"/>
          <w:rtl/>
          <w:lang w:eastAsia="en-US"/>
        </w:rPr>
        <w:t xml:space="preserve">- </w:t>
      </w:r>
      <w:hyperlink r:id="rId18" w:history="1">
        <w:r w:rsidRPr="000652F4">
          <w:rPr>
            <w:rStyle w:val="Hyperlink"/>
            <w:rFonts w:cs="FrankRuehl"/>
            <w:sz w:val="22"/>
            <w:szCs w:val="22"/>
            <w:rtl/>
            <w:lang w:eastAsia="en-US"/>
          </w:rPr>
          <w:t>דבר המלך במועצה על ארץ-ישראל</w:t>
        </w:r>
      </w:hyperlink>
      <w:r w:rsidR="00C27A1E">
        <w:rPr>
          <w:rFonts w:cs="FrankRuehl"/>
          <w:sz w:val="22"/>
          <w:szCs w:val="22"/>
          <w:rtl/>
          <w:lang w:eastAsia="en-US"/>
        </w:rPr>
        <w:t xml:space="preserve">, </w:t>
      </w:r>
      <w:r w:rsidR="00C27A1E">
        <w:rPr>
          <w:rFonts w:cs="FrankRuehl"/>
          <w:sz w:val="22"/>
          <w:szCs w:val="22"/>
          <w:lang w:eastAsia="en-US"/>
        </w:rPr>
        <w:t>1922</w:t>
      </w:r>
      <w:r w:rsidR="00C27A1E">
        <w:rPr>
          <w:rFonts w:cs="FrankRuehl"/>
          <w:sz w:val="22"/>
          <w:szCs w:val="22"/>
          <w:rtl/>
          <w:lang w:eastAsia="en-US"/>
        </w:rPr>
        <w:t xml:space="preserve">, חא"י כרך ג, (ע) </w:t>
      </w:r>
      <w:r w:rsidR="00C27A1E">
        <w:rPr>
          <w:rFonts w:cs="FrankRuehl"/>
          <w:sz w:val="22"/>
          <w:szCs w:val="22"/>
          <w:lang w:eastAsia="en-US"/>
        </w:rPr>
        <w:t xml:space="preserve">2738, </w:t>
      </w:r>
      <w:r w:rsidR="00C27A1E">
        <w:rPr>
          <w:rFonts w:cs="FrankRuehl"/>
          <w:sz w:val="22"/>
          <w:szCs w:val="22"/>
          <w:rtl/>
          <w:lang w:eastAsia="en-US"/>
        </w:rPr>
        <w:t xml:space="preserve">(א) </w:t>
      </w:r>
      <w:r w:rsidR="00C27A1E">
        <w:rPr>
          <w:rFonts w:cs="FrankRuehl"/>
          <w:sz w:val="22"/>
          <w:szCs w:val="22"/>
          <w:lang w:eastAsia="en-US"/>
        </w:rPr>
        <w:t>2569</w:t>
      </w:r>
      <w:r w:rsidR="00C27A1E">
        <w:rPr>
          <w:rFonts w:cs="FrankRuehl"/>
          <w:sz w:val="22"/>
          <w:szCs w:val="22"/>
          <w:rtl/>
          <w:lang w:eastAsia="en-US"/>
        </w:rPr>
        <w:t xml:space="preserve">, סימן </w:t>
      </w:r>
      <w:hyperlink r:id="rId19" w:history="1">
        <w:r w:rsidR="00463CF5" w:rsidRPr="00463CF5">
          <w:rPr>
            <w:rFonts w:cs="FrankRuehl"/>
            <w:color w:val="0000FF"/>
            <w:sz w:val="22"/>
            <w:szCs w:val="22"/>
            <w:u w:val="single"/>
            <w:lang w:eastAsia="en-US"/>
          </w:rPr>
          <w:t>46</w:t>
        </w:r>
      </w:hyperlink>
      <w:r w:rsidR="00C27A1E">
        <w:rPr>
          <w:rFonts w:cs="FrankRuehl"/>
          <w:sz w:val="22"/>
          <w:szCs w:val="22"/>
          <w:rtl/>
          <w:lang w:eastAsia="en-US"/>
        </w:rPr>
        <w:t xml:space="preserve">(בוטל: ס"ח תש"ם </w:t>
      </w:r>
      <w:r w:rsidR="00C27A1E">
        <w:rPr>
          <w:rFonts w:cs="FrankRuehl"/>
          <w:sz w:val="22"/>
          <w:szCs w:val="22"/>
          <w:lang w:eastAsia="en-US"/>
        </w:rPr>
        <w:t>163</w:t>
      </w:r>
      <w:r w:rsidR="00C27A1E">
        <w:rPr>
          <w:rFonts w:cs="FrankRuehl"/>
          <w:sz w:val="22"/>
          <w:szCs w:val="22"/>
          <w:rtl/>
          <w:lang w:eastAsia="en-US"/>
        </w:rPr>
        <w:t xml:space="preserve">) - </w:t>
      </w:r>
      <w:hyperlink r:id="rId20" w:history="1">
        <w:r w:rsidRPr="000652F4">
          <w:rPr>
            <w:rStyle w:val="Hyperlink"/>
            <w:rFonts w:cs="FrankRuehl"/>
            <w:sz w:val="22"/>
            <w:szCs w:val="22"/>
            <w:rtl/>
            <w:lang w:eastAsia="en-US"/>
          </w:rPr>
          <w:t>חוק החוזים</w:t>
        </w:r>
      </w:hyperlink>
      <w:r w:rsidR="008A352E" w:rsidRPr="000652F4">
        <w:rPr>
          <w:rFonts w:cs="FrankRuehl"/>
          <w:sz w:val="22"/>
          <w:szCs w:val="22"/>
          <w:rtl/>
          <w:lang w:eastAsia="en-US"/>
        </w:rPr>
        <w:t xml:space="preserve"> (חלק כללי)</w:t>
      </w:r>
      <w:r w:rsidR="00C27A1E">
        <w:rPr>
          <w:rFonts w:cs="FrankRuehl"/>
          <w:sz w:val="22"/>
          <w:szCs w:val="22"/>
          <w:rtl/>
          <w:lang w:eastAsia="en-US"/>
        </w:rPr>
        <w:t>, תשל"ג-</w:t>
      </w:r>
      <w:r w:rsidR="00C27A1E">
        <w:rPr>
          <w:rFonts w:cs="FrankRuehl"/>
          <w:sz w:val="22"/>
          <w:szCs w:val="22"/>
          <w:lang w:eastAsia="en-US"/>
        </w:rPr>
        <w:t>1973</w:t>
      </w:r>
      <w:r w:rsidR="00C27A1E">
        <w:rPr>
          <w:rFonts w:cs="FrankRuehl"/>
          <w:sz w:val="22"/>
          <w:szCs w:val="22"/>
          <w:rtl/>
          <w:lang w:eastAsia="en-US"/>
        </w:rPr>
        <w:t xml:space="preserve">, ס"ח </w:t>
      </w:r>
      <w:r w:rsidR="00C27A1E">
        <w:rPr>
          <w:rFonts w:cs="FrankRuehl"/>
          <w:sz w:val="22"/>
          <w:szCs w:val="22"/>
          <w:lang w:eastAsia="en-US"/>
        </w:rPr>
        <w:t>118</w:t>
      </w:r>
      <w:r w:rsidR="00C27A1E">
        <w:rPr>
          <w:rFonts w:cs="FrankRuehl"/>
          <w:sz w:val="22"/>
          <w:szCs w:val="22"/>
          <w:rtl/>
          <w:lang w:eastAsia="en-US"/>
        </w:rPr>
        <w:t xml:space="preserve">, סעיף </w:t>
      </w:r>
      <w:hyperlink r:id="rId21" w:history="1">
        <w:r w:rsidR="00463CF5" w:rsidRPr="00463CF5">
          <w:rPr>
            <w:rFonts w:cs="FrankRuehl"/>
            <w:color w:val="0000FF"/>
            <w:sz w:val="22"/>
            <w:szCs w:val="22"/>
            <w:u w:val="single"/>
            <w:lang w:eastAsia="en-US"/>
          </w:rPr>
          <w:t>39</w:t>
        </w:r>
      </w:hyperlink>
      <w:r w:rsidR="00C27A1E">
        <w:rPr>
          <w:rFonts w:cs="FrankRuehl"/>
          <w:sz w:val="22"/>
          <w:szCs w:val="22"/>
          <w:rtl/>
          <w:lang w:eastAsia="en-US"/>
        </w:rPr>
        <w:t xml:space="preserve">- </w:t>
      </w:r>
      <w:hyperlink r:id="rId22" w:history="1">
        <w:r w:rsidRPr="000652F4">
          <w:rPr>
            <w:rStyle w:val="Hyperlink"/>
            <w:rFonts w:cs="FrankRuehl"/>
            <w:sz w:val="22"/>
            <w:szCs w:val="22"/>
            <w:rtl/>
            <w:lang w:eastAsia="en-US"/>
          </w:rPr>
          <w:t>חוק המכר</w:t>
        </w:r>
      </w:hyperlink>
      <w:r w:rsidR="00C27A1E">
        <w:rPr>
          <w:rFonts w:cs="FrankRuehl"/>
          <w:sz w:val="22"/>
          <w:szCs w:val="22"/>
          <w:rtl/>
          <w:lang w:eastAsia="en-US"/>
        </w:rPr>
        <w:t>, תשכ"ח-</w:t>
      </w:r>
      <w:r w:rsidR="00C27A1E">
        <w:rPr>
          <w:rFonts w:cs="FrankRuehl"/>
          <w:sz w:val="22"/>
          <w:szCs w:val="22"/>
          <w:lang w:eastAsia="en-US"/>
        </w:rPr>
        <w:t>1968</w:t>
      </w:r>
      <w:r w:rsidR="00C27A1E">
        <w:rPr>
          <w:rFonts w:cs="FrankRuehl"/>
          <w:sz w:val="22"/>
          <w:szCs w:val="22"/>
          <w:rtl/>
          <w:lang w:eastAsia="en-US"/>
        </w:rPr>
        <w:t xml:space="preserve">, ס"ח </w:t>
      </w:r>
      <w:r w:rsidR="00C27A1E">
        <w:rPr>
          <w:rFonts w:cs="FrankRuehl"/>
          <w:sz w:val="22"/>
          <w:szCs w:val="22"/>
          <w:lang w:eastAsia="en-US"/>
        </w:rPr>
        <w:t>98</w:t>
      </w:r>
      <w:r w:rsidR="00C27A1E">
        <w:rPr>
          <w:rFonts w:cs="FrankRuehl"/>
          <w:sz w:val="22"/>
          <w:szCs w:val="22"/>
          <w:rtl/>
          <w:lang w:eastAsia="en-US"/>
        </w:rPr>
        <w:t xml:space="preserve">, </w:t>
      </w:r>
      <w:hyperlink r:id="rId23" w:history="1">
        <w:r w:rsidRPr="000652F4">
          <w:rPr>
            <w:rStyle w:val="Hyperlink"/>
            <w:rFonts w:cs="FrankRuehl"/>
            <w:sz w:val="22"/>
            <w:szCs w:val="22"/>
            <w:rtl/>
            <w:lang w:eastAsia="en-US"/>
          </w:rPr>
          <w:t>פקודת השטרות</w:t>
        </w:r>
      </w:hyperlink>
      <w:r w:rsidR="00C27A1E">
        <w:rPr>
          <w:rFonts w:cs="FrankRuehl"/>
          <w:sz w:val="22"/>
          <w:szCs w:val="22"/>
          <w:rtl/>
          <w:lang w:eastAsia="en-US"/>
        </w:rPr>
        <w:t xml:space="preserve"> [נוסח חדש], נ"ח </w:t>
      </w:r>
      <w:r w:rsidR="00C27A1E">
        <w:rPr>
          <w:rFonts w:cs="FrankRuehl"/>
          <w:sz w:val="22"/>
          <w:szCs w:val="22"/>
          <w:lang w:eastAsia="en-US"/>
        </w:rPr>
        <w:t>.12</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bookmarkStart w:id="3" w:name="ABSTRACT_START"/>
      <w:bookmarkEnd w:id="3"/>
      <w:r>
        <w:rPr>
          <w:rFonts w:cs="FrankRuehl"/>
          <w:sz w:val="22"/>
          <w:szCs w:val="22"/>
          <w:rtl/>
          <w:lang w:eastAsia="en-US"/>
        </w:rPr>
        <w:t>מיני-רציו:</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 מקורות המשפט הישראלי – מורשת ישראל – החלת עקרונותיה</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 פרשנות – דין – כללי פרשנות</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 פרשנות – מונחים – ברשותו של אדם אחר</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rtl/>
          <w:lang w:eastAsia="en-US"/>
        </w:rPr>
      </w:pPr>
      <w:r>
        <w:rPr>
          <w:rFonts w:cs="FrankRuehl"/>
          <w:sz w:val="22"/>
          <w:szCs w:val="22"/>
          <w:rtl/>
          <w:lang w:eastAsia="en-US"/>
        </w:rPr>
        <w:t>* קניין – השבת אבידה – שנמצא ברשות הזולת</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rtl/>
          <w:lang w:eastAsia="en-US"/>
        </w:rPr>
      </w:pP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rtl/>
          <w:lang w:eastAsia="en-US"/>
        </w:rPr>
      </w:pPr>
      <w:r>
        <w:rPr>
          <w:rFonts w:cs="FrankRuehl"/>
          <w:sz w:val="22"/>
          <w:szCs w:val="22"/>
          <w:rtl/>
          <w:lang w:eastAsia="en-US"/>
        </w:rPr>
        <w:t xml:space="preserve">השאלה, עליה נסב הדיון הנוסף היא, אם אבידה, שנמצאה על רצפת חדר הכספות של בנק, היא אבידה, שנמצאה "ברשותו של אדם אחר", כמשמעות דיבור זה בסעיף </w:t>
      </w:r>
      <w:r>
        <w:rPr>
          <w:rFonts w:cs="FrankRuehl"/>
          <w:sz w:val="22"/>
          <w:szCs w:val="22"/>
          <w:lang w:eastAsia="en-US"/>
        </w:rPr>
        <w:t>3</w:t>
      </w:r>
      <w:r>
        <w:rPr>
          <w:rFonts w:cs="FrankRuehl"/>
          <w:sz w:val="22"/>
          <w:szCs w:val="22"/>
          <w:rtl/>
          <w:lang w:eastAsia="en-US"/>
        </w:rPr>
        <w:t>ל</w:t>
      </w:r>
      <w:hyperlink r:id="rId24" w:history="1">
        <w:r w:rsidR="000652F4" w:rsidRPr="000652F4">
          <w:rPr>
            <w:rStyle w:val="Hyperlink"/>
            <w:rFonts w:cs="FrankRuehl"/>
            <w:sz w:val="22"/>
            <w:szCs w:val="22"/>
            <w:rtl/>
            <w:lang w:eastAsia="en-US"/>
          </w:rPr>
          <w:t>חוק השבת אבידה</w:t>
        </w:r>
      </w:hyperlink>
      <w:r>
        <w:rPr>
          <w:rFonts w:cs="FrankRuehl"/>
          <w:sz w:val="22"/>
          <w:szCs w:val="22"/>
          <w:rtl/>
          <w:lang w:eastAsia="en-US"/>
        </w:rPr>
        <w:t>, תשל"ג-</w:t>
      </w:r>
      <w:r>
        <w:rPr>
          <w:rFonts w:cs="FrankRuehl"/>
          <w:sz w:val="22"/>
          <w:szCs w:val="22"/>
          <w:lang w:eastAsia="en-US"/>
        </w:rPr>
        <w:t xml:space="preserve"> .1973</w:t>
      </w:r>
      <w:r>
        <w:rPr>
          <w:rFonts w:cs="FrankRuehl"/>
          <w:sz w:val="22"/>
          <w:szCs w:val="22"/>
          <w:rtl/>
          <w:lang w:eastAsia="en-US"/>
        </w:rPr>
        <w:t>אגב דיון בסוגיה זו נדון גם מעמדו של המשפט העברי בדין הישראלי</w:t>
      </w:r>
      <w:r>
        <w:rPr>
          <w:rFonts w:cs="FrankRuehl"/>
          <w:sz w:val="22"/>
          <w:szCs w:val="22"/>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rtl/>
          <w:lang w:eastAsia="en-US"/>
        </w:rPr>
      </w:pP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hint="cs"/>
          <w:sz w:val="22"/>
          <w:szCs w:val="22"/>
          <w:lang w:eastAsia="en-US"/>
        </w:rPr>
      </w:pPr>
      <w:r>
        <w:rPr>
          <w:rFonts w:cs="FrankRuehl"/>
          <w:sz w:val="22"/>
          <w:szCs w:val="22"/>
          <w:rtl/>
          <w:lang w:eastAsia="en-US"/>
        </w:rPr>
        <w:t>בית המשפט העליון פסק</w:t>
      </w:r>
      <w:r>
        <w:rPr>
          <w:rFonts w:cs="FrankRuehl" w:hint="cs"/>
          <w:sz w:val="22"/>
          <w:szCs w:val="22"/>
          <w:rtl/>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 xml:space="preserve">א. (1) "המוצא אבידה ברשותו של אחר", כאמור בסעיף </w:t>
      </w:r>
      <w:r>
        <w:rPr>
          <w:rFonts w:cs="FrankRuehl"/>
          <w:sz w:val="22"/>
          <w:szCs w:val="22"/>
          <w:lang w:eastAsia="en-US"/>
        </w:rPr>
        <w:t>3</w:t>
      </w:r>
      <w:r>
        <w:rPr>
          <w:rFonts w:cs="FrankRuehl"/>
          <w:sz w:val="22"/>
          <w:szCs w:val="22"/>
          <w:rtl/>
          <w:lang w:eastAsia="en-US"/>
        </w:rPr>
        <w:t>ל</w:t>
      </w:r>
      <w:hyperlink r:id="rId25" w:history="1">
        <w:r w:rsidR="000652F4" w:rsidRPr="000652F4">
          <w:rPr>
            <w:rStyle w:val="Hyperlink"/>
            <w:rFonts w:cs="FrankRuehl"/>
            <w:sz w:val="22"/>
            <w:szCs w:val="22"/>
            <w:rtl/>
            <w:lang w:eastAsia="en-US"/>
          </w:rPr>
          <w:t>חוק השבת אבידה</w:t>
        </w:r>
      </w:hyperlink>
      <w:r>
        <w:rPr>
          <w:rFonts w:cs="FrankRuehl"/>
          <w:sz w:val="22"/>
          <w:szCs w:val="22"/>
          <w:rtl/>
          <w:lang w:eastAsia="en-US"/>
        </w:rPr>
        <w:t>, הוא, פשוטו כמשמעו, מי שמוצא אבידה במקום שאינו רשותו שלו ואינו רשות הרבים</w:t>
      </w:r>
      <w:r>
        <w:rPr>
          <w:rFonts w:cs="FrankRuehl"/>
          <w:sz w:val="22"/>
          <w:szCs w:val="22"/>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2</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רשותו של אדם אחר" כוללת גם רשות-יחיד, שהרבים משתמשים ונכנסים ויוצאים בה</w:t>
      </w:r>
      <w:r>
        <w:rPr>
          <w:rFonts w:cs="FrankRuehl"/>
          <w:sz w:val="22"/>
          <w:szCs w:val="22"/>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lang w:eastAsia="en-US"/>
        </w:rPr>
      </w:pPr>
      <w:bookmarkStart w:id="4" w:name="ABSTRACT_END"/>
      <w:bookmarkEnd w:id="4"/>
      <w:r>
        <w:rPr>
          <w:rFonts w:cs="FrankRuehl"/>
          <w:sz w:val="22"/>
          <w:szCs w:val="22"/>
          <w:rtl/>
          <w:lang w:eastAsia="en-US"/>
        </w:rPr>
        <w:t>(</w:t>
      </w:r>
      <w:r>
        <w:rPr>
          <w:rFonts w:cs="FrankRuehl"/>
          <w:sz w:val="22"/>
          <w:szCs w:val="22"/>
          <w:lang w:eastAsia="en-US"/>
        </w:rPr>
        <w:t>3</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חדר הכספות של בנק הוא רשות-יחיד מובהקת</w:t>
      </w:r>
      <w:r>
        <w:rPr>
          <w:rFonts w:cs="FrankRuehl"/>
          <w:sz w:val="22"/>
          <w:szCs w:val="22"/>
          <w:lang w:eastAsia="en-US"/>
        </w:rPr>
        <w:t>.</w:t>
      </w:r>
    </w:p>
    <w:p w:rsidR="00C27A1E" w:rsidRDefault="00C27A1E">
      <w:pPr>
        <w:tabs>
          <w:tab w:val="left" w:pos="432"/>
          <w:tab w:val="left" w:pos="576"/>
          <w:tab w:val="left" w:pos="720"/>
          <w:tab w:val="left" w:pos="1008"/>
          <w:tab w:val="left" w:pos="1152"/>
          <w:tab w:val="left" w:pos="2448"/>
          <w:tab w:val="left" w:pos="2736"/>
          <w:tab w:val="left" w:pos="3888"/>
          <w:tab w:val="left" w:pos="6768"/>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ב. (אליבא דמ"מ הנשיא ח' כהן): (1) מקום שבחר המחוקק ביטוי או ניב</w:t>
      </w:r>
      <w:r>
        <w:rPr>
          <w:rFonts w:cs="FrankRuehl"/>
          <w:sz w:val="22"/>
          <w:szCs w:val="22"/>
          <w:lang w:eastAsia="en-US"/>
        </w:rPr>
        <w:t xml:space="preserve">, </w:t>
      </w:r>
      <w:r>
        <w:rPr>
          <w:rFonts w:cs="FrankRuehl"/>
          <w:sz w:val="22"/>
          <w:szCs w:val="22"/>
          <w:rtl/>
          <w:lang w:eastAsia="en-US"/>
        </w:rPr>
        <w:t>המיוחדים למשפט העברי ואשר אינם שגורים על-פיהם של משפטנים בני זמננו, מן הדין הוא לפרשם כמשמעותם במשפט העברי. אך אין בכך כדי להחיל את ההוראות המהותיות של המשפט העברי, כאילו היו חוק, שנחקק בידי המחוקק הישראלי</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2</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 xml:space="preserve">גם לאחר כניסתו לתוקף של </w:t>
      </w:r>
      <w:hyperlink r:id="rId26" w:history="1">
        <w:r w:rsidR="000652F4" w:rsidRPr="000652F4">
          <w:rPr>
            <w:rStyle w:val="Hyperlink"/>
            <w:rFonts w:cs="FrankRuehl"/>
            <w:sz w:val="22"/>
            <w:szCs w:val="22"/>
            <w:rtl/>
            <w:lang w:eastAsia="en-US"/>
          </w:rPr>
          <w:t>חוק יסודות המשפט</w:t>
        </w:r>
      </w:hyperlink>
      <w:r>
        <w:rPr>
          <w:rFonts w:cs="FrankRuehl"/>
          <w:sz w:val="22"/>
          <w:szCs w:val="22"/>
          <w:rtl/>
          <w:lang w:eastAsia="en-US"/>
        </w:rPr>
        <w:t>, תש"ם-</w:t>
      </w:r>
      <w:r>
        <w:rPr>
          <w:rFonts w:cs="FrankRuehl"/>
          <w:sz w:val="22"/>
          <w:szCs w:val="22"/>
          <w:lang w:eastAsia="en-US"/>
        </w:rPr>
        <w:t>1980</w:t>
      </w:r>
      <w:r>
        <w:rPr>
          <w:rFonts w:cs="FrankRuehl"/>
          <w:sz w:val="22"/>
          <w:szCs w:val="22"/>
          <w:rtl/>
          <w:lang w:eastAsia="en-US"/>
        </w:rPr>
        <w:t>, הצורך בזיקה למקורות</w:t>
      </w:r>
      <w:r>
        <w:rPr>
          <w:rFonts w:cs="FrankRuehl"/>
          <w:sz w:val="22"/>
          <w:szCs w:val="22"/>
          <w:lang w:eastAsia="en-US"/>
        </w:rPr>
        <w:t xml:space="preserve"> </w:t>
      </w:r>
      <w:r>
        <w:rPr>
          <w:rFonts w:cs="FrankRuehl"/>
          <w:sz w:val="22"/>
          <w:szCs w:val="22"/>
          <w:rtl/>
          <w:lang w:eastAsia="en-US"/>
        </w:rPr>
        <w:cr/>
      </w:r>
      <w:r>
        <w:rPr>
          <w:rFonts w:cs="FrankRuehl"/>
          <w:sz w:val="22"/>
          <w:szCs w:val="22"/>
          <w:rtl/>
          <w:lang w:eastAsia="en-US"/>
        </w:rPr>
        <w:br w:type="page"/>
      </w:r>
      <w:r>
        <w:rPr>
          <w:rFonts w:cs="FrankRuehl"/>
          <w:sz w:val="22"/>
          <w:szCs w:val="22"/>
          <w:rtl/>
          <w:lang w:eastAsia="en-US"/>
        </w:rPr>
        <w:lastRenderedPageBreak/>
        <w:t>ממורשת ישראל אינו מתעורר כלל, כל עוד ניתן לחפש ולמצוא תשובה לשאלה הטעונה הכרעה "בדבר חקיקה, בהלכה הפסוקה או בדרך של היקש".</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3</w:t>
      </w:r>
      <w:r>
        <w:rPr>
          <w:rFonts w:cs="FrankRuehl"/>
          <w:sz w:val="22"/>
          <w:szCs w:val="22"/>
          <w:rtl/>
          <w:lang w:eastAsia="en-US"/>
        </w:rPr>
        <w:t>) רשאי בית המשפט להביא ראיות מהמשפט העברי, אך זוהי רשות ולא חובה</w:t>
      </w:r>
      <w:r>
        <w:rPr>
          <w:rFonts w:cs="FrankRuehl"/>
          <w:sz w:val="22"/>
          <w:szCs w:val="22"/>
          <w:lang w:eastAsia="en-US"/>
        </w:rPr>
        <w:t>,</w:t>
      </w:r>
      <w:r>
        <w:rPr>
          <w:rFonts w:cs="FrankRuehl"/>
          <w:sz w:val="22"/>
          <w:szCs w:val="22"/>
          <w:rtl/>
          <w:lang w:eastAsia="en-US"/>
        </w:rPr>
        <w:t xml:space="preserve"> והמובאות מהמשפט העברי הן בגדר אמרות-אגב</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4</w:t>
      </w:r>
      <w:r>
        <w:rPr>
          <w:rFonts w:cs="FrankRuehl"/>
          <w:sz w:val="22"/>
          <w:szCs w:val="22"/>
          <w:rtl/>
          <w:lang w:eastAsia="en-US"/>
        </w:rPr>
        <w:t>) המונח "רשות" לא נלקח על-ידי המחוקק מן המשפט העברי.</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 xml:space="preserve">ג. (אליבא דשופט א' ברק): (1) מקום שדבר חקיקה ישראלי נזקק למונחי יסוד כגון "צדק", "תום לב", "תקנת הציבור" וכיוצא באלה מושגים "ערכיים", תפקידו של בית המשפט הוא לצקת תוכן קונקרטי במושגים אלה, על-פי מטרתו של החוק ובהתחשב בתנאי החיים, המצויים והרצויים בישראל. בעניינים אלה אין השופט ניצב כלל בפני "שטח ריק", ואין אפשרות להיזקק בעניין זה להוראות </w:t>
      </w:r>
      <w:hyperlink r:id="rId27" w:history="1">
        <w:r w:rsidR="000652F4" w:rsidRPr="000652F4">
          <w:rPr>
            <w:rStyle w:val="Hyperlink"/>
            <w:rFonts w:cs="FrankRuehl"/>
            <w:sz w:val="22"/>
            <w:szCs w:val="22"/>
            <w:rtl/>
            <w:lang w:eastAsia="en-US"/>
          </w:rPr>
          <w:t>חוק יסודות המשפט</w:t>
        </w:r>
      </w:hyperlink>
      <w:r>
        <w:rPr>
          <w:rFonts w:cs="FrankRuehl"/>
          <w:sz w:val="22"/>
          <w:szCs w:val="22"/>
          <w:rtl/>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2</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מקום שדבר חקיקה דורש פירוש, ומלאכת הפירוש קשה על השופט, אין לומר כלל ועיקר, כי ההשראה הפרשנית חייבת לבוא בראש ובראשונה מעקרונות המשפט העברי. את דבר החקיקה צריך לפרש מתוכו, לשם הגשמת מטרת החקיקה על רקע מציאות החיים שלנו.</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3</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מקום שדבר חקיקה פלוני הושפע משיטה זרה, ניתן לפנות לשיטה זו כדי לקבל השראה פרשנית, שיש בה כדי להרחיב את האופציות הפרשניות</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w:t>
      </w:r>
      <w:r>
        <w:rPr>
          <w:rFonts w:cs="FrankRuehl"/>
          <w:sz w:val="22"/>
          <w:szCs w:val="22"/>
          <w:lang w:eastAsia="en-US"/>
        </w:rPr>
        <w:t>4</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את המושג "תום לב" ב</w:t>
      </w:r>
      <w:hyperlink r:id="rId28" w:history="1">
        <w:r w:rsidR="000652F4" w:rsidRPr="000652F4">
          <w:rPr>
            <w:rStyle w:val="Hyperlink"/>
            <w:rFonts w:cs="FrankRuehl"/>
            <w:sz w:val="22"/>
            <w:szCs w:val="22"/>
            <w:rtl/>
            <w:lang w:eastAsia="en-US"/>
          </w:rPr>
          <w:t>חוק החוזים</w:t>
        </w:r>
      </w:hyperlink>
      <w:r w:rsidR="008A352E" w:rsidRPr="000652F4">
        <w:rPr>
          <w:rFonts w:cs="FrankRuehl"/>
          <w:sz w:val="22"/>
          <w:szCs w:val="22"/>
          <w:rtl/>
          <w:lang w:eastAsia="en-US"/>
        </w:rPr>
        <w:t xml:space="preserve"> (חלק כללי)</w:t>
      </w:r>
      <w:r>
        <w:rPr>
          <w:rFonts w:cs="FrankRuehl"/>
          <w:sz w:val="22"/>
          <w:szCs w:val="22"/>
          <w:rtl/>
          <w:lang w:eastAsia="en-US"/>
        </w:rPr>
        <w:t xml:space="preserve">, תשל"ג- </w:t>
      </w:r>
      <w:r>
        <w:rPr>
          <w:rFonts w:cs="FrankRuehl"/>
          <w:sz w:val="22"/>
          <w:szCs w:val="22"/>
          <w:lang w:eastAsia="en-US"/>
        </w:rPr>
        <w:t>1973</w:t>
      </w:r>
      <w:r>
        <w:rPr>
          <w:rFonts w:cs="FrankRuehl"/>
          <w:sz w:val="22"/>
          <w:szCs w:val="22"/>
          <w:rtl/>
          <w:lang w:eastAsia="en-US"/>
        </w:rPr>
        <w:t>, יש לפרש על-פי הקשרו בחוק זה ולא על-פי משמעותו במשפט העברי</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ד. (אליבא דנשיא מ' לנדוי): (1) אין לאמץ עיקרון של פרשנות, לפיו יש לפנות בראש ובראשונה למקורות המשפט העברי כדי להתיר ספק ביחס לפירוש הנכון של דבר חקיקה ישראלי</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2</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 xml:space="preserve">המחוקק ציווה לפנות ל"מורשת ישראל" לפי </w:t>
      </w:r>
      <w:hyperlink r:id="rId29" w:history="1">
        <w:r w:rsidR="000652F4" w:rsidRPr="000652F4">
          <w:rPr>
            <w:rStyle w:val="Hyperlink"/>
            <w:rFonts w:cs="FrankRuehl"/>
            <w:sz w:val="22"/>
            <w:szCs w:val="22"/>
            <w:rtl/>
            <w:lang w:eastAsia="en-US"/>
          </w:rPr>
          <w:t>חוק יסודות המשפט</w:t>
        </w:r>
      </w:hyperlink>
      <w:r>
        <w:rPr>
          <w:rFonts w:cs="FrankRuehl"/>
          <w:sz w:val="22"/>
          <w:szCs w:val="22"/>
          <w:rtl/>
          <w:lang w:eastAsia="en-US"/>
        </w:rPr>
        <w:t xml:space="preserve"> רק כאשר אין למצוא תשובה בדבר חקיקה, בהלכה או בדרך היקש, כלומר, כשקיים "שטח ריק" בחוק החרות</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 xml:space="preserve">ה. (דעת מיעוט - השופט מ' אלון): (1) מאז ביטולו של סימן </w:t>
      </w:r>
      <w:r>
        <w:rPr>
          <w:rFonts w:cs="FrankRuehl"/>
          <w:sz w:val="22"/>
          <w:szCs w:val="22"/>
          <w:lang w:eastAsia="en-US"/>
        </w:rPr>
        <w:t>46</w:t>
      </w:r>
      <w:r>
        <w:rPr>
          <w:rFonts w:cs="FrankRuehl"/>
          <w:sz w:val="22"/>
          <w:szCs w:val="22"/>
          <w:rtl/>
          <w:lang w:eastAsia="en-US"/>
        </w:rPr>
        <w:t>ל</w:t>
      </w:r>
      <w:hyperlink r:id="rId30" w:history="1">
        <w:r w:rsidR="000652F4" w:rsidRPr="000652F4">
          <w:rPr>
            <w:rStyle w:val="Hyperlink"/>
            <w:rFonts w:cs="FrankRuehl"/>
            <w:sz w:val="22"/>
            <w:szCs w:val="22"/>
            <w:rtl/>
            <w:lang w:eastAsia="en-US"/>
          </w:rPr>
          <w:t>דבר המלך במועצה על ארץ-ישראל</w:t>
        </w:r>
      </w:hyperlink>
      <w:r>
        <w:rPr>
          <w:rFonts w:cs="FrankRuehl"/>
          <w:sz w:val="22"/>
          <w:szCs w:val="22"/>
          <w:rtl/>
          <w:lang w:eastAsia="en-US"/>
        </w:rPr>
        <w:t xml:space="preserve">, </w:t>
      </w:r>
      <w:r>
        <w:rPr>
          <w:rFonts w:cs="FrankRuehl"/>
          <w:sz w:val="22"/>
          <w:szCs w:val="22"/>
          <w:lang w:eastAsia="en-US"/>
        </w:rPr>
        <w:t>1922</w:t>
      </w:r>
      <w:r>
        <w:rPr>
          <w:rFonts w:cs="FrankRuehl"/>
          <w:sz w:val="22"/>
          <w:szCs w:val="22"/>
          <w:rtl/>
          <w:lang w:eastAsia="en-US"/>
        </w:rPr>
        <w:t xml:space="preserve">, העניק המחוקק מעמד של מקור משפטי משלים ומחייב לעקרונות החירות, הצדק, היושר והשלום של המשפט העברי, וזאת כאשר בית המשפט אינו מוצא - לא במקורות הקיימים ולא בדרך ההיקש </w:t>
      </w:r>
      <w:r>
        <w:rPr>
          <w:rFonts w:cs="FrankRuehl"/>
          <w:sz w:val="22"/>
          <w:szCs w:val="22"/>
          <w:lang w:eastAsia="en-US"/>
        </w:rPr>
        <w:softHyphen/>
      </w:r>
      <w:r>
        <w:rPr>
          <w:rFonts w:cs="FrankRuehl"/>
          <w:sz w:val="22"/>
          <w:szCs w:val="22"/>
          <w:rtl/>
          <w:lang w:eastAsia="en-US"/>
        </w:rPr>
        <w:t>תשובה לשאלה משפטית מסוימת, באופן שנוצר מצב של "שטח ריק</w:t>
      </w:r>
      <w:r>
        <w:rPr>
          <w:rFonts w:cs="FrankRuehl"/>
          <w:sz w:val="22"/>
          <w:szCs w:val="22"/>
          <w:lang w:eastAsia="en-US"/>
        </w:rPr>
        <w:t xml:space="preserve">" </w:t>
      </w:r>
      <w:r>
        <w:rPr>
          <w:rFonts w:cs="FrankRuehl"/>
          <w:sz w:val="22"/>
          <w:szCs w:val="22"/>
          <w:rtl/>
          <w:lang w:eastAsia="en-US"/>
        </w:rPr>
        <w:t>באותו תחום</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w:t>
      </w:r>
      <w:r>
        <w:rPr>
          <w:rFonts w:cs="FrankRuehl"/>
          <w:sz w:val="22"/>
          <w:szCs w:val="22"/>
          <w:lang w:eastAsia="en-US"/>
        </w:rPr>
        <w:t>2</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כאשר אין בשאלה המשפטית המתעוררת משום "שטח ריק", אלא עניינה</w:t>
      </w:r>
      <w:r>
        <w:rPr>
          <w:rFonts w:cs="FrankRuehl"/>
          <w:sz w:val="22"/>
          <w:szCs w:val="22"/>
          <w:lang w:eastAsia="en-US"/>
        </w:rPr>
        <w:t xml:space="preserve"> </w:t>
      </w:r>
      <w:r>
        <w:rPr>
          <w:rFonts w:cs="FrankRuehl"/>
          <w:sz w:val="22"/>
          <w:szCs w:val="22"/>
          <w:rtl/>
          <w:lang w:eastAsia="en-US"/>
        </w:rPr>
        <w:t>בפרשנותה של הוראה משפטית, הקיימת ומסודרת בחוק, ייזקק בית המשפט, הבא לבחור באפשרות הפרשנות הנכונה מבין כמה אפשרויות, לעקרונות המשפט העברי כמקור השראה ראשי וראשון במעלה, למען הנחותו</w:t>
      </w:r>
      <w:r>
        <w:rPr>
          <w:rFonts w:cs="FrankRuehl"/>
          <w:sz w:val="22"/>
          <w:szCs w:val="22"/>
          <w:lang w:eastAsia="en-US"/>
        </w:rPr>
        <w:t xml:space="preserve"> </w:t>
      </w:r>
      <w:r>
        <w:rPr>
          <w:rFonts w:cs="FrankRuehl"/>
          <w:sz w:val="22"/>
          <w:szCs w:val="22"/>
          <w:rtl/>
          <w:lang w:eastAsia="en-US"/>
        </w:rPr>
        <w:t>בפתרון הבעיה</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rtl/>
          <w:lang w:eastAsia="en-US"/>
        </w:rPr>
      </w:pPr>
      <w:r>
        <w:rPr>
          <w:rFonts w:cs="FrankRuehl"/>
          <w:sz w:val="22"/>
          <w:szCs w:val="22"/>
          <w:rtl/>
          <w:lang w:eastAsia="en-US"/>
        </w:rPr>
        <w:t>(</w:t>
      </w:r>
      <w:r>
        <w:rPr>
          <w:rFonts w:cs="FrankRuehl"/>
          <w:sz w:val="22"/>
          <w:szCs w:val="22"/>
          <w:lang w:eastAsia="en-US"/>
        </w:rPr>
        <w:t>3</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מושגי משפט, שיסודם במערכי מוסר וערכי תרבות - כגון המושגים: "צדק", "תום-לב", "תקנת הציבור" וכיוצא באלה - צריך שיתפרשו על-פי השקפות היסוד, המושרשות במערכי המוסר והתרבות שבמשפט העברי</w:t>
      </w:r>
      <w:r>
        <w:rPr>
          <w:rFonts w:cs="FrankRuehl"/>
          <w:sz w:val="22"/>
          <w:szCs w:val="22"/>
          <w:lang w:eastAsia="en-US"/>
        </w:rPr>
        <w:t>.</w:t>
      </w:r>
    </w:p>
    <w:p w:rsidR="00C27A1E" w:rsidRDefault="00C27A1E">
      <w:pPr>
        <w:tabs>
          <w:tab w:val="left" w:pos="432"/>
          <w:tab w:val="left" w:pos="720"/>
          <w:tab w:val="left" w:pos="864"/>
          <w:tab w:val="left" w:pos="1008"/>
          <w:tab w:val="left" w:pos="1440"/>
          <w:tab w:val="left" w:pos="1584"/>
        </w:tabs>
        <w:autoSpaceDE w:val="0"/>
        <w:autoSpaceDN w:val="0"/>
        <w:bidi/>
        <w:adjustRightInd w:val="0"/>
        <w:spacing w:line="240" w:lineRule="exact"/>
        <w:jc w:val="both"/>
        <w:rPr>
          <w:rFonts w:cs="FrankRuehl"/>
          <w:sz w:val="22"/>
          <w:szCs w:val="22"/>
          <w:lang w:eastAsia="en-US"/>
        </w:rPr>
      </w:pPr>
      <w:r>
        <w:rPr>
          <w:rFonts w:cs="FrankRuehl"/>
          <w:sz w:val="22"/>
          <w:szCs w:val="22"/>
          <w:rtl/>
          <w:lang w:eastAsia="en-US"/>
        </w:rPr>
        <w:t>(</w:t>
      </w:r>
      <w:r>
        <w:rPr>
          <w:rFonts w:cs="FrankRuehl"/>
          <w:sz w:val="22"/>
          <w:szCs w:val="22"/>
          <w:lang w:eastAsia="en-US"/>
        </w:rPr>
        <w:t>4</w:t>
      </w:r>
      <w:r>
        <w:rPr>
          <w:rFonts w:cs="FrankRuehl"/>
          <w:sz w:val="22"/>
          <w:szCs w:val="22"/>
          <w:rtl/>
          <w:lang w:eastAsia="en-US"/>
        </w:rPr>
        <w:t>)</w:t>
      </w:r>
      <w:r>
        <w:rPr>
          <w:rFonts w:cs="FrankRuehl"/>
          <w:sz w:val="22"/>
          <w:szCs w:val="22"/>
          <w:lang w:eastAsia="en-US"/>
        </w:rPr>
        <w:t xml:space="preserve"> </w:t>
      </w:r>
      <w:r>
        <w:rPr>
          <w:rFonts w:cs="FrankRuehl"/>
          <w:sz w:val="22"/>
          <w:szCs w:val="22"/>
          <w:rtl/>
          <w:lang w:eastAsia="en-US"/>
        </w:rPr>
        <w:t xml:space="preserve">מאחר שאין פירושו של סעיף </w:t>
      </w:r>
      <w:r>
        <w:rPr>
          <w:rFonts w:cs="FrankRuehl"/>
          <w:sz w:val="22"/>
          <w:szCs w:val="22"/>
          <w:lang w:eastAsia="en-US"/>
        </w:rPr>
        <w:t>3</w:t>
      </w:r>
      <w:r>
        <w:rPr>
          <w:rFonts w:cs="FrankRuehl"/>
          <w:sz w:val="22"/>
          <w:szCs w:val="22"/>
          <w:rtl/>
          <w:lang w:eastAsia="en-US"/>
        </w:rPr>
        <w:t>ל</w:t>
      </w:r>
      <w:hyperlink r:id="rId31" w:history="1">
        <w:r w:rsidR="000652F4" w:rsidRPr="000652F4">
          <w:rPr>
            <w:rStyle w:val="Hyperlink"/>
            <w:rFonts w:cs="FrankRuehl"/>
            <w:sz w:val="22"/>
            <w:szCs w:val="22"/>
            <w:rtl/>
            <w:lang w:eastAsia="en-US"/>
          </w:rPr>
          <w:t>חוק השבת אבידה</w:t>
        </w:r>
      </w:hyperlink>
      <w:r>
        <w:rPr>
          <w:rFonts w:cs="FrankRuehl"/>
          <w:sz w:val="22"/>
          <w:szCs w:val="22"/>
          <w:rtl/>
          <w:lang w:eastAsia="en-US"/>
        </w:rPr>
        <w:t xml:space="preserve"> מוכרע מתוכו ומתוכנו של החוק גופו, מן הראוי לשאוב השראה והנחיה לפירושו מדיני השבת אבידה שבמשפט העברי</w:t>
      </w:r>
      <w:r>
        <w:rPr>
          <w:rFonts w:cs="FrankRuehl"/>
          <w:sz w:val="22"/>
          <w:szCs w:val="22"/>
          <w:lang w:eastAsia="en-US"/>
        </w:rPr>
        <w:t>.</w:t>
      </w:r>
    </w:p>
    <w:p w:rsidR="00C27A1E" w:rsidRDefault="00C27A1E">
      <w:pPr>
        <w:tabs>
          <w:tab w:val="left" w:pos="288"/>
          <w:tab w:val="left" w:pos="864"/>
          <w:tab w:val="left" w:pos="1008"/>
        </w:tabs>
        <w:autoSpaceDE w:val="0"/>
        <w:autoSpaceDN w:val="0"/>
        <w:bidi/>
        <w:adjustRightInd w:val="0"/>
        <w:spacing w:line="240" w:lineRule="exact"/>
        <w:jc w:val="both"/>
        <w:rPr>
          <w:rFonts w:cs="FrankRuehl"/>
          <w:rtl/>
          <w:lang w:eastAsia="en-US"/>
        </w:rPr>
      </w:pPr>
      <w:bookmarkStart w:id="5" w:name="FirstUzkeru"/>
      <w:bookmarkEnd w:id="5"/>
    </w:p>
    <w:p w:rsidR="00C27A1E" w:rsidRDefault="00C27A1E">
      <w:pPr>
        <w:tabs>
          <w:tab w:val="left" w:pos="288"/>
          <w:tab w:val="left" w:pos="864"/>
          <w:tab w:val="left" w:pos="1008"/>
        </w:tabs>
        <w:autoSpaceDE w:val="0"/>
        <w:autoSpaceDN w:val="0"/>
        <w:bidi/>
        <w:adjustRightInd w:val="0"/>
        <w:spacing w:line="240" w:lineRule="exact"/>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פסקי-דין של בית המשפט העליון שאוזכרו</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1</w:t>
      </w:r>
      <w:r>
        <w:rPr>
          <w:rFonts w:cs="FrankRuehl"/>
          <w:rtl/>
          <w:lang w:eastAsia="en-US"/>
        </w:rPr>
        <w:t xml:space="preserve">] </w:t>
      </w:r>
      <w:hyperlink r:id="rId32" w:history="1">
        <w:r w:rsidR="008A352E" w:rsidRPr="00ED73FF">
          <w:rPr>
            <w:rStyle w:val="Hyperlink"/>
            <w:rFonts w:cs="FrankRuehl"/>
            <w:rtl/>
            <w:lang w:eastAsia="en-US"/>
          </w:rPr>
          <w:t>המ' 89/51 מיטובה בע"מ נ' קזם, פ"ד ו</w:t>
        </w:r>
      </w:hyperlink>
      <w:r>
        <w:rPr>
          <w:rFonts w:cs="FrankRuehl"/>
          <w:rtl/>
          <w:lang w:eastAsia="en-US"/>
        </w:rPr>
        <w:t xml:space="preserve"> 4; פ"ע ו </w:t>
      </w:r>
      <w:r>
        <w:rPr>
          <w:rFonts w:cs="FrankRuehl"/>
          <w:lang w:eastAsia="en-US"/>
        </w:rPr>
        <w:t>.382</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2</w:t>
      </w:r>
      <w:r>
        <w:rPr>
          <w:rFonts w:cs="FrankRuehl"/>
          <w:rtl/>
          <w:lang w:eastAsia="en-US"/>
        </w:rPr>
        <w:t xml:space="preserve">] </w:t>
      </w:r>
      <w:hyperlink r:id="rId33" w:history="1">
        <w:r w:rsidR="008A352E" w:rsidRPr="00ED73FF">
          <w:rPr>
            <w:rStyle w:val="Hyperlink"/>
            <w:rFonts w:cs="FrankRuehl"/>
            <w:rtl/>
            <w:lang w:eastAsia="en-US"/>
          </w:rPr>
          <w:t>ע"א 566/77 דיקר נ' מוך ואח’,  פ"ד לב</w:t>
        </w:r>
      </w:hyperlink>
      <w:r>
        <w:rPr>
          <w:rFonts w:cs="FrankRuehl"/>
          <w:rtl/>
          <w:lang w:eastAsia="en-US"/>
        </w:rPr>
        <w:t xml:space="preserve">(2) </w:t>
      </w:r>
      <w:r>
        <w:rPr>
          <w:rFonts w:cs="FrankRuehl"/>
          <w:lang w:eastAsia="en-US"/>
        </w:rPr>
        <w:t>.141</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3</w:t>
      </w:r>
      <w:r>
        <w:rPr>
          <w:rFonts w:cs="FrankRuehl"/>
          <w:rtl/>
          <w:lang w:eastAsia="en-US"/>
        </w:rPr>
        <w:t xml:space="preserve">] </w:t>
      </w:r>
      <w:hyperlink r:id="rId34" w:history="1">
        <w:r w:rsidR="008A352E" w:rsidRPr="00ED73FF">
          <w:rPr>
            <w:rStyle w:val="Hyperlink"/>
            <w:rFonts w:cs="FrankRuehl"/>
            <w:rtl/>
            <w:lang w:eastAsia="en-US"/>
          </w:rPr>
          <w:t>ע"א 148/77 ש' רוט ואח' נ' ישופה (בניה) בע"מ, פ"ד לג</w:t>
        </w:r>
      </w:hyperlink>
      <w:r>
        <w:rPr>
          <w:rFonts w:cs="FrankRuehl"/>
          <w:rtl/>
          <w:lang w:eastAsia="en-US"/>
        </w:rPr>
        <w:t xml:space="preserve">(1) </w:t>
      </w:r>
      <w:r>
        <w:rPr>
          <w:rFonts w:cs="FrankRuehl"/>
          <w:lang w:eastAsia="en-US"/>
        </w:rPr>
        <w:t>.617</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4</w:t>
      </w:r>
      <w:r>
        <w:rPr>
          <w:rFonts w:cs="FrankRuehl"/>
          <w:rtl/>
          <w:lang w:eastAsia="en-US"/>
        </w:rPr>
        <w:t xml:space="preserve">] </w:t>
      </w:r>
      <w:hyperlink r:id="rId35" w:history="1">
        <w:r w:rsidR="008A352E" w:rsidRPr="00ED73FF">
          <w:rPr>
            <w:rStyle w:val="Hyperlink"/>
            <w:rFonts w:cs="FrankRuehl"/>
            <w:rtl/>
            <w:lang w:eastAsia="en-US"/>
          </w:rPr>
          <w:t>ע"פ 89/78 אפנג'ר נ' מדינת ישראל, פ"ד לג</w:t>
        </w:r>
      </w:hyperlink>
      <w:r>
        <w:rPr>
          <w:rFonts w:cs="FrankRuehl"/>
          <w:rtl/>
          <w:lang w:eastAsia="en-US"/>
        </w:rPr>
        <w:t xml:space="preserve">(3) </w:t>
      </w:r>
      <w:r>
        <w:rPr>
          <w:rFonts w:cs="FrankRuehl"/>
          <w:lang w:eastAsia="en-US"/>
        </w:rPr>
        <w:t>.141</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5</w:t>
      </w:r>
      <w:r>
        <w:rPr>
          <w:rFonts w:cs="FrankRuehl"/>
          <w:rtl/>
          <w:lang w:eastAsia="en-US"/>
        </w:rPr>
        <w:t xml:space="preserve">] </w:t>
      </w:r>
      <w:hyperlink r:id="rId36" w:history="1">
        <w:r w:rsidR="008A352E" w:rsidRPr="00ED73FF">
          <w:rPr>
            <w:rStyle w:val="Hyperlink"/>
            <w:rFonts w:cs="FrankRuehl"/>
            <w:rtl/>
            <w:lang w:eastAsia="en-US"/>
          </w:rPr>
          <w:t>ע"א 86/76 "עמידר" בע"מ נ' אהרן, פ"ד לב</w:t>
        </w:r>
      </w:hyperlink>
      <w:r>
        <w:rPr>
          <w:rFonts w:cs="FrankRuehl"/>
          <w:rtl/>
          <w:lang w:eastAsia="en-US"/>
        </w:rPr>
        <w:t xml:space="preserve">(2) </w:t>
      </w:r>
      <w:r>
        <w:rPr>
          <w:rFonts w:cs="FrankRuehl"/>
          <w:lang w:eastAsia="en-US"/>
        </w:rPr>
        <w:t>.337</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6</w:t>
      </w:r>
      <w:r>
        <w:rPr>
          <w:rFonts w:cs="FrankRuehl"/>
          <w:rtl/>
          <w:lang w:eastAsia="en-US"/>
        </w:rPr>
        <w:t xml:space="preserve">] </w:t>
      </w:r>
      <w:hyperlink r:id="rId37" w:history="1">
        <w:r w:rsidR="008A352E" w:rsidRPr="00ED73FF">
          <w:rPr>
            <w:rStyle w:val="Hyperlink"/>
            <w:rFonts w:cs="FrankRuehl"/>
            <w:rtl/>
            <w:lang w:eastAsia="en-US"/>
          </w:rPr>
          <w:t>ע"א 604/77 מוברמן נ' סגל וערעור שכנגד, פ"ד לב</w:t>
        </w:r>
      </w:hyperlink>
      <w:r>
        <w:rPr>
          <w:rFonts w:cs="FrankRuehl"/>
          <w:rtl/>
          <w:lang w:eastAsia="en-US"/>
        </w:rPr>
        <w:t xml:space="preserve">(3) </w:t>
      </w:r>
      <w:r>
        <w:rPr>
          <w:rFonts w:cs="FrankRuehl"/>
          <w:lang w:eastAsia="en-US"/>
        </w:rPr>
        <w:t>.85</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7</w:t>
      </w:r>
      <w:r>
        <w:rPr>
          <w:rFonts w:cs="FrankRuehl"/>
          <w:rtl/>
          <w:lang w:eastAsia="en-US"/>
        </w:rPr>
        <w:t xml:space="preserve">] </w:t>
      </w:r>
      <w:hyperlink r:id="rId38" w:history="1">
        <w:r w:rsidR="008A352E" w:rsidRPr="00ED73FF">
          <w:rPr>
            <w:rStyle w:val="Hyperlink"/>
            <w:rFonts w:cs="FrankRuehl"/>
            <w:rtl/>
            <w:lang w:eastAsia="en-US"/>
          </w:rPr>
          <w:t>ע"א 311/78 הווארד נ' נ' מיארה ואח’,  פ"ד לה</w:t>
        </w:r>
      </w:hyperlink>
      <w:r>
        <w:rPr>
          <w:rFonts w:cs="FrankRuehl"/>
          <w:rtl/>
          <w:lang w:eastAsia="en-US"/>
        </w:rPr>
        <w:t xml:space="preserve">(2) </w:t>
      </w:r>
      <w:r>
        <w:rPr>
          <w:rFonts w:cs="FrankRuehl"/>
          <w:lang w:eastAsia="en-US"/>
        </w:rPr>
        <w:t>.505</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8</w:t>
      </w:r>
      <w:r>
        <w:rPr>
          <w:rFonts w:cs="FrankRuehl"/>
          <w:rtl/>
          <w:lang w:eastAsia="en-US"/>
        </w:rPr>
        <w:t xml:space="preserve">] </w:t>
      </w:r>
      <w:hyperlink r:id="rId39" w:history="1">
        <w:r w:rsidR="008A352E" w:rsidRPr="00ED73FF">
          <w:rPr>
            <w:rStyle w:val="Hyperlink"/>
            <w:rFonts w:cs="FrankRuehl"/>
            <w:rtl/>
            <w:lang w:eastAsia="en-US"/>
          </w:rPr>
          <w:t>ע"א 191/51 ל' סקורניק נ' מ' סקורניק, פ"ד ח</w:t>
        </w:r>
      </w:hyperlink>
      <w:r>
        <w:rPr>
          <w:rFonts w:cs="FrankRuehl"/>
          <w:rtl/>
          <w:lang w:eastAsia="en-US"/>
        </w:rPr>
        <w:t xml:space="preserve"> </w:t>
      </w:r>
      <w:r>
        <w:rPr>
          <w:rFonts w:cs="FrankRuehl"/>
          <w:lang w:eastAsia="en-US"/>
        </w:rPr>
        <w:t>141</w:t>
      </w:r>
      <w:r>
        <w:rPr>
          <w:rFonts w:cs="FrankRuehl"/>
          <w:rtl/>
          <w:lang w:eastAsia="en-US"/>
        </w:rPr>
        <w:t xml:space="preserve">; פ"ע יד </w:t>
      </w:r>
      <w:r>
        <w:rPr>
          <w:rFonts w:cs="FrankRuehl"/>
          <w:lang w:eastAsia="en-US"/>
        </w:rPr>
        <w:t>.389</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lang w:eastAsia="en-US"/>
        </w:rPr>
      </w:pPr>
      <w:r>
        <w:rPr>
          <w:rFonts w:cs="FrankRuehl"/>
          <w:rtl/>
          <w:lang w:eastAsia="en-US"/>
        </w:rPr>
        <w:t>[</w:t>
      </w:r>
      <w:r>
        <w:rPr>
          <w:rFonts w:cs="FrankRuehl"/>
          <w:lang w:eastAsia="en-US"/>
        </w:rPr>
        <w:t>9</w:t>
      </w:r>
      <w:r>
        <w:rPr>
          <w:rFonts w:cs="FrankRuehl"/>
          <w:rtl/>
          <w:lang w:eastAsia="en-US"/>
        </w:rPr>
        <w:t xml:space="preserve">] </w:t>
      </w:r>
      <w:hyperlink r:id="rId40" w:history="1">
        <w:r w:rsidR="008A352E" w:rsidRPr="00ED73FF">
          <w:rPr>
            <w:rStyle w:val="Hyperlink"/>
            <w:rFonts w:cs="FrankRuehl"/>
            <w:rtl/>
            <w:lang w:eastAsia="en-US"/>
          </w:rPr>
          <w:t>בג"צ 59/80</w:t>
        </w:r>
      </w:hyperlink>
      <w:r>
        <w:rPr>
          <w:rFonts w:cs="FrankRuehl"/>
          <w:rtl/>
          <w:lang w:eastAsia="en-US"/>
        </w:rPr>
        <w:t xml:space="preserve"> שירותי תחבורה ציבוריים באר-שבע בע"מ ואח' נ' בית הדין הארצי לעבודה בירושלים ואח’,  פ"ד לה(1) </w:t>
      </w:r>
      <w:r>
        <w:rPr>
          <w:rFonts w:cs="FrankRuehl"/>
          <w:lang w:eastAsia="en-US"/>
        </w:rPr>
        <w:t>.828</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מקורות המשפט העברי שאוזכרו</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 xml:space="preserve">[א] תוספתא (צוקרמנדל), עדיות, א, ד, </w:t>
      </w:r>
      <w:r>
        <w:rPr>
          <w:rFonts w:cs="FrankRuehl"/>
          <w:lang w:eastAsia="en-US"/>
        </w:rPr>
        <w:t>.455</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[ב] משנה, עדיות, א,ה</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[ג] ראב"ד, משנה, עדיות, א, ה</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[ד] הר"ש משאנץ, משנה, עדיות, א, ה</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rtl/>
          <w:lang w:eastAsia="en-US"/>
        </w:rPr>
        <w:t>הערות</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lang w:eastAsia="en-US"/>
        </w:rPr>
        <w:t>.1</w:t>
      </w:r>
      <w:r>
        <w:rPr>
          <w:rFonts w:cs="FrankRuehl"/>
          <w:rtl/>
          <w:lang w:eastAsia="en-US"/>
        </w:rPr>
        <w:t>לדיני השבת אבידה ראה: י' פרידמן, "מציאות ברשות הרבים" דיני ישראל ו</w:t>
      </w:r>
      <w:r>
        <w:rPr>
          <w:rFonts w:cs="FrankRuehl"/>
          <w:lang w:eastAsia="en-US"/>
        </w:rPr>
        <w:t xml:space="preserve"> </w:t>
      </w:r>
      <w:r>
        <w:rPr>
          <w:rFonts w:cs="FrankRuehl"/>
          <w:rtl/>
          <w:lang w:eastAsia="en-US"/>
        </w:rPr>
        <w:t xml:space="preserve">(תשל"ה) </w:t>
      </w:r>
      <w:r>
        <w:rPr>
          <w:rFonts w:cs="FrankRuehl"/>
          <w:lang w:eastAsia="en-US"/>
        </w:rPr>
        <w:t>169</w:t>
      </w:r>
      <w:r>
        <w:rPr>
          <w:rFonts w:cs="FrankRuehl"/>
          <w:rtl/>
          <w:lang w:eastAsia="en-US"/>
        </w:rPr>
        <w:t>; מ' פינשטיין ואח’</w:t>
      </w:r>
      <w:proofErr w:type="gramStart"/>
      <w:r>
        <w:rPr>
          <w:rFonts w:cs="FrankRuehl"/>
          <w:rtl/>
          <w:lang w:eastAsia="en-US"/>
        </w:rPr>
        <w:t>,  "</w:t>
      </w:r>
      <w:proofErr w:type="gramEnd"/>
      <w:r>
        <w:rPr>
          <w:rFonts w:cs="FrankRuehl"/>
          <w:rtl/>
          <w:lang w:eastAsia="en-US"/>
        </w:rPr>
        <w:t>מציאה בחדר הכספת של בנק" נועם כא (תשל"ט) כח-מא</w:t>
      </w:r>
      <w:r>
        <w:rPr>
          <w:rFonts w:cs="FrankRuehl"/>
          <w:lang w:eastAsia="en-US"/>
        </w:rPr>
        <w:t>.</w:t>
      </w:r>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proofErr w:type="gramStart"/>
      <w:r>
        <w:rPr>
          <w:rFonts w:cs="FrankRuehl"/>
          <w:lang w:eastAsia="en-US"/>
        </w:rPr>
        <w:t>.2</w:t>
      </w:r>
      <w:r>
        <w:rPr>
          <w:rFonts w:cs="FrankRuehl"/>
          <w:rtl/>
          <w:lang w:eastAsia="en-US"/>
        </w:rPr>
        <w:t xml:space="preserve">למעמדו של המשפט העברי בדין הישראלי ראה: מ' </w:t>
      </w:r>
      <w:hyperlink r:id="rId41" w:history="1">
        <w:r w:rsidR="00ED73FF" w:rsidRPr="00ED73FF">
          <w:rPr>
            <w:rStyle w:val="Hyperlink"/>
            <w:rFonts w:cs="FrankRuehl"/>
            <w:rtl/>
            <w:lang w:eastAsia="en-US"/>
          </w:rPr>
          <w:t xml:space="preserve">אלון, "המשפט העברי במשפט המדינה </w:t>
        </w:r>
      </w:hyperlink>
      <w:r>
        <w:rPr>
          <w:rFonts w:cs="FrankRuehl"/>
          <w:rtl/>
          <w:lang w:eastAsia="en-US"/>
        </w:rPr>
        <w:t xml:space="preserve"> - על המצוי ועל הרצוי" הפרקליט כה (תשכ"ח-תשכ"ט) </w:t>
      </w:r>
      <w:r>
        <w:rPr>
          <w:rFonts w:cs="FrankRuehl"/>
          <w:lang w:eastAsia="en-US"/>
        </w:rPr>
        <w:t>27</w:t>
      </w:r>
      <w:r>
        <w:rPr>
          <w:rFonts w:cs="FrankRuehl"/>
          <w:rtl/>
          <w:lang w:eastAsia="en-US"/>
        </w:rPr>
        <w:t xml:space="preserve">; ש' מירון, "הפסיקה במדינת ישראל על פי המשפט העברי" דיני ישראל ה (תשל"ד) </w:t>
      </w:r>
      <w:r>
        <w:rPr>
          <w:rFonts w:cs="FrankRuehl"/>
          <w:lang w:eastAsia="en-US"/>
        </w:rPr>
        <w:t>229</w:t>
      </w:r>
      <w:r>
        <w:rPr>
          <w:rFonts w:cs="FrankRuehl"/>
          <w:rtl/>
          <w:lang w:eastAsia="en-US"/>
        </w:rPr>
        <w:t xml:space="preserve">; י' </w:t>
      </w:r>
      <w:hyperlink r:id="rId42" w:history="1">
        <w:r w:rsidR="00ED73FF" w:rsidRPr="00ED73FF">
          <w:rPr>
            <w:rStyle w:val="Hyperlink"/>
            <w:rFonts w:cs="FrankRuehl"/>
            <w:rtl/>
            <w:lang w:eastAsia="en-US"/>
          </w:rPr>
          <w:t xml:space="preserve">אנגלרד, "מחקר המשפט העברי - </w:t>
        </w:r>
      </w:hyperlink>
      <w:r w:rsidR="008A352E" w:rsidRPr="00ED73FF">
        <w:rPr>
          <w:rFonts w:cs="FrankRuehl"/>
          <w:color w:val="000000"/>
          <w:rtl/>
          <w:lang w:eastAsia="en-US"/>
        </w:rPr>
        <w:t xml:space="preserve"> מהותו ומטרותיו" משפטים ז (תשל"ו-ת</w:t>
      </w:r>
      <w:r>
        <w:rPr>
          <w:rFonts w:cs="FrankRuehl"/>
          <w:rtl/>
          <w:lang w:eastAsia="en-US"/>
        </w:rPr>
        <w:t xml:space="preserve">של"ז) </w:t>
      </w:r>
      <w:r>
        <w:rPr>
          <w:rFonts w:cs="FrankRuehl"/>
          <w:lang w:eastAsia="en-US"/>
        </w:rPr>
        <w:t>34</w:t>
      </w:r>
      <w:r>
        <w:rPr>
          <w:rFonts w:cs="FrankRuehl"/>
          <w:rtl/>
          <w:lang w:eastAsia="en-US"/>
        </w:rPr>
        <w:t xml:space="preserve">; מ' אלון "עוד לענין מחקרו של המשפט העברי" משפטים ח (תשל"ז-תשל"ח) </w:t>
      </w:r>
      <w:r>
        <w:rPr>
          <w:rFonts w:cs="FrankRuehl"/>
          <w:lang w:eastAsia="en-US"/>
        </w:rPr>
        <w:t>.99</w:t>
      </w:r>
      <w:proofErr w:type="gramEnd"/>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proofErr w:type="gramStart"/>
      <w:r>
        <w:rPr>
          <w:rFonts w:cs="FrankRuehl"/>
          <w:lang w:eastAsia="en-US"/>
        </w:rPr>
        <w:t>.3</w:t>
      </w:r>
      <w:r>
        <w:rPr>
          <w:rFonts w:cs="FrankRuehl"/>
          <w:rtl/>
          <w:lang w:eastAsia="en-US"/>
        </w:rPr>
        <w:t>לבעיית "השטח הריק" בחקיקה הישראלית החדשה ראה: ד' פרידמן, "ההוראה בדבר</w:t>
      </w:r>
      <w:r>
        <w:rPr>
          <w:rFonts w:cs="FrankRuehl"/>
          <w:lang w:eastAsia="en-US"/>
        </w:rPr>
        <w:t xml:space="preserve"> '</w:t>
      </w:r>
      <w:r>
        <w:rPr>
          <w:rFonts w:cs="FrankRuehl"/>
          <w:rtl/>
          <w:lang w:eastAsia="en-US"/>
        </w:rPr>
        <w:t xml:space="preserve">עצמאות החוק', ובעית הלאקונה בחקיקה הישראלית החדשה" משפטים ה (תשל"ג-תשל"ד) </w:t>
      </w:r>
      <w:r>
        <w:rPr>
          <w:rFonts w:cs="FrankRuehl"/>
          <w:lang w:eastAsia="en-US"/>
        </w:rPr>
        <w:t>91</w:t>
      </w:r>
      <w:r>
        <w:rPr>
          <w:rFonts w:cs="FrankRuehl"/>
          <w:rtl/>
          <w:lang w:eastAsia="en-US"/>
        </w:rPr>
        <w:t xml:space="preserve">; א' </w:t>
      </w:r>
      <w:hyperlink r:id="rId43" w:history="1">
        <w:r w:rsidR="00ED73FF" w:rsidRPr="00ED73FF">
          <w:rPr>
            <w:rStyle w:val="Hyperlink"/>
            <w:rFonts w:cs="FrankRuehl"/>
            <w:rtl/>
            <w:lang w:eastAsia="en-US"/>
          </w:rPr>
          <w:t xml:space="preserve">ברק, "ההוראה בדבר עצמאות החוק </w:t>
        </w:r>
      </w:hyperlink>
      <w:r>
        <w:rPr>
          <w:rFonts w:cs="FrankRuehl"/>
          <w:rtl/>
          <w:lang w:eastAsia="en-US"/>
        </w:rPr>
        <w:t xml:space="preserve"> ובעית הלאקונה בחקיקה הישראלית החדשה: תשובה לפרופ' פרידמן" משפטים ה (תשל"ג-תשל"ד) </w:t>
      </w:r>
      <w:r>
        <w:rPr>
          <w:rFonts w:cs="FrankRuehl"/>
          <w:lang w:eastAsia="en-US"/>
        </w:rPr>
        <w:t>99</w:t>
      </w:r>
      <w:r>
        <w:rPr>
          <w:rFonts w:cs="FrankRuehl"/>
          <w:rtl/>
          <w:lang w:eastAsia="en-US"/>
        </w:rPr>
        <w:t xml:space="preserve">; ד' </w:t>
      </w:r>
      <w:hyperlink r:id="rId44" w:history="1">
        <w:r w:rsidR="00ED73FF" w:rsidRPr="00ED73FF">
          <w:rPr>
            <w:rStyle w:val="Hyperlink"/>
            <w:rFonts w:cs="FrankRuehl"/>
            <w:rtl/>
            <w:lang w:eastAsia="en-US"/>
          </w:rPr>
          <w:t xml:space="preserve">פרידמן "עוד הערה לענין ההוראות </w:t>
        </w:r>
      </w:hyperlink>
      <w:r>
        <w:rPr>
          <w:rFonts w:cs="FrankRuehl"/>
          <w:rtl/>
          <w:lang w:eastAsia="en-US"/>
        </w:rPr>
        <w:t xml:space="preserve"> בדבר עצמאות החוק אשר בחקיקה הישראלית החדשה" משפטים ה (תשל"ג-תשל"ד) </w:t>
      </w:r>
      <w:r>
        <w:rPr>
          <w:rFonts w:cs="FrankRuehl"/>
          <w:lang w:eastAsia="en-US"/>
        </w:rPr>
        <w:t>349</w:t>
      </w:r>
      <w:r>
        <w:rPr>
          <w:rFonts w:cs="FrankRuehl"/>
          <w:rtl/>
          <w:lang w:eastAsia="en-US"/>
        </w:rPr>
        <w:t xml:space="preserve">; א' </w:t>
      </w:r>
      <w:hyperlink r:id="rId45" w:history="1">
        <w:r w:rsidR="00ED73FF" w:rsidRPr="00ED73FF">
          <w:rPr>
            <w:rStyle w:val="Hyperlink"/>
            <w:rFonts w:cs="FrankRuehl"/>
            <w:rtl/>
            <w:lang w:eastAsia="en-US"/>
          </w:rPr>
          <w:t xml:space="preserve">ברק, "עצמאותה של הקודיפיקציה האזרחית </w:t>
        </w:r>
      </w:hyperlink>
      <w:r>
        <w:rPr>
          <w:rFonts w:cs="FrankRuehl"/>
          <w:rtl/>
          <w:lang w:eastAsia="en-US"/>
        </w:rPr>
        <w:t xml:space="preserve"> החדשה: סיכונים וסיכויים" משפטים ז (תשל"ו-תשל"ז) </w:t>
      </w:r>
      <w:r>
        <w:rPr>
          <w:rFonts w:cs="FrankRuehl"/>
          <w:lang w:eastAsia="en-US"/>
        </w:rPr>
        <w:t>15</w:t>
      </w:r>
      <w:r>
        <w:rPr>
          <w:rFonts w:cs="FrankRuehl"/>
          <w:rtl/>
          <w:lang w:eastAsia="en-US"/>
        </w:rPr>
        <w:t xml:space="preserve">; ג' </w:t>
      </w:r>
      <w:hyperlink r:id="rId46" w:history="1">
        <w:r w:rsidR="00ED73FF" w:rsidRPr="00ED73FF">
          <w:rPr>
            <w:rStyle w:val="Hyperlink"/>
            <w:rFonts w:cs="FrankRuehl"/>
            <w:rtl/>
            <w:lang w:eastAsia="en-US"/>
          </w:rPr>
          <w:t xml:space="preserve">טדסקי, "ביטול ס' 46לדבה"מ </w:t>
        </w:r>
      </w:hyperlink>
      <w:r>
        <w:rPr>
          <w:rFonts w:cs="FrankRuehl"/>
          <w:rtl/>
          <w:lang w:eastAsia="en-US"/>
        </w:rPr>
        <w:t xml:space="preserve"> וכוח פעולתו" משפטים ח (תשל"ז-תשל"ח) </w:t>
      </w:r>
      <w:r>
        <w:rPr>
          <w:rFonts w:cs="FrankRuehl"/>
          <w:lang w:eastAsia="en-US"/>
        </w:rPr>
        <w:t>.180</w:t>
      </w:r>
      <w:proofErr w:type="gramEnd"/>
    </w:p>
    <w:p w:rsidR="00C27A1E" w:rsidRDefault="00C27A1E">
      <w:pPr>
        <w:tabs>
          <w:tab w:val="left" w:pos="288"/>
          <w:tab w:val="left" w:pos="864"/>
          <w:tab w:val="left" w:pos="1008"/>
        </w:tabs>
        <w:autoSpaceDE w:val="0"/>
        <w:autoSpaceDN w:val="0"/>
        <w:bidi/>
        <w:adjustRightInd w:val="0"/>
        <w:spacing w:after="80" w:line="260" w:lineRule="exact"/>
        <w:jc w:val="both"/>
        <w:rPr>
          <w:rFonts w:cs="FrankRuehl"/>
          <w:rtl/>
          <w:lang w:eastAsia="en-US"/>
        </w:rPr>
      </w:pPr>
      <w:r>
        <w:rPr>
          <w:rFonts w:cs="FrankRuehl"/>
          <w:lang w:eastAsia="en-US"/>
        </w:rPr>
        <w:t>.4</w:t>
      </w:r>
      <w:r>
        <w:rPr>
          <w:rFonts w:cs="FrankRuehl"/>
          <w:rtl/>
          <w:lang w:eastAsia="en-US"/>
        </w:rPr>
        <w:t xml:space="preserve">לפרשנות חוקים ראה: א' </w:t>
      </w:r>
      <w:hyperlink r:id="rId47" w:history="1">
        <w:r w:rsidR="00ED73FF" w:rsidRPr="00ED73FF">
          <w:rPr>
            <w:rStyle w:val="Hyperlink"/>
            <w:rFonts w:cs="FrankRuehl"/>
            <w:rtl/>
            <w:lang w:eastAsia="en-US"/>
          </w:rPr>
          <w:t xml:space="preserve">ידין "ושוב על פירוש חוקי </w:t>
        </w:r>
      </w:hyperlink>
      <w:r w:rsidR="008A352E" w:rsidRPr="00ED73FF">
        <w:rPr>
          <w:rFonts w:cs="FrankRuehl"/>
          <w:color w:val="000000"/>
          <w:rtl/>
          <w:lang w:eastAsia="en-US"/>
        </w:rPr>
        <w:t xml:space="preserve"> הכנסת" הפרקליט כו (תש"ל) 190ו-358; א' </w:t>
      </w:r>
      <w:hyperlink r:id="rId48" w:history="1">
        <w:r w:rsidR="00ED73FF" w:rsidRPr="00ED73FF">
          <w:rPr>
            <w:rStyle w:val="Hyperlink"/>
            <w:rFonts w:cs="FrankRuehl"/>
            <w:rtl/>
            <w:lang w:eastAsia="en-US"/>
          </w:rPr>
          <w:t xml:space="preserve">ידין, "על פירוש חוקי הכנסת </w:t>
        </w:r>
      </w:hyperlink>
      <w:r>
        <w:rPr>
          <w:rFonts w:cs="FrankRuehl"/>
          <w:rtl/>
          <w:lang w:eastAsia="en-US"/>
        </w:rPr>
        <w:t xml:space="preserve"> - ברביעית" הפרקליט לא (תשל"ז-תשל"ח) </w:t>
      </w:r>
      <w:r>
        <w:rPr>
          <w:rFonts w:cs="FrankRuehl"/>
          <w:lang w:eastAsia="en-US"/>
        </w:rPr>
        <w:t>395</w:t>
      </w:r>
      <w:r>
        <w:rPr>
          <w:rFonts w:cs="FrankRuehl"/>
          <w:rtl/>
          <w:lang w:eastAsia="en-US"/>
        </w:rPr>
        <w:t xml:space="preserve">; ד' </w:t>
      </w:r>
      <w:hyperlink r:id="rId49" w:history="1">
        <w:r w:rsidR="00ED73FF" w:rsidRPr="00ED73FF">
          <w:rPr>
            <w:rStyle w:val="Hyperlink"/>
            <w:rFonts w:cs="FrankRuehl"/>
            <w:rtl/>
            <w:lang w:eastAsia="en-US"/>
          </w:rPr>
          <w:t xml:space="preserve">פרידמן, "עוד לפרשנות החקיקה הישראלית </w:t>
        </w:r>
      </w:hyperlink>
      <w:r>
        <w:rPr>
          <w:rFonts w:cs="FrankRuehl"/>
          <w:rtl/>
          <w:lang w:eastAsia="en-US"/>
        </w:rPr>
        <w:t xml:space="preserve"> החדשה" עיוני משפט ה (תשל"ו- תשל"ז) </w:t>
      </w:r>
      <w:r>
        <w:rPr>
          <w:rFonts w:cs="FrankRuehl"/>
          <w:lang w:eastAsia="en-US"/>
        </w:rPr>
        <w:t>.463</w:t>
      </w:r>
    </w:p>
    <w:p w:rsidR="00C27A1E" w:rsidRDefault="00C27A1E">
      <w:pPr>
        <w:tabs>
          <w:tab w:val="left" w:pos="288"/>
          <w:tab w:val="left" w:pos="720"/>
          <w:tab w:val="left" w:pos="1008"/>
          <w:tab w:val="left" w:pos="4896"/>
        </w:tabs>
        <w:autoSpaceDE w:val="0"/>
        <w:autoSpaceDN w:val="0"/>
        <w:bidi/>
        <w:adjustRightInd w:val="0"/>
        <w:spacing w:after="80" w:line="260" w:lineRule="exact"/>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 xml:space="preserve">דיון נוסף בעניין, שפסק בו בית המשפט העליון בשלושה (מ"מ הנשיא מ' לנדוי והשופטים מ' אלון, א' ברק) ביום </w:t>
      </w:r>
      <w:r>
        <w:rPr>
          <w:rFonts w:cs="FrankRuehl"/>
          <w:lang w:eastAsia="en-US"/>
        </w:rPr>
        <w:t>17.2.80</w:t>
      </w:r>
      <w:r>
        <w:rPr>
          <w:rFonts w:cs="FrankRuehl"/>
          <w:rtl/>
          <w:lang w:eastAsia="en-US"/>
        </w:rPr>
        <w:t xml:space="preserve">בע"א </w:t>
      </w:r>
      <w:r>
        <w:rPr>
          <w:rFonts w:cs="FrankRuehl"/>
          <w:lang w:eastAsia="en-US"/>
        </w:rPr>
        <w:t>546/78</w:t>
      </w:r>
      <w:r>
        <w:rPr>
          <w:rFonts w:cs="FrankRuehl"/>
          <w:rtl/>
          <w:lang w:eastAsia="en-US"/>
        </w:rPr>
        <w:t>*. העתירה נדחתה ברוב דעות נגד דעתו החולקת של השופט מ' אלון</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jc w:val="both"/>
        <w:rPr>
          <w:rFonts w:cs="FrankRuehl"/>
          <w:rtl/>
          <w:lang w:eastAsia="en-US"/>
        </w:rPr>
      </w:pPr>
      <w:bookmarkStart w:id="6" w:name="FirstLawyer"/>
    </w:p>
    <w:bookmarkEnd w:id="6"/>
    <w:p w:rsidR="00C27A1E" w:rsidRDefault="00C27A1E">
      <w:pPr>
        <w:tabs>
          <w:tab w:val="left" w:pos="288"/>
          <w:tab w:val="left" w:pos="720"/>
          <w:tab w:val="left" w:pos="1008"/>
          <w:tab w:val="left" w:pos="4896"/>
        </w:tabs>
        <w:autoSpaceDE w:val="0"/>
        <w:autoSpaceDN w:val="0"/>
        <w:bidi/>
        <w:adjustRightInd w:val="0"/>
        <w:spacing w:after="80" w:line="260" w:lineRule="exact"/>
        <w:jc w:val="both"/>
        <w:rPr>
          <w:rFonts w:cs="FrankRuehl"/>
          <w:rtl/>
          <w:lang w:eastAsia="en-US"/>
        </w:rPr>
      </w:pPr>
      <w:r>
        <w:rPr>
          <w:rFonts w:cs="FrankRuehl"/>
          <w:rtl/>
          <w:lang w:eastAsia="en-US"/>
        </w:rPr>
        <w:t>ש' שרשבסקי - בשם העותר</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jc w:val="both"/>
        <w:rPr>
          <w:rFonts w:cs="FrankRuehl"/>
          <w:lang w:eastAsia="en-US"/>
        </w:rPr>
      </w:pPr>
      <w:r>
        <w:rPr>
          <w:rFonts w:cs="FrankRuehl"/>
          <w:rtl/>
          <w:lang w:eastAsia="en-US"/>
        </w:rPr>
        <w:t xml:space="preserve">ש' ברוש - בשם המשיב </w:t>
      </w:r>
      <w:r>
        <w:rPr>
          <w:rFonts w:cs="FrankRuehl"/>
          <w:lang w:eastAsia="en-US"/>
        </w:rPr>
        <w:t>.1</w:t>
      </w:r>
    </w:p>
    <w:p w:rsidR="00C27A1E" w:rsidRDefault="00C27A1E">
      <w:pPr>
        <w:tabs>
          <w:tab w:val="left" w:pos="288"/>
          <w:tab w:val="left" w:pos="720"/>
          <w:tab w:val="left" w:pos="1008"/>
          <w:tab w:val="left" w:pos="4896"/>
        </w:tabs>
        <w:autoSpaceDE w:val="0"/>
        <w:autoSpaceDN w:val="0"/>
        <w:bidi/>
        <w:adjustRightInd w:val="0"/>
        <w:spacing w:after="80" w:line="260" w:lineRule="exact"/>
        <w:jc w:val="center"/>
        <w:rPr>
          <w:rFonts w:cs="FrankRuehl"/>
          <w:bCs/>
          <w:rtl/>
          <w:lang w:eastAsia="en-US"/>
        </w:rPr>
      </w:pPr>
      <w:bookmarkStart w:id="7" w:name="PsakDin"/>
    </w:p>
    <w:p w:rsidR="00C27A1E" w:rsidRDefault="00C27A1E">
      <w:pPr>
        <w:tabs>
          <w:tab w:val="left" w:pos="288"/>
          <w:tab w:val="left" w:pos="720"/>
          <w:tab w:val="left" w:pos="1008"/>
          <w:tab w:val="left" w:pos="4896"/>
        </w:tabs>
        <w:autoSpaceDE w:val="0"/>
        <w:autoSpaceDN w:val="0"/>
        <w:bidi/>
        <w:adjustRightInd w:val="0"/>
        <w:spacing w:after="80" w:line="260" w:lineRule="exact"/>
        <w:jc w:val="center"/>
        <w:rPr>
          <w:rFonts w:cs="FrankRuehl"/>
          <w:bCs/>
          <w:rt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jc w:val="center"/>
        <w:rPr>
          <w:rFonts w:cs="FrankRuehl"/>
          <w:bCs/>
          <w:rtl/>
          <w:lang w:eastAsia="en-US"/>
        </w:rPr>
      </w:pPr>
      <w:r>
        <w:rPr>
          <w:rFonts w:cs="FrankRuehl"/>
          <w:bCs/>
          <w:rtl/>
          <w:lang w:eastAsia="en-US"/>
        </w:rPr>
        <w:t>פסק-דין</w:t>
      </w:r>
    </w:p>
    <w:bookmarkEnd w:id="7"/>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מ"מ הנשיא ח' כהן: בע"א </w:t>
      </w:r>
      <w:r>
        <w:rPr>
          <w:rFonts w:cs="FrankRuehl"/>
          <w:lang w:eastAsia="en-US"/>
        </w:rPr>
        <w:t>546/78</w:t>
      </w:r>
      <w:r>
        <w:rPr>
          <w:rFonts w:cs="FrankRuehl"/>
          <w:rtl/>
          <w:lang w:eastAsia="en-US"/>
        </w:rPr>
        <w:t>* פסק בית-משפט זה ברוב דעות, כי</w:t>
      </w:r>
      <w:r>
        <w:rPr>
          <w:rFonts w:cs="FrankRuehl"/>
          <w:lang w:eastAsia="en-US"/>
        </w:rPr>
        <w:t xml:space="preserve"> </w:t>
      </w:r>
      <w:r>
        <w:rPr>
          <w:rFonts w:cs="FrankRuehl"/>
          <w:rtl/>
          <w:lang w:eastAsia="en-US"/>
        </w:rPr>
        <w:t xml:space="preserve">אבידה, שנמצאה על רצפת חדר הכספות של בנק, היא אבידה, שנמצאה "ברשותו של אדם אחר", כמשמעות דיבור זה בסעיף </w:t>
      </w:r>
      <w:hyperlink r:id="rId50"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ל</w:t>
      </w:r>
      <w:hyperlink r:id="rId51" w:history="1">
        <w:r w:rsidR="000652F4" w:rsidRPr="000652F4">
          <w:rPr>
            <w:rStyle w:val="Hyperlink"/>
            <w:rFonts w:cs="FrankRuehl"/>
            <w:rtl/>
            <w:lang w:eastAsia="en-US"/>
          </w:rPr>
          <w:t>חוק השבת אבידה</w:t>
        </w:r>
      </w:hyperlink>
      <w:r>
        <w:rPr>
          <w:rFonts w:cs="FrankRuehl"/>
          <w:rtl/>
          <w:lang w:eastAsia="en-US"/>
        </w:rPr>
        <w:t>, תשל"ג-</w:t>
      </w:r>
      <w:r>
        <w:rPr>
          <w:rFonts w:cs="FrankRuehl"/>
          <w:lang w:eastAsia="en-US"/>
        </w:rPr>
        <w:t xml:space="preserve"> 1973</w:t>
      </w:r>
      <w:r>
        <w:rPr>
          <w:rFonts w:cs="FrankRuehl"/>
          <w:rtl/>
          <w:lang w:eastAsia="en-US"/>
        </w:rPr>
        <w:t xml:space="preserve">(להלן: החוק). פרשנותו של המונח "רשות" היא שהביאה למחלוקת הפוסקים, והיא שנראתה בעיניי חשובה וסבוכה וחדישה די הצורך לקיים בגינה דיון נוסף זה - להבדילה מן השאלה הנוספת, אשר מעורר העותר לפנינו, והיא, שאפילו נחשב הבנק כבעל הרשות, אין הוא נחשב כמוצא, משום שלא קיבל את האבידה לידו (כאמור בסיפא של סעיף </w:t>
      </w:r>
      <w:hyperlink r:id="rId52" w:history="1">
        <w:r w:rsidR="00463CF5" w:rsidRPr="00463CF5">
          <w:rPr>
            <w:rFonts w:cs="FrankRuehl"/>
            <w:color w:val="0000FF"/>
            <w:u w:val="single"/>
            <w:rtl/>
            <w:lang w:eastAsia="en-US"/>
          </w:rPr>
          <w:t>3</w:t>
        </w:r>
      </w:hyperlink>
      <w:r>
        <w:rPr>
          <w:rFonts w:cs="FrankRuehl"/>
          <w:rtl/>
          <w:lang w:eastAsia="en-US"/>
        </w:rPr>
        <w:t>). לעניין השאלה הנוספת הזאת, נראה לי פשוט, שאין העותר יכול להישמע בטענה, שהוא לא קיים את מצוות החוק ולא מסר את האבידה לידי בעל הרשות לכשנדרש לכך: פשיטא, שאין תובע יכול להיבנות ממעשהו שבניגוד לחוק. וטענת בא-כוח העותר, שלא הייתה כאן "דרישה" כמשמעותה בחוק, אם משום שפקיד הבנק ביקש או הציע אך לא "דרש", ואם משום שהדרישה לא באה מפיהם או מתחת ידיהם של מורשי החתימה מעם הבנק, לא הייתה ראויה להישמע, לא בערכאה הראשונה ובוודאי לא בדיון הנוסף.</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כולי עלמא לא פליגי, שיש לפרש את החוק על-פי לשונו ועל-פי מטרתו; וכולם מודים, שמטרת החוק היא השבת אבידה לבעליה (כפי ששמו מעיד עליו). במאי קא מיפלגי, מה יקדם מטרת ההשבה יותר: השארת האבידה בידי בעל הרשות, או השארתה בידי המוצא. שאם תמצי לומר, שבעל האבידה יחזור על בעל הרשות, משום שיעמידנו בחזקתו שישמור על אבידתו ברשותו, הרי השארתה בידי בעל הרשות עדיפה; ואילו אם בעל האבידה יתייאש מבעל הרשות, משום שרשותו מעין רשות הרבים היא, ואין לו שליטה או ידיעה על העוברים ושבים בה, ייתכן שמן הראוי הוא להעדיף את המוצא על-פני בעל הרשות. מבחינה זו נראית לי גישתו של מ"מ הנשיא לנדוי (כתוארו אז), שאינו דומה האולם הראשי הפתוח לכול של הבנק לחדר הכספות, "שעליו יש לבנק פיקוח מלא ואין הוא פתוח לציבור כולו"**; אם יכול ובעל האבידה יראה באולם הבנק הפתוח לכול מעין רשות הרבים, הרי בחדר הכספות, שהכניסה אליו מוגבלת לשוכרי</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פ"ד </w:t>
      </w:r>
      <w:proofErr w:type="gramStart"/>
      <w:r>
        <w:rPr>
          <w:rFonts w:cs="FrankRuehl"/>
          <w:rtl/>
          <w:lang w:eastAsia="en-US"/>
        </w:rPr>
        <w:t>לד(</w:t>
      </w:r>
      <w:proofErr w:type="gramEnd"/>
      <w:r>
        <w:rPr>
          <w:rFonts w:cs="FrankRuehl"/>
          <w:rtl/>
          <w:lang w:eastAsia="en-US"/>
        </w:rPr>
        <w:t xml:space="preserve">3) </w:t>
      </w:r>
      <w:r>
        <w:rPr>
          <w:rFonts w:cs="FrankRuehl"/>
          <w:lang w:eastAsia="en-US"/>
        </w:rPr>
        <w:t>.57</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 xml:space="preserve">** </w:t>
      </w:r>
      <w:r>
        <w:rPr>
          <w:rFonts w:cs="FrankRuehl"/>
          <w:rtl/>
          <w:lang w:eastAsia="en-US"/>
        </w:rPr>
        <w:t xml:space="preserve">שם, בעמ' </w:t>
      </w:r>
      <w:r>
        <w:rPr>
          <w:rFonts w:cs="FrankRuehl"/>
          <w:lang w:eastAsia="en-US"/>
        </w:rPr>
        <w:t>.87</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הכספות ולמלוויהם בלבד, ועינה של פקידה, הממונה על הכספות פקוחה על כל הנכנסים והיוצאים, יראה אדם סביר רשות-יחיד מובהקת.</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rtl/>
          <w:lang w:eastAsia="en-US"/>
        </w:rPr>
        <w:t xml:space="preserve">ואולם, מוכן אני לצאת מן ההנחה, שלעניין הסיכויים הסבירים להשבת האבידה לבעליה אין נפקא מינה, אם האבידה תישמר בידי בעל הרשות או בידי המוצא או בידי המשטרה (הרשאית, לפי </w:t>
      </w:r>
      <w:hyperlink r:id="rId53" w:history="1">
        <w:r w:rsidR="00463CF5" w:rsidRPr="00463CF5">
          <w:rPr>
            <w:rFonts w:cs="FrankRuehl"/>
            <w:color w:val="0000FF"/>
            <w:u w:val="single"/>
            <w:rtl/>
            <w:lang w:eastAsia="en-US"/>
          </w:rPr>
          <w:t>סעיף 2(ב)</w:t>
        </w:r>
      </w:hyperlink>
      <w:r>
        <w:rPr>
          <w:rFonts w:cs="FrankRuehl"/>
          <w:rtl/>
          <w:lang w:eastAsia="en-US"/>
        </w:rPr>
        <w:t xml:space="preserve"> לחוק, לדרוש מסירת האבידה לרשותה)</w:t>
      </w:r>
      <w:r>
        <w:rPr>
          <w:rFonts w:cs="FrankRuehl"/>
          <w:lang w:eastAsia="en-US"/>
        </w:rPr>
        <w:t xml:space="preserve">: </w:t>
      </w:r>
      <w:r>
        <w:rPr>
          <w:rFonts w:cs="FrankRuehl"/>
          <w:rtl/>
          <w:lang w:eastAsia="en-US"/>
        </w:rPr>
        <w:t>אפילו חזר בעל האבידה על בעל הרשות תחילה, אין להניח, שמשלא מצא מבוקשו אצלו, לא ילך למשטרה לשאול שם. ואפילו לא נמסרה האבידה לרשות המשטרה, קיים סיכוי, כי רשומה שם זהותו של המוצא וכתובתו (</w:t>
      </w:r>
      <w:hyperlink r:id="rId54" w:history="1">
        <w:r w:rsidR="00463CF5" w:rsidRPr="00463CF5">
          <w:rPr>
            <w:rFonts w:cs="FrankRuehl"/>
            <w:color w:val="0000FF"/>
            <w:u w:val="single"/>
            <w:rtl/>
            <w:lang w:eastAsia="en-US"/>
          </w:rPr>
          <w:t>סעיף 2(א)</w:t>
        </w:r>
      </w:hyperlink>
      <w:r>
        <w:rPr>
          <w:rFonts w:cs="FrankRuehl"/>
          <w:rtl/>
          <w:lang w:eastAsia="en-US"/>
        </w:rPr>
        <w:t xml:space="preserve"> לחוק ותקנה </w:t>
      </w:r>
      <w:hyperlink r:id="rId55" w:history="1">
        <w:r w:rsidR="00463CF5" w:rsidRPr="00463CF5">
          <w:rPr>
            <w:rFonts w:cs="FrankRuehl"/>
            <w:color w:val="0000FF"/>
            <w:u w:val="single"/>
            <w:rtl/>
            <w:lang w:eastAsia="en-US"/>
          </w:rPr>
          <w:t>2</w:t>
        </w:r>
      </w:hyperlink>
      <w:r w:rsidR="00463CF5">
        <w:rPr>
          <w:rFonts w:cs="FrankRuehl" w:hint="cs"/>
          <w:rtl/>
          <w:lang w:eastAsia="en-US"/>
        </w:rPr>
        <w:t xml:space="preserve"> </w:t>
      </w:r>
      <w:r>
        <w:rPr>
          <w:rFonts w:cs="FrankRuehl"/>
          <w:rtl/>
          <w:lang w:eastAsia="en-US"/>
        </w:rPr>
        <w:t>ל</w:t>
      </w:r>
      <w:hyperlink r:id="rId56" w:history="1">
        <w:r w:rsidR="000652F4" w:rsidRPr="000652F4">
          <w:rPr>
            <w:rStyle w:val="Hyperlink"/>
            <w:rFonts w:cs="FrankRuehl"/>
            <w:rtl/>
            <w:lang w:eastAsia="en-US"/>
          </w:rPr>
          <w:t>תקנות השבת אבידה</w:t>
        </w:r>
      </w:hyperlink>
      <w:r>
        <w:rPr>
          <w:rFonts w:cs="FrankRuehl"/>
          <w:rtl/>
          <w:lang w:eastAsia="en-US"/>
        </w:rPr>
        <w:t>, תשל"ג-</w:t>
      </w:r>
      <w:r>
        <w:rPr>
          <w:rFonts w:cs="FrankRuehl"/>
          <w:lang w:eastAsia="en-US"/>
        </w:rPr>
        <w:t>1973</w:t>
      </w:r>
      <w:r>
        <w:rPr>
          <w:rFonts w:cs="FrankRuehl"/>
          <w:rtl/>
          <w:lang w:eastAsia="en-US"/>
        </w:rPr>
        <w:t xml:space="preserve">). הדרא קושיא לדוכתה: מי הוא זה ואיזה הוא בעל הרשות, אשר סעיף </w:t>
      </w:r>
      <w:hyperlink r:id="rId57"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לחוק מדבר בו? השופט המלומד בבית המשפט המחוזי ראה במונח "רשות" מונח, שלקח המחוקק</w:t>
      </w:r>
      <w:r>
        <w:rPr>
          <w:rFonts w:cs="FrankRuehl"/>
          <w:lang w:eastAsia="en-US"/>
        </w:rPr>
        <w:t xml:space="preserve"> </w:t>
      </w:r>
      <w:r>
        <w:rPr>
          <w:rFonts w:cs="FrankRuehl"/>
          <w:rtl/>
          <w:lang w:eastAsia="en-US"/>
        </w:rPr>
        <w:t xml:space="preserve">ממקורות המשפט העברי, ועל-כן מונח, אשר צריך להתפרש כפי משמעותו במשפט העברי. אין אני בא לחלוק על הנחת היסוד, שמקום שבחר המחוקק ביטוי או ניב, המיוחדים למשפט העברי, מן הדין הוא לפרשם כמשמעותם (או כאחת המשמעויות) במשפט העברי </w:t>
      </w:r>
      <w:r>
        <w:rPr>
          <w:rFonts w:cs="FrankRuehl"/>
          <w:rtl/>
          <w:lang w:eastAsia="en-US"/>
        </w:rPr>
        <w:softHyphen/>
        <w:t>וכך נהגנו בבית-משפט זה פעמים רבות. אלא חולק אני על ההנחה, שהמונח "רשות" נלקח בידי המחוקק מן המשפט העברי: זהו מונח נפוץ ונדרש בשפתנו המשפטית היומיומית, ואין כל מקום או צורך לפנות אל המשפט העברי כדי לחפשו שם ולשאלו משם. וכבר הפנה השופט חשין ז"ל את תשומת הלב לעובדה, שהמחוקק הישראלי משתמש, מטבע ברייתו, במונחים משפטיים רבים, שלא נפקד מקומם גם במשפט העברי, כמו שטר-חוב, מלווה, שעבוד, שותפות ועוד (</w:t>
      </w:r>
      <w:hyperlink r:id="rId58" w:history="1">
        <w:r w:rsidR="008A352E" w:rsidRPr="00ED73FF">
          <w:rPr>
            <w:rStyle w:val="Hyperlink"/>
            <w:rFonts w:cs="FrankRuehl"/>
            <w:rtl/>
            <w:lang w:eastAsia="en-US"/>
          </w:rPr>
          <w:t>המ' 89/51</w:t>
        </w:r>
      </w:hyperlink>
      <w:r>
        <w:rPr>
          <w:rFonts w:cs="FrankRuehl"/>
          <w:rtl/>
          <w:lang w:eastAsia="en-US"/>
        </w:rPr>
        <w:t xml:space="preserve"> [1]), אך אין בכך כדי להצדיק - ולא כל שכן לחייב - פירושם של מונחים אלה על-פי המשפט העברי</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החוק מתפרש כפי כוונתו המשוערת של המחוקק: גילה המחוקק דעתו, שיש לפרש חוקו</w:t>
      </w:r>
      <w:r>
        <w:rPr>
          <w:rFonts w:cs="FrankRuehl"/>
          <w:lang w:eastAsia="en-US"/>
        </w:rPr>
        <w:t xml:space="preserve"> </w:t>
      </w:r>
      <w:r>
        <w:rPr>
          <w:rFonts w:cs="FrankRuehl"/>
          <w:rtl/>
          <w:lang w:eastAsia="en-US"/>
        </w:rPr>
        <w:t>על-פי המשפט העברי, על-ידי שבחר לו ביטוי או ניב, המיוחדים למשפט העברי</w:t>
      </w:r>
      <w:r>
        <w:rPr>
          <w:rFonts w:cs="FrankRuehl"/>
          <w:lang w:eastAsia="en-US"/>
        </w:rPr>
        <w:t xml:space="preserve"> </w:t>
      </w:r>
      <w:r>
        <w:rPr>
          <w:rFonts w:cs="FrankRuehl"/>
          <w:rtl/>
          <w:lang w:eastAsia="en-US"/>
        </w:rPr>
        <w:t>דווקא, ואשר אינם שגורים על-פיהם של משפטנים דהאידנא, כי אז ישתדל בית המשפט להגשים כוונת המחוקק לדלות דרכי פרשנותו ממקורות המשפט העברי. מה שאין כן כשהמחוקק בחר להשתמש במונחים משפטיים, השגורים בפי כול: כוונתו המשוערת היא, שיש לפרש לשונו פשוטה כמשמעה ועל-פי כללי הפרשנות המקובלים, כפי שהם נהוגים בבתי-משפט אלה מימים ימימה.</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גישה פשוטה זו אינה משתנית גם עם תחילתו של </w:t>
      </w:r>
      <w:hyperlink r:id="rId59" w:history="1">
        <w:r w:rsidR="000652F4" w:rsidRPr="000652F4">
          <w:rPr>
            <w:rStyle w:val="Hyperlink"/>
            <w:rFonts w:cs="FrankRuehl"/>
            <w:rtl/>
            <w:lang w:eastAsia="en-US"/>
          </w:rPr>
          <w:t>חוק יסודות המשפט</w:t>
        </w:r>
      </w:hyperlink>
      <w:r>
        <w:rPr>
          <w:rFonts w:cs="FrankRuehl"/>
          <w:rtl/>
          <w:lang w:eastAsia="en-US"/>
        </w:rPr>
        <w:t>, תש"ם-</w:t>
      </w:r>
      <w:r>
        <w:rPr>
          <w:rFonts w:cs="FrankRuehl"/>
          <w:lang w:eastAsia="en-US"/>
        </w:rPr>
        <w:t>1980</w:t>
      </w:r>
      <w:r>
        <w:rPr>
          <w:rFonts w:cs="FrankRuehl"/>
          <w:rtl/>
          <w:lang w:eastAsia="en-US"/>
        </w:rPr>
        <w:t>; הצורך בזיקה למקורות ממורשת ישראל אינו מתעורר כלל, כל עוד ניתן לחפש ולמצוא תשובה לשאלה הטעונה הכרעה "בדבר חקיקה, בהלכה פסוקה או בדרך של היקש". תחילה עלינו לחפש</w:t>
      </w:r>
      <w:r>
        <w:rPr>
          <w:rFonts w:cs="FrankRuehl"/>
          <w:lang w:eastAsia="en-US"/>
        </w:rPr>
        <w:t xml:space="preserve"> </w:t>
      </w:r>
      <w:r>
        <w:rPr>
          <w:rFonts w:cs="FrankRuehl"/>
          <w:rtl/>
          <w:lang w:eastAsia="en-US"/>
        </w:rPr>
        <w:t>את פתרונות בעיותינו בחוק, ואת החוק עלינו לפרש על-פי כללי הפרשנות, שנקבעו ונשנו בהלכה הפסוקה</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אין זאת אומרת, חלילה, שנגזור על עצמנו הינזרות מן הזיקה למשפט העברי, כל אימת שנוכל להביא מתוכו ראיות לחזק או לסתור או חומר להשוות או להבדיל או</w:t>
      </w:r>
      <w:r>
        <w:rPr>
          <w:rFonts w:cs="FrankRuehl"/>
          <w:lang w:eastAsia="en-US"/>
        </w:rPr>
        <w:t xml:space="preserve"> </w:t>
      </w:r>
      <w:r>
        <w:rPr>
          <w:rFonts w:cs="FrankRuehl"/>
          <w:rtl/>
          <w:lang w:eastAsia="en-US"/>
        </w:rPr>
        <w:t>חכמה</w:t>
      </w:r>
      <w:r>
        <w:rPr>
          <w:rFonts w:cs="FrankRuehl"/>
          <w:lang w:eastAsia="en-US"/>
        </w:rPr>
        <w:t xml:space="preserve"> </w:t>
      </w:r>
      <w:r>
        <w:rPr>
          <w:rFonts w:cs="FrankRuehl"/>
          <w:rtl/>
          <w:lang w:eastAsia="en-US"/>
        </w:rPr>
        <w:t>ותבונה ללמוד מהן מידות טובות. אלא רשות היא ולא חובה, ואם כי המרבה אולי משובח</w:t>
      </w:r>
      <w:r>
        <w:rPr>
          <w:rFonts w:cs="FrankRuehl"/>
          <w:lang w:eastAsia="en-US"/>
        </w:rPr>
        <w:t xml:space="preserve">, </w:t>
      </w:r>
      <w:r>
        <w:rPr>
          <w:rFonts w:cs="FrankRuehl"/>
          <w:rtl/>
          <w:lang w:eastAsia="en-US"/>
        </w:rPr>
        <w:cr/>
      </w:r>
      <w:r>
        <w:rPr>
          <w:rFonts w:cs="FrankRuehl"/>
          <w:rtl/>
          <w:lang w:eastAsia="en-US"/>
        </w:rPr>
        <w:br w:type="page"/>
      </w:r>
      <w:r>
        <w:rPr>
          <w:rFonts w:cs="FrankRuehl"/>
          <w:rtl/>
          <w:lang w:eastAsia="en-US"/>
        </w:rPr>
        <w:lastRenderedPageBreak/>
        <w:t>על כל פנים, אין הממעיט גורע. ויש מן השופטים, שתורת קודמיהם בידיהם</w:t>
      </w:r>
      <w:r>
        <w:rPr>
          <w:rFonts w:cs="FrankRuehl"/>
          <w:lang w:eastAsia="en-US"/>
        </w:rPr>
        <w:t xml:space="preserve"> </w:t>
      </w:r>
      <w:r>
        <w:rPr>
          <w:rFonts w:cs="FrankRuehl"/>
          <w:rtl/>
          <w:lang w:eastAsia="en-US"/>
        </w:rPr>
        <w:t>להירתע ולהתרחק מכל אמרת-אגב, שאינה צריכה לעניין ההכרעה ממש: בשבילם ושכמותם</w:t>
      </w:r>
      <w:r>
        <w:rPr>
          <w:rFonts w:cs="FrankRuehl"/>
          <w:lang w:eastAsia="en-US"/>
        </w:rPr>
        <w:t xml:space="preserve"> </w:t>
      </w:r>
      <w:r>
        <w:rPr>
          <w:rFonts w:cs="FrankRuehl"/>
          <w:rtl/>
          <w:lang w:eastAsia="en-US"/>
        </w:rPr>
        <w:t>כל שעשוע שכזה במשפט העברי פסול בתכלית. ואם כי אין חלקי עמהם, ואין אני מחמיר עם עצמי לעניין אמרות-אגב, על כל פנים, לא אעלים עיניי אף אני, שהמובאות מן המשפט העברי בגדר אמרות-אגב הן</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ולא זו אף זו: אם ביטוי או ניב, שנלקחו מן המשפט העברי, דינם להתפרש כמשמעותם במשפט העברי, אין בכך כדי להחיל את ההוראות המהותיות של המשפט העברי, כאילו היו חוק, שנחקק בידי המחוקק שלנו. צאו וראו מה עשה חברי הנכבד, השופט אלון, ברוב בקיאותו וחריפותו, בערעור שלפנינו: משמצא שהמונח "רשות", הנקוט בפי המחוקק, משתמע לפנים רבות, לא חיפש במשפט העברי (או בכלל) הגדרה של "רשות" או מימרא, שיש בה משום פירוש של מונח זה, אלא הוא נטל את הוראות המשנה בדבר דין אבידה בחנותו של שולחני, והחיל את ההוראה הזאת על האבידה בבניינו של הבנק, כאילו נודע להוראת המשנה תוקף של חוק. יכול להיות והשולחני דאז הוא בנק דהאידנא; יכול גם והחנות של שולחני דומה בכול לחדר הכספות של הבנק; וייתכן מאוד, שהפתרון החקיקתי של המשנה עדיף, מבחינת מידת הצדק, על כל פתרון חקיקתי אפשרי אחר. עדיין אין במשמעות המסופקת של המונח "רשות", שנקט המחוקק דנן, כדי להצדיק אימוצה של הוראת המשנה לגופו של דין האבידה, אפילו היה בה כדי להצדיק אימוצה של הוראת המשפט העברי להגדרת "רשות". לעניין פירושו הנכון של המונח "רשות", אין אנו למדים ולא כלום מן הדין, שאם מצא המוצא את האבידה בחלק פלוני של החנות, הרי היא שלו, ואם מצאה בחלק פלמוני, הרי היא של בעל החנות - כשם שלעניין פירוש זה לא נוכל ללמוד ולא כלום מן ההבחנה, בעקבות דין המשנה ולהסברתו, בין החצר המשתמרת לבין החצר שאינה משתמרת. העובדה, שאחד המפרשים מסביר את דין החצר שאינה משתמרת בהשוותו אותה למעין רשות הרבים, אינה הופכת גם את החצר שאינה משתמרת מרשות היחיד לרשות הרבים: מבחינת משמעות "הרשות", אין בדין ההוא כדי להעלות או להוריד.</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אילו היה בכוונת המחוקק להחיל אצלנו את דין המשנה או דין בדומה לו, יכול וצריך היה להביא דבר זה לידי ביטוי מפורש. יכול היה להבחין, למשל, בין רשות היחיד, הפתוחה לכול או לרבים, לבין רשות היחיד, שאינה פתוחה לזר שלא הוזמן, ולעשות דין שונה לאבידות שברשויות השונות. העובדה, שהמחוקק יודע לבטא את אשר הוא רוצה לבטא, מוכחת - אם דרושה לכך הוכחה - מלשון </w:t>
      </w:r>
      <w:hyperlink r:id="rId60" w:history="1">
        <w:r w:rsidR="00463CF5" w:rsidRPr="00463CF5">
          <w:rPr>
            <w:rFonts w:cs="FrankRuehl"/>
            <w:color w:val="0000FF"/>
            <w:u w:val="single"/>
            <w:rtl/>
            <w:lang w:eastAsia="en-US"/>
          </w:rPr>
          <w:t>סעיף 7(א)</w:t>
        </w:r>
      </w:hyperlink>
      <w:r>
        <w:rPr>
          <w:rFonts w:cs="FrankRuehl"/>
          <w:rtl/>
          <w:lang w:eastAsia="en-US"/>
        </w:rPr>
        <w:t xml:space="preserve"> לחוק, שבו נזכר מקום או מוסד "שבו מתאכסנים, מאושפזים או מבקרים בני אדם". ברם, מהוראת </w:t>
      </w:r>
      <w:hyperlink r:id="rId61" w:history="1">
        <w:r w:rsidR="00463CF5" w:rsidRPr="00463CF5">
          <w:rPr>
            <w:rFonts w:cs="FrankRuehl"/>
            <w:color w:val="0000FF"/>
            <w:u w:val="single"/>
            <w:rtl/>
            <w:lang w:eastAsia="en-US"/>
          </w:rPr>
          <w:t>סעיף 7(א)</w:t>
        </w:r>
      </w:hyperlink>
      <w:r>
        <w:rPr>
          <w:rFonts w:cs="FrankRuehl"/>
          <w:rtl/>
          <w:lang w:eastAsia="en-US"/>
        </w:rPr>
        <w:t xml:space="preserve"> ניתן להקיש, שגם מקום, שמבקרים בו הרבים, בגדר רשות היחיד הוא, שהרי ההוראה היא, שבעל המוסד או המקום ייחשב למוצא האבידה.</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lang w:eastAsia="en-US"/>
        </w:rPr>
        <w:t>"</w:t>
      </w:r>
      <w:r>
        <w:rPr>
          <w:rFonts w:cs="FrankRuehl"/>
          <w:rtl/>
          <w:lang w:eastAsia="en-US"/>
        </w:rPr>
        <w:t xml:space="preserve">המוצא אבידה ברשותו של אדם אחר", כאמור בסעיף </w:t>
      </w:r>
      <w:hyperlink r:id="rId62" w:history="1">
        <w:proofErr w:type="gramStart"/>
        <w:r w:rsidR="00463CF5" w:rsidRPr="00463CF5">
          <w:rPr>
            <w:rFonts w:cs="FrankRuehl"/>
            <w:color w:val="0000FF"/>
            <w:u w:val="single"/>
            <w:rtl/>
            <w:lang w:eastAsia="en-US"/>
          </w:rPr>
          <w:t>3</w:t>
        </w:r>
        <w:proofErr w:type="gramEnd"/>
      </w:hyperlink>
      <w:r w:rsidR="00463CF5">
        <w:rPr>
          <w:rFonts w:cs="FrankRuehl" w:hint="cs"/>
          <w:rtl/>
          <w:lang w:eastAsia="en-US"/>
        </w:rPr>
        <w:t xml:space="preserve"> </w:t>
      </w:r>
      <w:r>
        <w:rPr>
          <w:rFonts w:cs="FrankRuehl"/>
          <w:rtl/>
          <w:lang w:eastAsia="en-US"/>
        </w:rPr>
        <w:t xml:space="preserve">לחוק, הוא, פשוטו כמשמעו, מי שמוצא אבידה במקום שאינו רשותו שלו ואינו רשות הרבים. לתמיכה בטענתו, שהבנק הוא בגדר רשות הרבים לעניין זה, מפנה אותנו בא-כוח העותר להגדרת "'רחוב' </w:t>
      </w:r>
      <w:r>
        <w:rPr>
          <w:rFonts w:cs="FrankRuehl"/>
          <w:rtl/>
          <w:lang w:eastAsia="en-US"/>
        </w:rPr>
        <w:cr/>
      </w:r>
      <w:r>
        <w:rPr>
          <w:rFonts w:cs="FrankRuehl"/>
          <w:rtl/>
          <w:lang w:eastAsia="en-US"/>
        </w:rPr>
        <w:br w:type="page"/>
      </w:r>
      <w:r>
        <w:rPr>
          <w:rFonts w:cs="FrankRuehl"/>
          <w:rtl/>
          <w:lang w:eastAsia="en-US"/>
        </w:rPr>
        <w:lastRenderedPageBreak/>
        <w:t>או 'דרך'" שב</w:t>
      </w:r>
      <w:r w:rsidR="008A352E" w:rsidRPr="000652F4">
        <w:rPr>
          <w:rFonts w:cs="FrankRuehl"/>
          <w:rtl/>
          <w:lang w:eastAsia="en-US"/>
        </w:rPr>
        <w:t>פקודת הפרשנות</w:t>
      </w:r>
      <w:r>
        <w:rPr>
          <w:rFonts w:cs="FrankRuehl"/>
          <w:rtl/>
          <w:lang w:eastAsia="en-US"/>
        </w:rPr>
        <w:t xml:space="preserve"> [נוסח חדש], שלפיה נכלל ברחוב או בדרך גם "כל מקום פתוח שהציבור משתמש בו.... או שהציבור נכנס אליו או רשאי להיכנס אליו". ואולם הגדרה זו תכליתה להרחיב משמעותם הרגילה של "רחוב</w:t>
      </w:r>
      <w:r>
        <w:rPr>
          <w:rFonts w:cs="FrankRuehl"/>
          <w:lang w:eastAsia="en-US"/>
        </w:rPr>
        <w:t xml:space="preserve"> </w:t>
      </w:r>
      <w:r>
        <w:rPr>
          <w:rFonts w:cs="FrankRuehl"/>
          <w:rtl/>
          <w:lang w:eastAsia="en-US"/>
        </w:rPr>
        <w:t xml:space="preserve">או דרך", שמקום שמופיעה אחת המלים הללו בחיקוק, יש לפרשה על דרך ההרחבה ("[כל עוד] אין בגוף הענין, או בהקשר, דבר שאינו מתיישב עם משמעות זו": סעיף </w:t>
      </w:r>
      <w:hyperlink r:id="rId63" w:history="1">
        <w:r w:rsidR="00463CF5" w:rsidRPr="00463CF5">
          <w:rPr>
            <w:rFonts w:cs="FrankRuehl"/>
            <w:color w:val="0000FF"/>
            <w:u w:val="single"/>
            <w:rtl/>
            <w:lang w:eastAsia="en-US"/>
          </w:rPr>
          <w:t>2</w:t>
        </w:r>
      </w:hyperlink>
      <w:r>
        <w:rPr>
          <w:rFonts w:cs="FrankRuehl"/>
          <w:rtl/>
          <w:lang w:eastAsia="en-US"/>
        </w:rPr>
        <w:t>); ואין גם בה כדי להפוך רשות היחיד לרשות הרבים ולשנות סדרי בראשית, כאילו מתן רשות לרבים להיכנס לחצרים שלי כמותו כמו הפקרתם מרשותי.</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אין ספק בלבי, שבניינו של הבנק הוא "רשותו", בין אם הבנק פותח אותו לקהל ובין אם לאו; ואין "רשות" זו יכולה להשתנות משעה לשעה, הכול כפי שעות הקופה</w:t>
      </w:r>
      <w:r>
        <w:rPr>
          <w:rFonts w:cs="FrankRuehl"/>
          <w:lang w:eastAsia="en-US"/>
        </w:rPr>
        <w:t xml:space="preserve"> </w:t>
      </w:r>
      <w:r>
        <w:rPr>
          <w:rFonts w:cs="FrankRuehl"/>
          <w:rtl/>
          <w:lang w:eastAsia="en-US"/>
        </w:rPr>
        <w:t>של הבנק, כאילו בשעות הפתיחה הוא רשות הרבים, ובשעות הסגירה חוזר הוא להיות</w:t>
      </w:r>
      <w:r>
        <w:rPr>
          <w:rFonts w:cs="FrankRuehl"/>
          <w:lang w:eastAsia="en-US"/>
        </w:rPr>
        <w:t xml:space="preserve"> </w:t>
      </w:r>
      <w:r>
        <w:rPr>
          <w:rFonts w:cs="FrankRuehl"/>
          <w:rtl/>
          <w:lang w:eastAsia="en-US"/>
        </w:rPr>
        <w:t>רשות היחיד. העובדה, שהרבים נכנסים ויוצאים בבניין, נובעת משימוש "בעל הרשות" בזכות הבעלות שבידיו, להרשות לרבים להיכנס ולצאת כאוות נפשם; ואין שום דבר המונע בעדו מלחזור בו מן ההרשאה הזאת או להגבילה כראות עיניו. המוצא אבידה בבניין הבנק מוצאה ברשותו של הבנק, בין אם הבניין סגור ובין אם הוא פתוח; או היכן ימצאנה, אם - למשל - באולם הבנק עוד נמצאים לקוחות וזרים לאחר סגירתו? ואין רשות היחיד של הבנק שונה מרשות היחיד של מאן דהו אחרינא: אילו רצה המחוקק להפלות את רשות היחיד של הבנק מכל רשות-יחיד אחרת, יכול וצריך היה לומר כן; שכשם שהמשנה עשתה דין מיוחד לשולחני, כן יכול המחוקק לעשות דין מיוחד לבנק.</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אולי, אמנם, אין זה מן המידה, שגם במקום שהציבור רשאי להשתמש בו והרבים נכנסים ויוצאים בו, תחול ההוראה, שהמחוקק ייחד לרשות היחיד, אבל זהו עניין למחוקק לענות בו. כל עוד עומד החוק בלשונו כנתינתו, הרי "רשותו של אדם אחר" </w:t>
      </w:r>
      <w:r>
        <w:rPr>
          <w:rFonts w:cs="FrankRuehl"/>
          <w:rtl/>
          <w:lang w:eastAsia="en-US"/>
        </w:rPr>
        <w:softHyphen/>
        <w:t>גם רשות היחיד, שהרבים משתמשים ונכנסים ויוצאים בה, במשמע. השאלה, אם דבר זה צודק הוא אם לאו, או אם אין למצוא הסדר חקיקתי צודק יותר, אינה מתעוררת כלל ועיקר. ומי שההסדר של המשפט העברי נראה בעיניו עדיף על זה של החוק שלנו, יוכל להציע למחוקק לאמצו לו - אך אין הוא יכול לשים עצמו מחוקק ולהחליף את ההסדר שבחוק בהסדר שבמשפט העברי. כשלעצמי, לא שוכנעתי, שיש צורך בתיקון החוק: כל מוצא זוכה מן ההפקר, ואין אני יודע, על-שם מה עדיפה זכותו של המוצא מכוח ידיו או עיניו על פני זכותו של המוצא מכוח החוק. נהפוך הוא: התופס אבידה, שמסתמא לא נתייאשו ממנה בעליה, ורוצה לזכות בה מן ההפקר, ריח גניבה נודף ממעשהו; ויש דברים בגו, שאצל אדוננו הרמב"ם דרות הגזילה והאבידה בכפיפה אחת.</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אשר על-כן מצרף אני דעתי לדעת שופטי הרוב בע"א </w:t>
      </w:r>
      <w:r>
        <w:rPr>
          <w:rFonts w:cs="FrankRuehl"/>
          <w:lang w:eastAsia="en-US"/>
        </w:rPr>
        <w:t>546/78</w:t>
      </w:r>
      <w:r>
        <w:rPr>
          <w:rFonts w:cs="FrankRuehl"/>
          <w:rtl/>
          <w:lang w:eastAsia="en-US"/>
        </w:rPr>
        <w:t>* ומציע לקיים פסק-דינו הקודם של בית-משפט זה.</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 xml:space="preserve">* </w:t>
      </w:r>
      <w:r>
        <w:rPr>
          <w:rFonts w:cs="FrankRuehl"/>
          <w:rtl/>
          <w:lang w:eastAsia="en-US"/>
        </w:rPr>
        <w:t xml:space="preserve">פ"ד </w:t>
      </w:r>
      <w:proofErr w:type="gramStart"/>
      <w:r>
        <w:rPr>
          <w:rFonts w:cs="FrankRuehl"/>
          <w:rtl/>
          <w:lang w:eastAsia="en-US"/>
        </w:rPr>
        <w:t>לד(</w:t>
      </w:r>
      <w:proofErr w:type="gramEnd"/>
      <w:r>
        <w:rPr>
          <w:rFonts w:cs="FrankRuehl"/>
          <w:rtl/>
          <w:lang w:eastAsia="en-US"/>
        </w:rPr>
        <w:t xml:space="preserve">3) </w:t>
      </w:r>
      <w:r>
        <w:rPr>
          <w:rFonts w:cs="FrankRuehl"/>
          <w:lang w:eastAsia="en-US"/>
        </w:rPr>
        <w:t>.57</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השופט מ' אלון: היו לפני טענות בא-כוח המשיבה בדיון הנוסף שלפנינו; עיינתי בהן, ולא מצאתי, שיש בהן כדי לשנות מהדברים, שכתבתי בפסק-דיני שבערעור</w:t>
      </w:r>
      <w:r>
        <w:rPr>
          <w:rFonts w:cs="FrankRuehl"/>
          <w:lang w:eastAsia="en-US"/>
        </w:rPr>
        <w:t xml:space="preserve"> </w:t>
      </w:r>
      <w:r>
        <w:rPr>
          <w:rFonts w:cs="FrankRuehl"/>
          <w:rtl/>
          <w:lang w:eastAsia="en-US"/>
        </w:rPr>
        <w:t xml:space="preserve">(ע"א </w:t>
      </w:r>
      <w:r>
        <w:rPr>
          <w:rFonts w:cs="FrankRuehl"/>
          <w:lang w:eastAsia="en-US"/>
        </w:rPr>
        <w:t>546/78</w:t>
      </w:r>
      <w:r>
        <w:rPr>
          <w:rFonts w:cs="FrankRuehl"/>
          <w:rtl/>
          <w:lang w:eastAsia="en-US"/>
        </w:rPr>
        <w:t>*). דעתי הסברתי בארוכה בפסק הדין האמור, ואיני רואה מקום וצורך לחזור ולדון בדבר</w:t>
      </w: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חברי הנכבד, מ"מ הנשיא השופט ח' כהן, מתוך שדן הוא בנושא שלפנינו, בא הוא לכלל עיון בפרשה הנכבדה של היזקקותה של מערכת המשפט הישראלי לדיני המשפט העברי. אומר אף אני דברים אחדים לעניין דרכי בסוגיה נכבדה זו, ומתוך כך יתבהרו הדברים, שכתבתי בפסק-דיני בערעור שלפנינו.</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rtl/>
          <w:lang w:eastAsia="en-US"/>
        </w:rPr>
        <w:t xml:space="preserve">אומר חברי הנכבד, כי "המוצא אבידה ברשותו של אדם אחר', כאמור </w:t>
      </w:r>
      <w:hyperlink r:id="rId64" w:history="1">
        <w:r w:rsidR="00463CF5" w:rsidRPr="00463CF5">
          <w:rPr>
            <w:rFonts w:cs="FrankRuehl"/>
            <w:color w:val="0000FF"/>
            <w:u w:val="single"/>
            <w:rtl/>
            <w:lang w:eastAsia="en-US"/>
          </w:rPr>
          <w:t>בסעיף 3</w:t>
        </w:r>
      </w:hyperlink>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לחוק, הוא, פשוטו כמשמעו, מי שמוצא אבידה במקום שאינו רשותו שלו ואינו רשות הרבים"; ולמטה מן העניין: "אין ספק בלבי, שבניינו של הבנק הוא ,רשותו', בין אם הבנק פותח אותו לקהל ובין אם לאו". עם כל הכבוד הראוי, אילו גם בלבי לא היה ספק, שאכן כך הוא מובנו ופירושו של "רשותו של אדם אחר" שבסעיף </w:t>
      </w:r>
      <w:hyperlink r:id="rId65"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 xml:space="preserve">האמור, לא היה מקום להיזקק למערכת משפטית אחרת איזו שהיא, לרבות של המשפט העברי, כדי לפרש על-פי השראתה מובנו של סעיף זה, שהרי החוק מתפרש, ראשית לכול ומעל לכול, על-פי האמור בו; כמרגלא בפומא דאנשי המשפט: מתוכו ומתוכנו. ואין צריך לומר, שגם במקרה כגון דא יש והשופט מעיין במערכת משפטית אחרת, אם נראה לו הדבר לרצוי, לשם הרחבת הדעת והעמקת העיון, לרווחא דמילתא בלבד. וטוב ונכון שעיון כזה ייעשה במערכת המשפט העברי ובמערכות משפטיות אחרות, הכול לפי העניין ולפי הצורך, כדי שהסוגיה תצא מלובנת ומחוורת כל צורכה. דא עקא, שבעניין שלפנינו המושג "רשותו של אדם אחר" ניתן הוא לפירושים מפירושים שונים, כפי שעמד על כך חברי הנכבד, השופט ברק (ע"א </w:t>
      </w:r>
      <w:r>
        <w:rPr>
          <w:rFonts w:cs="FrankRuehl"/>
          <w:lang w:eastAsia="en-US"/>
        </w:rPr>
        <w:t>546/78</w:t>
      </w:r>
      <w:r>
        <w:rPr>
          <w:rFonts w:cs="FrankRuehl"/>
          <w:rtl/>
          <w:lang w:eastAsia="en-US"/>
        </w:rPr>
        <w:t>** הנ"ל), וכפי שדנתי בכך אני***.</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t>מה יעשה אפוא השופט במקרה כגון דא, ואיזו דרך יבור לו במלאכת פרשנותו? מעיין הוא באמור בסעיף הנדון כולו, מחפש הוא ביתר סעיפי אותו חוק בכללו, מבקש הוא עזרתו במידות ההיקש מסעיף לסעיף ומעניין לעניין, אולי אלה יעמדו לו. לשון אחרת, יותר כוללנית אך לא פחות מדויקת: מתחקה הוא אחר מהות החוק ומטרתו. ואכן, יש ובדרך זו חפצו עולה בידו; אך יש ועדיין תוהה הוא וספקו בידו, שהרי מודעת היא זאת, שכשם שאין הבור מתמלא מחולייתו כך - לעתים מזומנות - אין החוק מתמלא מסעיפיו. לעתים קרובות אין השופט מעלה מן החוק אלא רמזים בלבד לצורך פתרונה של השאלה העומדת לפניו; ומשבא הוא לכך, מביא הוא את לחמו ממערכות משפטיות אחרות או מעיונם של מלומדי משפט וחוקריו. יש ודבר זה נעשה במודע, בהצהרה גלויה ומפורשת, ויש והדבר נעשה שלא במודע למעשה ולא במפורש.</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פ"ד </w:t>
      </w:r>
      <w:proofErr w:type="gramStart"/>
      <w:r>
        <w:rPr>
          <w:rFonts w:cs="FrankRuehl"/>
          <w:rtl/>
          <w:lang w:eastAsia="en-US"/>
        </w:rPr>
        <w:t>לד(</w:t>
      </w:r>
      <w:proofErr w:type="gramEnd"/>
      <w:r>
        <w:rPr>
          <w:rFonts w:cs="FrankRuehl"/>
          <w:rtl/>
          <w:lang w:eastAsia="en-US"/>
        </w:rPr>
        <w:t xml:space="preserve">3) </w:t>
      </w:r>
      <w:r>
        <w:rPr>
          <w:rFonts w:cs="FrankRuehl"/>
          <w:lang w:eastAsia="en-US"/>
        </w:rPr>
        <w:t>.57</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שם, בעמ' </w:t>
      </w:r>
      <w:r>
        <w:rPr>
          <w:rFonts w:cs="FrankRuehl"/>
          <w:lang w:eastAsia="en-US"/>
        </w:rPr>
        <w:t>.61</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lang w:eastAsia="en-US"/>
        </w:rPr>
      </w:pPr>
      <w:r>
        <w:rPr>
          <w:rFonts w:cs="FrankRuehl"/>
          <w:lang w:eastAsia="en-US"/>
        </w:rPr>
        <w:t xml:space="preserve">*** </w:t>
      </w:r>
      <w:r>
        <w:rPr>
          <w:rFonts w:cs="FrankRuehl"/>
          <w:rtl/>
          <w:lang w:eastAsia="en-US"/>
        </w:rPr>
        <w:t xml:space="preserve">שם, בעמ' </w:t>
      </w:r>
      <w:r>
        <w:rPr>
          <w:rFonts w:cs="FrankRuehl"/>
          <w:lang w:eastAsia="en-US"/>
        </w:rPr>
        <w:t>.71</w:t>
      </w:r>
    </w:p>
    <w:p w:rsidR="00C27A1E" w:rsidRDefault="00C27A1E">
      <w:pPr>
        <w:tabs>
          <w:tab w:val="left" w:pos="288"/>
          <w:tab w:val="left" w:pos="720"/>
          <w:tab w:val="left" w:pos="1008"/>
          <w:tab w:val="left" w:pos="4896"/>
        </w:tabs>
        <w:autoSpaceDE w:val="0"/>
        <w:autoSpaceDN w:val="0"/>
        <w:bidi/>
        <w:adjustRightInd w:val="0"/>
        <w:spacing w:after="80" w:line="260" w:lineRule="exact"/>
        <w:ind w:firstLine="283"/>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פנייה זו למערכת משפטית אחרת שני פנים לה. הפן האחד הוא, כאשר בית המשפט אינו מוצא - לא במקורות המשפט הקיימים ולא בדרך ההיקש - תשובה לשאלה משפטית מסוימת, באופן שנוצר מצב של "שטח ריק</w:t>
      </w:r>
      <w:r>
        <w:rPr>
          <w:rFonts w:cs="FrankRuehl"/>
          <w:lang w:eastAsia="en-US"/>
        </w:rPr>
        <w:t xml:space="preserve">" </w:t>
      </w:r>
      <w:r>
        <w:rPr>
          <w:rFonts w:cs="FrankRuehl"/>
          <w:rtl/>
          <w:lang w:eastAsia="en-US"/>
        </w:rPr>
        <w:t xml:space="preserve">(לאקונה בלע"ז); במקרה זה העניק המחוקק - מאז ביטולו של סימן </w:t>
      </w:r>
      <w:hyperlink r:id="rId66" w:history="1">
        <w:r w:rsidR="00463CF5" w:rsidRPr="00463CF5">
          <w:rPr>
            <w:rStyle w:val="Hyperlink"/>
            <w:rFonts w:cs="FrankRuehl"/>
            <w:lang w:eastAsia="en-US"/>
          </w:rPr>
          <w:t>46</w:t>
        </w:r>
      </w:hyperlink>
      <w:r w:rsidR="00463CF5">
        <w:rPr>
          <w:rFonts w:cs="FrankRuehl" w:hint="cs"/>
          <w:rtl/>
          <w:lang w:eastAsia="en-US"/>
        </w:rPr>
        <w:t xml:space="preserve"> </w:t>
      </w:r>
      <w:r>
        <w:rPr>
          <w:rFonts w:cs="FrankRuehl"/>
          <w:rtl/>
          <w:lang w:eastAsia="en-US"/>
        </w:rPr>
        <w:t>ל</w:t>
      </w:r>
      <w:hyperlink r:id="rId67" w:history="1">
        <w:r w:rsidR="000652F4" w:rsidRPr="000652F4">
          <w:rPr>
            <w:rStyle w:val="Hyperlink"/>
            <w:rFonts w:cs="FrankRuehl"/>
            <w:rtl/>
            <w:lang w:eastAsia="en-US"/>
          </w:rPr>
          <w:t>דבר המלך במועצה על ארץ-ישראל</w:t>
        </w:r>
      </w:hyperlink>
      <w:r>
        <w:rPr>
          <w:rFonts w:cs="FrankRuehl"/>
          <w:rtl/>
          <w:lang w:eastAsia="en-US"/>
        </w:rPr>
        <w:t xml:space="preserve">, </w:t>
      </w:r>
      <w:r>
        <w:rPr>
          <w:rFonts w:cs="FrankRuehl"/>
          <w:lang w:eastAsia="en-US"/>
        </w:rPr>
        <w:t>1922</w:t>
      </w:r>
      <w:r>
        <w:rPr>
          <w:rFonts w:cs="FrankRuehl"/>
          <w:rtl/>
          <w:lang w:eastAsia="en-US"/>
        </w:rPr>
        <w:t>- מעמד של מקור משפטי משלים ל"עקרונות החירות, הצדק, היושר והשלום של מורשת ישראל" (</w:t>
      </w:r>
      <w:hyperlink r:id="rId68" w:history="1">
        <w:r w:rsidR="000652F4" w:rsidRPr="000652F4">
          <w:rPr>
            <w:rStyle w:val="Hyperlink"/>
            <w:rFonts w:cs="FrankRuehl"/>
            <w:rtl/>
            <w:lang w:eastAsia="en-US"/>
          </w:rPr>
          <w:t>חוק יסודות המשפט</w:t>
        </w:r>
      </w:hyperlink>
      <w:r>
        <w:rPr>
          <w:rFonts w:cs="FrankRuehl"/>
          <w:rtl/>
          <w:lang w:eastAsia="en-US"/>
        </w:rPr>
        <w:t>; ולא כאן המקום להאריך במשמעותם והיקפם של מושגים-מונחים אלה). הפן האחר הוא, כאשר השאלה המשפטית המתעוררת אין בה משום "שטח ריק", אלה עניינה בפרשנותה של הוראה משפטית, הקיימת ומוסדרת בחוק, אך המתפרשת בדרכים אפשריות שונות, והשאלה, העומדת לפני בית המשפט, היא, איזוהי פרשנותה הנכונה</w:t>
      </w:r>
      <w:r>
        <w:rPr>
          <w:rFonts w:cs="FrankRuehl"/>
          <w:lang w:eastAsia="en-US"/>
        </w:rPr>
        <w:t xml:space="preserve"> </w:t>
      </w:r>
      <w:r>
        <w:rPr>
          <w:rFonts w:cs="FrankRuehl"/>
          <w:rtl/>
          <w:lang w:eastAsia="en-US"/>
        </w:rPr>
        <w:t>של הוראה זו. דוגמה לכך</w:t>
      </w:r>
      <w:r>
        <w:rPr>
          <w:rFonts w:cs="FrankRuehl"/>
          <w:lang w:eastAsia="en-US"/>
        </w:rPr>
        <w:t xml:space="preserve"> </w:t>
      </w:r>
      <w:r>
        <w:rPr>
          <w:rFonts w:cs="FrankRuehl"/>
          <w:rtl/>
          <w:lang w:eastAsia="en-US"/>
        </w:rPr>
        <w:t>הוא הנושא שלפנינו, שבו הספק שבידינו הוא, כיצד לפרש</w:t>
      </w:r>
      <w:r>
        <w:rPr>
          <w:rFonts w:cs="FrankRuehl"/>
          <w:lang w:eastAsia="en-US"/>
        </w:rPr>
        <w:t xml:space="preserve"> </w:t>
      </w:r>
      <w:r>
        <w:rPr>
          <w:rFonts w:cs="FrankRuehl"/>
          <w:rtl/>
          <w:lang w:eastAsia="en-US"/>
        </w:rPr>
        <w:t xml:space="preserve">את ההוראה, המצויה בסעיף </w:t>
      </w:r>
      <w:hyperlink r:id="rId69"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הנ"ל, בדבר "רשותו של אדם אחר". והבדל חשוב יש בין שני הפנים, מבחינת מעמדה ותוקפה של המערכת המשפטית האחרת, אליה פונה בית המשפט; בה בשעה שבמקרה של לאקונה מעמדם של העקרונות האמורים של המשפט העברי הוא בבחינת מקור משפטי משלים של המערכת המשפטית בישראל, ובית המשפט מצווה לפנות אליהם כאל מקור משפטי מחייב, הרי במקרה השני, היינו, כאשר קיים ספק בפרשנותה של הוראה קיימת, הפנייה למערכת משפטית אחרת אינה אלא פנייה כאל מקור של השראה, כאל מערכת משפטית, שאינה מחייבת אלא מלמדת, שאינה מכריעה אלא משפיעה. במאמר מוסגר אוסיף ואציין, כי הבחנה זו שבין מקרה של לאקונה שבחוק לבין מקרה של ספק בפרשנותה של הוראה קיימת אינה מן הקלות, ואין לקבוע בה מסמרות, וכבר דנו והגו בכך חוקרים ומלומדים. לא כאן המקום להאריך, ואציין דוגמה אחת בלבד. כבר נפסק לא אחת, מפיהם של מספר שופטים בבית-משפט זה, כי מושגי משפט, שיסודם במערכי מוסר וערכי תרבות - כגון המושגים: צדק, תום-לב, תקנת הציבור וכיוצא באלה, המצויים במערכת המשפטית בישראל - צריך שיתפרשו על-פי השקפות יסוד, המושרשות במערכי המוסר והתרבות שבמשפט העברי (</w:t>
      </w:r>
      <w:hyperlink r:id="rId70" w:history="1">
        <w:r w:rsidR="008A352E" w:rsidRPr="00ED73FF">
          <w:rPr>
            <w:rStyle w:val="Hyperlink"/>
            <w:rFonts w:cs="FrankRuehl"/>
            <w:rtl/>
            <w:lang w:eastAsia="en-US"/>
          </w:rPr>
          <w:t>ע"א 566/77</w:t>
        </w:r>
      </w:hyperlink>
      <w:r>
        <w:rPr>
          <w:rFonts w:cs="FrankRuehl"/>
          <w:rtl/>
          <w:lang w:eastAsia="en-US"/>
        </w:rPr>
        <w:t xml:space="preserve"> [2], בעמ' </w:t>
      </w:r>
      <w:r>
        <w:rPr>
          <w:rFonts w:cs="FrankRuehl"/>
          <w:lang w:eastAsia="en-US"/>
        </w:rPr>
        <w:t>150</w:t>
      </w:r>
      <w:r>
        <w:rPr>
          <w:rFonts w:cs="FrankRuehl"/>
          <w:rtl/>
          <w:lang w:eastAsia="en-US"/>
        </w:rPr>
        <w:t xml:space="preserve">ופסקי הדין המובאים שם; </w:t>
      </w:r>
      <w:hyperlink r:id="rId71" w:history="1">
        <w:r w:rsidR="008A352E" w:rsidRPr="00ED73FF">
          <w:rPr>
            <w:rStyle w:val="Hyperlink"/>
            <w:rFonts w:cs="FrankRuehl"/>
            <w:rtl/>
            <w:lang w:eastAsia="en-US"/>
          </w:rPr>
          <w:t>ע"א 148/77</w:t>
        </w:r>
      </w:hyperlink>
      <w:r>
        <w:rPr>
          <w:rFonts w:cs="FrankRuehl"/>
          <w:rtl/>
          <w:lang w:eastAsia="en-US"/>
        </w:rPr>
        <w:t xml:space="preserve"> [3]</w:t>
      </w:r>
      <w:r>
        <w:rPr>
          <w:rFonts w:cs="FrankRuehl"/>
          <w:lang w:eastAsia="en-US"/>
        </w:rPr>
        <w:t xml:space="preserve">, </w:t>
      </w:r>
      <w:r>
        <w:rPr>
          <w:rFonts w:cs="FrankRuehl"/>
          <w:rtl/>
          <w:lang w:eastAsia="en-US"/>
        </w:rPr>
        <w:t xml:space="preserve">בעמ' </w:t>
      </w:r>
      <w:r>
        <w:rPr>
          <w:rFonts w:cs="FrankRuehl"/>
          <w:lang w:eastAsia="en-US"/>
        </w:rPr>
        <w:t>631</w:t>
      </w:r>
      <w:r>
        <w:rPr>
          <w:rFonts w:cs="FrankRuehl"/>
          <w:rtl/>
          <w:lang w:eastAsia="en-US"/>
        </w:rPr>
        <w:t xml:space="preserve">ופסקי דין המצוינים שם; ע"פ </w:t>
      </w:r>
      <w:r>
        <w:rPr>
          <w:rFonts w:cs="FrankRuehl"/>
          <w:lang w:eastAsia="en-US"/>
        </w:rPr>
        <w:t>89/78</w:t>
      </w:r>
      <w:r>
        <w:rPr>
          <w:rFonts w:cs="FrankRuehl"/>
          <w:rtl/>
          <w:lang w:eastAsia="en-US"/>
        </w:rPr>
        <w:t xml:space="preserve">[4], בעמ' </w:t>
      </w:r>
      <w:r>
        <w:rPr>
          <w:rFonts w:cs="FrankRuehl"/>
          <w:lang w:eastAsia="en-US"/>
        </w:rPr>
        <w:t>155</w:t>
      </w:r>
      <w:r>
        <w:rPr>
          <w:rFonts w:cs="FrankRuehl"/>
          <w:rtl/>
          <w:lang w:eastAsia="en-US"/>
        </w:rPr>
        <w:t>). מושגים ערכיים</w:t>
      </w:r>
      <w:r>
        <w:rPr>
          <w:rFonts w:cs="FrankRuehl"/>
          <w:lang w:eastAsia="en-US"/>
        </w:rPr>
        <w:t xml:space="preserve"> </w:t>
      </w:r>
      <w:r>
        <w:rPr>
          <w:rFonts w:cs="FrankRuehl"/>
          <w:rtl/>
          <w:lang w:eastAsia="en-US"/>
        </w:rPr>
        <w:t>אלה, שפרט לכינוים אינם מפנים לתוכן סובסטאנטיבי כל שהוא, נראה לי שהצקת תוכן</w:t>
      </w:r>
      <w:r>
        <w:rPr>
          <w:rFonts w:cs="FrankRuehl"/>
          <w:lang w:eastAsia="en-US"/>
        </w:rPr>
        <w:t xml:space="preserve"> </w:t>
      </w:r>
      <w:r>
        <w:rPr>
          <w:rFonts w:cs="FrankRuehl"/>
          <w:rtl/>
          <w:lang w:eastAsia="en-US"/>
        </w:rPr>
        <w:t>בהם היא בבחינת מילוי</w:t>
      </w:r>
      <w:r>
        <w:rPr>
          <w:rFonts w:cs="FrankRuehl"/>
          <w:lang w:eastAsia="en-US"/>
        </w:rPr>
        <w:t xml:space="preserve"> "</w:t>
      </w:r>
      <w:r>
        <w:rPr>
          <w:rFonts w:cs="FrankRuehl"/>
          <w:rtl/>
          <w:lang w:eastAsia="en-US"/>
        </w:rPr>
        <w:t xml:space="preserve">שטח ריק", במיוחד לאור האמור בסעיף </w:t>
      </w:r>
      <w:hyperlink r:id="rId72" w:history="1">
        <w:r w:rsidR="00463CF5" w:rsidRPr="00463CF5">
          <w:rPr>
            <w:rFonts w:cs="FrankRuehl"/>
            <w:color w:val="0000FF"/>
            <w:u w:val="single"/>
            <w:rtl/>
            <w:lang w:eastAsia="en-US"/>
          </w:rPr>
          <w:t>2</w:t>
        </w:r>
      </w:hyperlink>
      <w:r w:rsidR="00463CF5">
        <w:rPr>
          <w:rFonts w:cs="FrankRuehl" w:hint="cs"/>
          <w:rtl/>
          <w:lang w:eastAsia="en-US"/>
        </w:rPr>
        <w:t xml:space="preserve"> </w:t>
      </w:r>
      <w:r>
        <w:rPr>
          <w:rFonts w:cs="FrankRuehl"/>
          <w:rtl/>
          <w:lang w:eastAsia="en-US"/>
        </w:rPr>
        <w:t>ל</w:t>
      </w:r>
      <w:hyperlink r:id="rId73" w:history="1">
        <w:r w:rsidR="000652F4" w:rsidRPr="000652F4">
          <w:rPr>
            <w:rStyle w:val="Hyperlink"/>
            <w:rFonts w:cs="FrankRuehl"/>
            <w:rtl/>
            <w:lang w:eastAsia="en-US"/>
          </w:rPr>
          <w:t>חוק יסודות המשפט</w:t>
        </w:r>
      </w:hyperlink>
      <w:r>
        <w:rPr>
          <w:rFonts w:cs="FrankRuehl"/>
          <w:rtl/>
          <w:lang w:eastAsia="en-US"/>
        </w:rPr>
        <w:t xml:space="preserve"> הנ"ל, שמפנה במפורש לעקרונות ערכיים אלה; אשר על-כן, דרך הפרשנות האמורה, שנקוטה היא בידי שופטים אלה, הריהי מעתה בבחינת מילוי לאקונה ולא עניין של פרשנות בלבד, על כל המשתמע מכך (על הכלול בלאקונה ניתן להוסיף דוגמאות נוספות. עיין והשווה: </w:t>
      </w:r>
      <w:hyperlink r:id="rId74" w:history="1">
        <w:r w:rsidR="008A352E" w:rsidRPr="00ED73FF">
          <w:rPr>
            <w:rStyle w:val="Hyperlink"/>
            <w:rFonts w:cs="FrankRuehl"/>
            <w:rtl/>
            <w:lang w:eastAsia="en-US"/>
          </w:rPr>
          <w:t>ע"א 86/76</w:t>
        </w:r>
      </w:hyperlink>
      <w:r>
        <w:rPr>
          <w:rFonts w:cs="FrankRuehl"/>
          <w:rtl/>
          <w:lang w:eastAsia="en-US"/>
        </w:rPr>
        <w:t xml:space="preserve"> [5], בעמ' </w:t>
      </w:r>
      <w:r>
        <w:rPr>
          <w:rFonts w:cs="FrankRuehl"/>
          <w:lang w:eastAsia="en-US"/>
        </w:rPr>
        <w:t>345</w:t>
      </w:r>
      <w:r>
        <w:rPr>
          <w:rFonts w:cs="FrankRuehl"/>
          <w:rtl/>
          <w:lang w:eastAsia="en-US"/>
        </w:rPr>
        <w:t xml:space="preserve">, </w:t>
      </w:r>
      <w:r>
        <w:rPr>
          <w:rFonts w:cs="FrankRuehl"/>
          <w:lang w:eastAsia="en-US"/>
        </w:rPr>
        <w:t>348</w:t>
      </w:r>
      <w:r>
        <w:rPr>
          <w:rFonts w:cs="FrankRuehl"/>
          <w:rtl/>
          <w:lang w:eastAsia="en-US"/>
        </w:rPr>
        <w:t xml:space="preserve">; </w:t>
      </w:r>
      <w:hyperlink r:id="rId75" w:history="1">
        <w:r w:rsidR="008A352E" w:rsidRPr="00ED73FF">
          <w:rPr>
            <w:rStyle w:val="Hyperlink"/>
            <w:rFonts w:cs="FrankRuehl"/>
            <w:rtl/>
            <w:lang w:eastAsia="en-US"/>
          </w:rPr>
          <w:t>ע"א 604/77</w:t>
        </w:r>
      </w:hyperlink>
      <w:r>
        <w:rPr>
          <w:rFonts w:cs="FrankRuehl"/>
          <w:rtl/>
          <w:lang w:eastAsia="en-US"/>
        </w:rPr>
        <w:t xml:space="preserve"> [6] המובא להלן. לא כאן המקום להאריך).</w:t>
      </w:r>
    </w:p>
    <w:p w:rsidR="00C27A1E" w:rsidRDefault="00C27A1E">
      <w:pPr>
        <w:tabs>
          <w:tab w:val="left" w:pos="288"/>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כאשר הפנייה אל מערכת משפטית אחרת אינה אלא כאל מקור של השראה בלבד, ועל</w:t>
      </w:r>
      <w:r>
        <w:rPr>
          <w:rFonts w:cs="FrankRuehl"/>
          <w:lang w:eastAsia="en-US"/>
        </w:rPr>
        <w:t xml:space="preserve"> </w:t>
      </w:r>
      <w:r>
        <w:rPr>
          <w:rFonts w:cs="FrankRuehl"/>
          <w:rtl/>
          <w:lang w:eastAsia="en-US"/>
        </w:rPr>
        <w:t>בית המשפט לבור דרכו מנין תבוא לו השראה זו, ייזקק הוא, בראש וראשונה</w:t>
      </w:r>
      <w:r>
        <w:rPr>
          <w:rFonts w:cs="FrankRuehl"/>
          <w:lang w:eastAsia="en-US"/>
        </w:rPr>
        <w:t xml:space="preserve">, </w:t>
      </w:r>
      <w:r>
        <w:rPr>
          <w:rFonts w:cs="FrankRuehl"/>
          <w:rtl/>
          <w:lang w:eastAsia="en-US"/>
        </w:rPr>
        <w:t>לעקרונות המשפט העברי, כמקור ראשי וראשון במעלה, למען הנחותו בפתרונה של הבעיה העומדת לפניו. על מעמדו זה של המשפט העברי כמקור השראה ראשון בין</w:t>
      </w:r>
      <w:r>
        <w:rPr>
          <w:rFonts w:cs="FrankRuehl"/>
          <w:lang w:eastAsia="en-US"/>
        </w:rPr>
        <w:t xml:space="preserve"> </w:t>
      </w:r>
      <w:r>
        <w:rPr>
          <w:rFonts w:cs="FrankRuehl"/>
          <w:rtl/>
          <w:lang w:eastAsia="en-US"/>
        </w:rPr>
        <w:cr/>
      </w:r>
      <w:r>
        <w:rPr>
          <w:rFonts w:cs="FrankRuehl"/>
          <w:rtl/>
          <w:lang w:eastAsia="en-US"/>
        </w:rPr>
        <w:br w:type="page"/>
      </w:r>
      <w:r>
        <w:rPr>
          <w:rFonts w:cs="FrankRuehl"/>
          <w:rtl/>
          <w:lang w:eastAsia="en-US"/>
        </w:rPr>
        <w:lastRenderedPageBreak/>
        <w:t xml:space="preserve">השווים עמדתי לא אחת, ולאחרונה בפסק-דיני בערעור שבעניין שלפנינו (ע"א </w:t>
      </w:r>
      <w:r>
        <w:rPr>
          <w:rFonts w:cs="FrankRuehl"/>
          <w:lang w:eastAsia="en-US"/>
        </w:rPr>
        <w:t>546/78</w:t>
      </w:r>
      <w:r>
        <w:rPr>
          <w:rFonts w:cs="FrankRuehl"/>
          <w:rtl/>
          <w:lang w:eastAsia="en-US"/>
        </w:rPr>
        <w:t xml:space="preserve">* הנ"ל). ושני נימוקים עיקריים לכך. הנימוק האחד - משום שכך מתחייב מן העובדה, שהן בדברי ההסבר להצעות החוקים והן בדיוניה של הכנסת בשלבים השונים לקראת קבלתם בכנסת מודגש וחוזר ומודגש, כי מערכת המשפט העברי שימשה, בין מערכות משפטיות אחרות, מקור ראשי לעקרונות אותם חוקים, וכי תשומת לב מיוחדת הוקדשה לקליטת עקרונות המשפט העברי לחוק בישראל (ראה, דרך משל, </w:t>
      </w:r>
      <w:hyperlink r:id="rId76" w:history="1">
        <w:r w:rsidR="008A352E" w:rsidRPr="00ED73FF">
          <w:rPr>
            <w:rStyle w:val="Hyperlink"/>
            <w:rFonts w:cs="FrankRuehl"/>
            <w:rtl/>
            <w:lang w:eastAsia="en-US"/>
          </w:rPr>
          <w:t>ע"א 604/77</w:t>
        </w:r>
      </w:hyperlink>
      <w:r>
        <w:rPr>
          <w:rFonts w:cs="FrankRuehl"/>
          <w:rtl/>
          <w:lang w:eastAsia="en-US"/>
        </w:rPr>
        <w:t xml:space="preserve"> [6], בעמ' </w:t>
      </w:r>
      <w:r>
        <w:rPr>
          <w:rFonts w:cs="FrankRuehl"/>
          <w:lang w:eastAsia="en-US"/>
        </w:rPr>
        <w:t>97</w:t>
      </w:r>
      <w:r>
        <w:rPr>
          <w:rFonts w:cs="FrankRuehl"/>
          <w:rtl/>
          <w:lang w:eastAsia="en-US"/>
        </w:rPr>
        <w:t xml:space="preserve">; </w:t>
      </w:r>
      <w:hyperlink r:id="rId77" w:history="1">
        <w:r w:rsidR="008A352E" w:rsidRPr="00ED73FF">
          <w:rPr>
            <w:rStyle w:val="Hyperlink"/>
            <w:rFonts w:cs="FrankRuehl"/>
            <w:rtl/>
            <w:lang w:eastAsia="en-US"/>
          </w:rPr>
          <w:t>ע"א 148/77</w:t>
        </w:r>
      </w:hyperlink>
      <w:r>
        <w:rPr>
          <w:rFonts w:cs="FrankRuehl"/>
          <w:rtl/>
          <w:lang w:eastAsia="en-US"/>
        </w:rPr>
        <w:t xml:space="preserve"> [3], בעמ' </w:t>
      </w:r>
      <w:r>
        <w:rPr>
          <w:rFonts w:cs="FrankRuehl"/>
          <w:lang w:eastAsia="en-US"/>
        </w:rPr>
        <w:t>632</w:t>
      </w:r>
      <w:r>
        <w:rPr>
          <w:rFonts w:cs="FrankRuehl"/>
          <w:rtl/>
          <w:lang w:eastAsia="en-US"/>
        </w:rPr>
        <w:t>-</w:t>
      </w:r>
      <w:r>
        <w:rPr>
          <w:rFonts w:cs="FrankRuehl"/>
          <w:lang w:eastAsia="en-US"/>
        </w:rPr>
        <w:t>633</w:t>
      </w:r>
      <w:r>
        <w:rPr>
          <w:rFonts w:cs="FrankRuehl"/>
          <w:rtl/>
          <w:lang w:eastAsia="en-US"/>
        </w:rPr>
        <w:t xml:space="preserve">; </w:t>
      </w:r>
      <w:hyperlink r:id="rId78" w:history="1">
        <w:r w:rsidR="008A352E" w:rsidRPr="00ED73FF">
          <w:rPr>
            <w:rStyle w:val="Hyperlink"/>
            <w:rFonts w:cs="FrankRuehl"/>
            <w:rtl/>
            <w:lang w:eastAsia="en-US"/>
          </w:rPr>
          <w:t>ע"א 311/78</w:t>
        </w:r>
      </w:hyperlink>
      <w:r>
        <w:rPr>
          <w:rFonts w:cs="FrankRuehl"/>
          <w:rtl/>
          <w:lang w:eastAsia="en-US"/>
        </w:rPr>
        <w:t xml:space="preserve"> [7] ועוד); ודוגמה מובהקת לכך משמש </w:t>
      </w:r>
      <w:hyperlink r:id="rId79" w:history="1">
        <w:r w:rsidR="000652F4" w:rsidRPr="000652F4">
          <w:rPr>
            <w:rStyle w:val="Hyperlink"/>
            <w:rFonts w:cs="FrankRuehl"/>
            <w:rtl/>
            <w:lang w:eastAsia="en-US"/>
          </w:rPr>
          <w:t>חוק השבת אבידה</w:t>
        </w:r>
      </w:hyperlink>
      <w:r>
        <w:rPr>
          <w:rFonts w:cs="FrankRuehl"/>
          <w:rtl/>
          <w:lang w:eastAsia="en-US"/>
        </w:rPr>
        <w:t xml:space="preserve">, הנדון בסוגיה שלפנינו (ראה: ע"א </w:t>
      </w:r>
      <w:r>
        <w:rPr>
          <w:rFonts w:cs="FrankRuehl"/>
          <w:lang w:eastAsia="en-US"/>
        </w:rPr>
        <w:t>546/78</w:t>
      </w:r>
      <w:r>
        <w:rPr>
          <w:rFonts w:cs="FrankRuehl"/>
          <w:rtl/>
          <w:lang w:eastAsia="en-US"/>
        </w:rPr>
        <w:t>** הנ"ל). והרי מודעת היא זאת, שהמשפט העברי שימש בעבר והנו כיום "חלק מנכסי צאן ברזל של תרבות [האומה היהודית] ... חוקם הלאומי של היהודים" (מדברי הנשיא אגרנט ב</w:t>
      </w:r>
      <w:hyperlink r:id="rId80" w:history="1">
        <w:r w:rsidR="008A352E" w:rsidRPr="00ED73FF">
          <w:rPr>
            <w:rStyle w:val="Hyperlink"/>
            <w:rFonts w:cs="FrankRuehl"/>
            <w:rtl/>
            <w:lang w:eastAsia="en-US"/>
          </w:rPr>
          <w:t>ע"א 191/51</w:t>
        </w:r>
      </w:hyperlink>
      <w:r>
        <w:rPr>
          <w:rFonts w:cs="FrankRuehl"/>
          <w:rtl/>
          <w:lang w:eastAsia="en-US"/>
        </w:rPr>
        <w:t xml:space="preserve"> [8], בעמ' </w:t>
      </w:r>
      <w:r>
        <w:rPr>
          <w:rFonts w:cs="FrankRuehl"/>
          <w:lang w:eastAsia="en-US"/>
        </w:rPr>
        <w:t>177</w:t>
      </w:r>
      <w:r>
        <w:rPr>
          <w:rFonts w:cs="FrankRuehl"/>
          <w:rtl/>
          <w:lang w:eastAsia="en-US"/>
        </w:rPr>
        <w:t xml:space="preserve">); הדעת נותנת אפוא, שההשראה לפרשנותה של מערכת משפטה של המדינה היהודית תבוא, בראש ובראשונה, ממערכת משפטה הלאומית, שהיא היא רקעה התרבותי-משפטי, כשם שנימוק זה גופו שימש למציעי החוק במדינת ישראל ולמנסחיו לראות במשפט העברי מקור ראשי לביסוס חוקי כנסת ישראל (ראה: </w:t>
      </w:r>
      <w:hyperlink r:id="rId81" w:history="1">
        <w:r w:rsidR="008A352E" w:rsidRPr="00ED73FF">
          <w:rPr>
            <w:rStyle w:val="Hyperlink"/>
            <w:rFonts w:cs="FrankRuehl"/>
            <w:rtl/>
            <w:lang w:eastAsia="en-US"/>
          </w:rPr>
          <w:t>ע"א 604/77</w:t>
        </w:r>
      </w:hyperlink>
      <w:r>
        <w:rPr>
          <w:rFonts w:cs="FrankRuehl"/>
          <w:rtl/>
          <w:lang w:eastAsia="en-US"/>
        </w:rPr>
        <w:t xml:space="preserve"> [6] ו</w:t>
      </w:r>
      <w:hyperlink r:id="rId82" w:history="1">
        <w:r w:rsidR="00ED73FF" w:rsidRPr="00ED73FF">
          <w:rPr>
            <w:rStyle w:val="Hyperlink"/>
            <w:rFonts w:cs="FrankRuehl"/>
            <w:rtl/>
            <w:lang w:eastAsia="en-US"/>
          </w:rPr>
          <w:t>ע"א 148/77[</w:t>
        </w:r>
      </w:hyperlink>
      <w:r>
        <w:rPr>
          <w:rFonts w:cs="FrankRuehl"/>
          <w:rtl/>
          <w:lang w:eastAsia="en-US"/>
        </w:rPr>
        <w:t xml:space="preserve">3] הנ"ל). ונימוק זה מקבל עתה משמעות מיוחדת לאור ההוראה שבסעיף </w:t>
      </w:r>
      <w:hyperlink r:id="rId83" w:history="1">
        <w:r w:rsidR="00463CF5" w:rsidRPr="00463CF5">
          <w:rPr>
            <w:rStyle w:val="Hyperlink"/>
            <w:rFonts w:cs="FrankRuehl"/>
            <w:lang w:eastAsia="en-US"/>
          </w:rPr>
          <w:t>2</w:t>
        </w:r>
      </w:hyperlink>
      <w:r w:rsidR="00463CF5">
        <w:rPr>
          <w:rFonts w:cs="FrankRuehl" w:hint="cs"/>
          <w:rtl/>
          <w:lang w:eastAsia="en-US"/>
        </w:rPr>
        <w:t xml:space="preserve"> </w:t>
      </w:r>
      <w:r>
        <w:rPr>
          <w:rFonts w:cs="FrankRuehl"/>
          <w:rtl/>
          <w:lang w:eastAsia="en-US"/>
        </w:rPr>
        <w:t>ל</w:t>
      </w:r>
      <w:hyperlink r:id="rId84" w:history="1">
        <w:r w:rsidR="000652F4" w:rsidRPr="000652F4">
          <w:rPr>
            <w:rStyle w:val="Hyperlink"/>
            <w:rFonts w:cs="FrankRuehl"/>
            <w:rtl/>
            <w:lang w:eastAsia="en-US"/>
          </w:rPr>
          <w:t>חוק יסודות המשפט</w:t>
        </w:r>
      </w:hyperlink>
      <w:r>
        <w:rPr>
          <w:rFonts w:cs="FrankRuehl"/>
          <w:rtl/>
          <w:lang w:eastAsia="en-US"/>
        </w:rPr>
        <w:t>, בו דנו לעיל, שעניינו, אמנם, במקרה של לאקונה בחוק, אך הימנו משתמע במרומז, איזוהי המערכת המשפטית הרצויה והמועדפת בעיני המחוקק, גם במקרה שזו משמשת כמקור השראה בלבד. והנימוק האחר אף הוא חשיבותו מרובה וגדולה. כידוע, לחקיקה הישראלית לא קדמה כמעט תורת משפט ישראלית, שאליה יכול השופט לפנות, כאשר מבקש הוא לעמוד על טיבם ומשמעותם של מושגי יסוד משפטיים, הפזורים ברחבי החקיקה, כאשר נדרש הוא לישב בין סעיפים שונים, המכחישים זה את זה וכיוצא באלה. אחד התפקידים הגדולים, המוטלים על בית המשפט, תוך כדי פסיקתו במעשים שבכל יום, הוא יצירתה ופיתוחה של תורת משפט זו. הענקת מעמד בכורה למערכת המשפט העברי כמקור להשראה פרשנית של המשפט הישראלי - בטרם פנייה, בשעת הספק, בעניין פלוני למערכת משפטית אחת ובעניין פלמוני למערכת משפטית אחרת - יש בה כדי ליצור תשתית אחידה וכדי לפתח תורת משפט עשירה והומוגנית למערכת המשפטית הישראלית. מסכים אני, עם כל הכבוד, עם הדברים שנאמרו מפי הנשיא לנדוי:</w:t>
      </w:r>
    </w:p>
    <w:p w:rsidR="00C27A1E" w:rsidRDefault="00C27A1E">
      <w:pPr>
        <w:tabs>
          <w:tab w:val="left" w:pos="288"/>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r>
        <w:rPr>
          <w:rFonts w:cs="FrankRuehl"/>
          <w:rtl/>
          <w:lang w:eastAsia="en-US"/>
        </w:rPr>
        <w:t>המשפט הישראלי החילוני הוא משפט ללא שרשים היסטוריים משלו, בחינת אדם ללא צל. הוא מורכב מרבדים שונים, ולכל אחד מאלה מקורות היסטוריים משלו. אבל ההיסטוריה אינה שלנו ....</w:t>
      </w:r>
    </w:p>
    <w:p w:rsidR="00C27A1E" w:rsidRDefault="00C27A1E">
      <w:pPr>
        <w:tabs>
          <w:tab w:val="left" w:pos="288"/>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זו הבעיה הגדולה של המשפט הישראלי המודרני, ורבים מאתנו - אף מן החילוניים שבינינו - כואבים את הכאב על כך שעד כה לא נמצאה דרך הסינתיזה בין המשפט העברי כנכס תרבותנו הלאומית לבין דרישותיה</w:t>
      </w:r>
    </w:p>
    <w:p w:rsidR="00C27A1E" w:rsidRDefault="00C27A1E">
      <w:pPr>
        <w:tabs>
          <w:tab w:val="left" w:pos="288"/>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r>
        <w:rPr>
          <w:rFonts w:cs="FrankRuehl"/>
          <w:rtl/>
          <w:lang w:eastAsia="en-US"/>
        </w:rPr>
        <w:t xml:space="preserve"> שם, בעמ' </w:t>
      </w:r>
      <w:r>
        <w:rPr>
          <w:rFonts w:cs="FrankRuehl"/>
          <w:lang w:eastAsia="en-US"/>
        </w:rPr>
        <w:t>.80</w:t>
      </w:r>
    </w:p>
    <w:p w:rsidR="00C27A1E" w:rsidRDefault="00C27A1E">
      <w:pPr>
        <w:tabs>
          <w:tab w:val="left" w:pos="288"/>
          <w:tab w:val="left" w:pos="1296"/>
        </w:tabs>
        <w:autoSpaceDE w:val="0"/>
        <w:autoSpaceDN w:val="0"/>
        <w:bidi/>
        <w:adjustRightInd w:val="0"/>
        <w:spacing w:after="80" w:line="260" w:lineRule="exact"/>
        <w:ind w:firstLine="283"/>
        <w:jc w:val="both"/>
        <w:rPr>
          <w:rFonts w:cs="FrankRuehl"/>
          <w:lang w:eastAsia="en-US"/>
        </w:rPr>
      </w:pPr>
      <w:r>
        <w:rPr>
          <w:rFonts w:cs="FrankRuehl"/>
          <w:lang w:eastAsia="en-US"/>
        </w:rPr>
        <w:t xml:space="preserve">** </w:t>
      </w:r>
      <w:r>
        <w:rPr>
          <w:rFonts w:cs="FrankRuehl"/>
          <w:rtl/>
          <w:lang w:eastAsia="en-US"/>
        </w:rPr>
        <w:t xml:space="preserve">שם, בעמ' </w:t>
      </w:r>
      <w:r>
        <w:rPr>
          <w:rFonts w:cs="FrankRuehl"/>
          <w:lang w:eastAsia="en-US"/>
        </w:rPr>
        <w:t>69</w:t>
      </w:r>
      <w:r>
        <w:rPr>
          <w:rFonts w:cs="FrankRuehl"/>
          <w:rtl/>
          <w:lang w:eastAsia="en-US"/>
        </w:rPr>
        <w:t>-</w:t>
      </w:r>
      <w:r>
        <w:rPr>
          <w:rFonts w:cs="FrankRuehl"/>
          <w:lang w:eastAsia="en-US"/>
        </w:rPr>
        <w:t>70</w:t>
      </w:r>
      <w:r>
        <w:rPr>
          <w:rFonts w:cs="FrankRuehl"/>
          <w:rtl/>
          <w:lang w:eastAsia="en-US"/>
        </w:rPr>
        <w:t xml:space="preserve">, </w:t>
      </w:r>
      <w:r>
        <w:rPr>
          <w:rFonts w:cs="FrankRuehl"/>
          <w:lang w:eastAsia="en-US"/>
        </w:rPr>
        <w:t>80</w:t>
      </w:r>
      <w:r>
        <w:rPr>
          <w:rFonts w:cs="FrankRuehl"/>
          <w:rtl/>
          <w:lang w:eastAsia="en-US"/>
        </w:rPr>
        <w:t xml:space="preserve">, </w:t>
      </w:r>
      <w:r>
        <w:rPr>
          <w:rFonts w:cs="FrankRuehl"/>
          <w:lang w:eastAsia="en-US"/>
        </w:rPr>
        <w:t>.84</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 xml:space="preserve">של חברה מודרנית כשלנו". (מ' </w:t>
      </w:r>
      <w:hyperlink r:id="rId85" w:history="1">
        <w:r w:rsidR="00ED73FF" w:rsidRPr="00ED73FF">
          <w:rPr>
            <w:rStyle w:val="Hyperlink"/>
            <w:rFonts w:cs="FrankRuehl"/>
            <w:rtl/>
            <w:lang w:eastAsia="en-US"/>
          </w:rPr>
          <w:t xml:space="preserve">לנדוי, "הלכה ושקול דעת בעשיית </w:t>
        </w:r>
      </w:hyperlink>
      <w:r>
        <w:rPr>
          <w:rFonts w:cs="FrankRuehl"/>
          <w:rtl/>
          <w:lang w:eastAsia="en-US"/>
        </w:rPr>
        <w:t xml:space="preserve"> משפט" משפטים א (תשכ"ט) </w:t>
      </w:r>
      <w:r>
        <w:rPr>
          <w:rFonts w:cs="FrankRuehl"/>
          <w:lang w:eastAsia="en-US"/>
        </w:rPr>
        <w:t>292</w:t>
      </w:r>
      <w:r>
        <w:rPr>
          <w:rFonts w:cs="FrankRuehl"/>
          <w:rtl/>
          <w:lang w:eastAsia="en-US"/>
        </w:rPr>
        <w:t xml:space="preserve">, </w:t>
      </w:r>
      <w:r>
        <w:rPr>
          <w:rFonts w:cs="FrankRuehl"/>
          <w:lang w:eastAsia="en-US"/>
        </w:rPr>
        <w:t>305</w:t>
      </w:r>
      <w:r>
        <w:rPr>
          <w:rFonts w:cs="FrankRuehl"/>
          <w:rtl/>
          <w:lang w:eastAsia="en-US"/>
        </w:rPr>
        <w:t>)</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הפנייה למערכת המשפט העברי כמקור השראה ראשי וראשון במעלה לפרשנותו של המשפט הישראלי, כאשר פנייה זו נעשית בעיון הראוי והזהירות הדרושה, לפי צורכי השעה ועניינו</w:t>
      </w:r>
      <w:r>
        <w:rPr>
          <w:rFonts w:cs="FrankRuehl"/>
          <w:lang w:eastAsia="en-US"/>
        </w:rPr>
        <w:t xml:space="preserve"> </w:t>
      </w:r>
      <w:r>
        <w:rPr>
          <w:rFonts w:cs="FrankRuehl"/>
          <w:rtl/>
          <w:lang w:eastAsia="en-US"/>
        </w:rPr>
        <w:t xml:space="preserve">של החוק, תעניק למשפט הישראלי שורשים היסטוריים משלו, ותפתח סינתזה זו שבין מערכת המשפט העברית לבין מערכת משפטה של המדינה היהודית (וראה עוד: מ' אלון, המשפט העברי (הוצאת ספרים ע"ש י"ל מאגנס, מהדורה 2, כרך א, תשל"ח) </w:t>
      </w:r>
      <w:r>
        <w:rPr>
          <w:rFonts w:cs="FrankRuehl"/>
          <w:lang w:eastAsia="en-US"/>
        </w:rPr>
        <w:t>116</w:t>
      </w:r>
      <w:r>
        <w:rPr>
          <w:rFonts w:cs="FrankRuehl"/>
          <w:rtl/>
          <w:lang w:eastAsia="en-US"/>
        </w:rPr>
        <w:t>ואילך)</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ומעתה נחזור לעניין שלפנינו. כפי</w:t>
      </w:r>
      <w:r>
        <w:rPr>
          <w:rFonts w:cs="FrankRuehl"/>
          <w:lang w:eastAsia="en-US"/>
        </w:rPr>
        <w:t xml:space="preserve"> </w:t>
      </w:r>
      <w:r>
        <w:rPr>
          <w:rFonts w:cs="FrankRuehl"/>
          <w:rtl/>
          <w:lang w:eastAsia="en-US"/>
        </w:rPr>
        <w:t xml:space="preserve">שעמדתי על כך בפסק-דיני שבערעור, דרכו של חברי הנכבד, השופט ברק, בפירוש סעיף </w:t>
      </w:r>
      <w:hyperlink r:id="rId86"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 xml:space="preserve">של </w:t>
      </w:r>
      <w:hyperlink r:id="rId87" w:history="1">
        <w:r w:rsidR="000652F4" w:rsidRPr="000652F4">
          <w:rPr>
            <w:rStyle w:val="Hyperlink"/>
            <w:rFonts w:cs="FrankRuehl"/>
            <w:rtl/>
            <w:lang w:eastAsia="en-US"/>
          </w:rPr>
          <w:t>חוק השבת אבידה</w:t>
        </w:r>
      </w:hyperlink>
      <w:r>
        <w:rPr>
          <w:rFonts w:cs="FrankRuehl"/>
          <w:rtl/>
          <w:lang w:eastAsia="en-US"/>
        </w:rPr>
        <w:t xml:space="preserve"> אינה נראית לי. על-פי פירושו, הרי האמור בסעיף </w:t>
      </w:r>
      <w:hyperlink r:id="rId88"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 xml:space="preserve">הוא כללו של החוק, ואילו האמור בסעיף </w:t>
      </w:r>
      <w:hyperlink r:id="rId89" w:history="1">
        <w:r w:rsidR="00463CF5" w:rsidRPr="00463CF5">
          <w:rPr>
            <w:rStyle w:val="Hyperlink"/>
            <w:rFonts w:cs="FrankRuehl"/>
            <w:lang w:eastAsia="en-US"/>
          </w:rPr>
          <w:t>2</w:t>
        </w:r>
      </w:hyperlink>
      <w:r w:rsidR="00463CF5">
        <w:rPr>
          <w:rFonts w:cs="FrankRuehl" w:hint="cs"/>
          <w:rtl/>
          <w:lang w:eastAsia="en-US"/>
        </w:rPr>
        <w:t xml:space="preserve"> </w:t>
      </w:r>
      <w:r>
        <w:rPr>
          <w:rFonts w:cs="FrankRuehl"/>
          <w:rtl/>
          <w:lang w:eastAsia="en-US"/>
        </w:rPr>
        <w:t xml:space="preserve">הוא יוצא מן הכלל, ונראה לי, כי מסקנה זו אינה מתיישבת עם פשוטו של החוק. לדעתי, פירוש זה אף אינו תואם את מגמת החוק. אין הוא מקדם את מטרתו המוצהרת ליעל ולהבטיח השבת האבידה לבעליה, והמסקנה, העולה מפירוש זה, שכעבור ארבעה חודשים, משלא נמצאו הבעלים, עוברת האבידה לבעלותו של הבנק ולא ניתנת למוצא הישר, אינה עומדת במבחן התבונה והצדק, כפי שכך הדגישו בע"א </w:t>
      </w:r>
      <w:r>
        <w:rPr>
          <w:rFonts w:cs="FrankRuehl"/>
          <w:lang w:eastAsia="en-US"/>
        </w:rPr>
        <w:t>546/78</w:t>
      </w:r>
      <w:r>
        <w:rPr>
          <w:rFonts w:cs="FrankRuehl"/>
          <w:rtl/>
          <w:lang w:eastAsia="en-US"/>
        </w:rPr>
        <w:t xml:space="preserve">* הנ"ל גם חבריי הנכבדים, הנשיא לנדוי** והשופט ברק***. והרי גם זהו כלל בדרכי הפרשנות, שהחוק צריך הוא שיתפרש, כל עוד שהדבר אינו נוגד את לשונו המפורשת, באופן שהמסקנה העולה הימנו תהא צודקת וסבירה. ועל כל אלה עמדתי במפורט בפסק-דיני שבערעור. אך גם לולא כל אלה, וגם לולא העובדה, שרוב השיטות המשפטיות הידועות לי חולקות על דרך פתרונו של חברי בבעיה שלפנינו (כפי שעמדתי על כך בפסק-דיני האמור), הרי מאחר שאין פירושו של סעיף </w:t>
      </w:r>
      <w:hyperlink r:id="rId90"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מוכרע מתוכו ומתוכנו של החוק גופו, והאמור בו מתפרש לכאן ולכאן, מן הראוי ומן הנכון, שבכגון דא נקבל את השראתנו והנחייתנו לפירושה של סוגיה זו, בראש ובראשונה כפי שמוסדרת היא בדיני השבת אבידה שבמשפט העברי, כמבואר בדבריי לעיל. ואין אני בא למסקנה זו, משום שהמונח "רשות" מיוחד הוא במקורות המשפט העברי ולקוח הימנו - אלא משום שלדעתי, כאשר קיים ספק בפרשנותו של החוק, והספק אינו ניתן להכרעה מתוכו ומתוכו, ותרים אנו אחר מקור השראה לפרשנותנו ולפתרון הבעיה שלפנינו, עלינו לפנות בראש ובראשונה למערכת המשפט העברי ולמצוא בהוראותיה ובתוכנה דרך פתרונה של בעיה זו, ובלבד - כפי שהדגשתי זאת בדבריי - שפתרון זה אינו עומד בניגוד לאמור בחוק, ושאין בו משום עירוב מין בשאינו מינו. לדעת חבריי הנכבדים, השופט ברק**** והנשיא לנדוי**, הנחות היסוד של</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פ"ד </w:t>
      </w:r>
      <w:proofErr w:type="gramStart"/>
      <w:r>
        <w:rPr>
          <w:rFonts w:cs="FrankRuehl"/>
          <w:rtl/>
          <w:lang w:eastAsia="en-US"/>
        </w:rPr>
        <w:t>לד(</w:t>
      </w:r>
      <w:proofErr w:type="gramEnd"/>
      <w:r>
        <w:rPr>
          <w:rFonts w:cs="FrankRuehl"/>
          <w:rtl/>
          <w:lang w:eastAsia="en-US"/>
        </w:rPr>
        <w:t xml:space="preserve">3) </w:t>
      </w:r>
      <w:r>
        <w:rPr>
          <w:rFonts w:cs="FrankRuehl"/>
          <w:lang w:eastAsia="en-US"/>
        </w:rPr>
        <w:t>.57</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שם, בעמ' </w:t>
      </w:r>
      <w:r>
        <w:rPr>
          <w:rFonts w:cs="FrankRuehl"/>
          <w:lang w:eastAsia="en-US"/>
        </w:rPr>
        <w:t>.87</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lang w:eastAsia="en-US"/>
        </w:rPr>
        <w:t>***</w:t>
      </w:r>
      <w:r>
        <w:rPr>
          <w:rFonts w:cs="FrankRuehl"/>
          <w:rtl/>
          <w:lang w:eastAsia="en-US"/>
        </w:rPr>
        <w:t xml:space="preserve"> שם, בעמ' </w:t>
      </w:r>
      <w:r>
        <w:rPr>
          <w:rFonts w:cs="FrankRuehl"/>
          <w:lang w:eastAsia="en-US"/>
        </w:rPr>
        <w:t>.64</w:t>
      </w:r>
      <w:r>
        <w:rPr>
          <w:rFonts w:cs="FrankRuehl"/>
          <w:rtl/>
          <w:lang w:eastAsia="en-US"/>
        </w:rPr>
        <w:t xml:space="preserve">**** שם, בעמ' </w:t>
      </w:r>
      <w:r>
        <w:rPr>
          <w:rFonts w:cs="FrankRuehl"/>
          <w:lang w:eastAsia="en-US"/>
        </w:rPr>
        <w:t>67</w:t>
      </w:r>
      <w:r>
        <w:rPr>
          <w:rFonts w:cs="FrankRuehl"/>
          <w:rtl/>
          <w:lang w:eastAsia="en-US"/>
        </w:rPr>
        <w:t xml:space="preserve">, </w:t>
      </w:r>
      <w:r>
        <w:rPr>
          <w:rFonts w:cs="FrankRuehl"/>
          <w:lang w:eastAsia="en-US"/>
        </w:rPr>
        <w:t>.68</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cr/>
      </w:r>
      <w:r>
        <w:rPr>
          <w:rFonts w:cs="FrankRuehl"/>
          <w:rtl/>
          <w:lang w:eastAsia="en-US"/>
        </w:rPr>
        <w:br w:type="page"/>
      </w:r>
      <w:r>
        <w:rPr>
          <w:rFonts w:cs="FrankRuehl"/>
          <w:rtl/>
          <w:lang w:eastAsia="en-US"/>
        </w:rPr>
        <w:lastRenderedPageBreak/>
        <w:t>המשפט העברי בסוגיה זו שלפנינו שונות ממגמת היסוד שב</w:t>
      </w:r>
      <w:hyperlink r:id="rId91" w:history="1">
        <w:r w:rsidR="000652F4" w:rsidRPr="000652F4">
          <w:rPr>
            <w:rStyle w:val="Hyperlink"/>
            <w:rFonts w:cs="FrankRuehl"/>
            <w:rtl/>
            <w:lang w:eastAsia="en-US"/>
          </w:rPr>
          <w:t>חוק השבת אבידה</w:t>
        </w:r>
      </w:hyperlink>
      <w:r>
        <w:rPr>
          <w:rFonts w:cs="FrankRuehl"/>
          <w:rtl/>
          <w:lang w:eastAsia="en-US"/>
        </w:rPr>
        <w:t xml:space="preserve">, באשר המשפט העברי דן מיהו הבעלים על האבידה, והמחוקק הישראלי עניינו בשאלה, מי ישמור עליה ויזכה בה. עם כל הכבוד הראוי, קשה עלי הבנתה של טענה זו. הרי שוני זה, שחבריי מצביעים עליו, נוצר כתוצאה מדרך פירושם את סעיף </w:t>
      </w:r>
      <w:hyperlink r:id="rId92"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 xml:space="preserve">של החוק, היינו, שהשיקול, המונח ביסודו של סעיף זה, הוא - כשיקול, שעליו עמדו מלומדי משפט אמריקאיים, המצוטטים על-ידי חברי הנכבד השופט ברק - איזו היא הכתובת הסבירה, אליה יפנה בעל האבידה, החוזר על אבידתו. כאמור בחוות-דעתי שבערעור, אין אני רואה כך לא את מגמתו ולא את פירושו של </w:t>
      </w:r>
      <w:hyperlink r:id="rId93" w:history="1">
        <w:r w:rsidR="00463CF5" w:rsidRPr="00463CF5">
          <w:rPr>
            <w:rFonts w:cs="FrankRuehl"/>
            <w:color w:val="0000FF"/>
            <w:u w:val="single"/>
            <w:rtl/>
            <w:lang w:eastAsia="en-US"/>
          </w:rPr>
          <w:t>סעיף 3</w:t>
        </w:r>
      </w:hyperlink>
      <w:r>
        <w:rPr>
          <w:rFonts w:cs="FrankRuehl"/>
          <w:rtl/>
          <w:lang w:eastAsia="en-US"/>
        </w:rPr>
        <w:t xml:space="preserve">, אלא בא הוא לקבוע, שבמקרה שאבידה נמצאה ברשות שהיא בשליטתו של אדם אחר, אזי חזקתו של בעל הרשות באבידה קודמת לחזקתו של המוצא, ומתוך כך זכאי בעל הרשות לקבל את האבידה, במקרה שלא נתגלו בעליה. </w:t>
      </w:r>
      <w:r w:rsidR="00463CF5" w:rsidRPr="00463CF5">
        <w:rPr>
          <w:rFonts w:cs="FrankRuehl"/>
          <w:color w:val="0000FF"/>
          <w:u w:val="single"/>
          <w:rtl/>
          <w:lang w:eastAsia="en-US"/>
        </w:rPr>
        <w:fldChar w:fldCharType="begin"/>
      </w:r>
      <w:r w:rsidR="00463CF5" w:rsidRPr="00463CF5">
        <w:rPr>
          <w:rFonts w:cs="FrankRuehl"/>
          <w:color w:val="0000FF"/>
          <w:u w:val="single"/>
          <w:rtl/>
          <w:lang w:eastAsia="en-US"/>
        </w:rPr>
        <w:instrText xml:space="preserve"> </w:instrText>
      </w:r>
      <w:r w:rsidR="00463CF5" w:rsidRPr="00463CF5">
        <w:rPr>
          <w:rFonts w:cs="FrankRuehl"/>
          <w:color w:val="0000FF"/>
          <w:u w:val="single"/>
          <w:lang w:eastAsia="en-US"/>
        </w:rPr>
        <w:instrText>HYPERLINK</w:instrText>
      </w:r>
      <w:r w:rsidR="00463CF5" w:rsidRPr="00463CF5">
        <w:rPr>
          <w:rFonts w:cs="FrankRuehl"/>
          <w:color w:val="0000FF"/>
          <w:u w:val="single"/>
          <w:rtl/>
          <w:lang w:eastAsia="en-US"/>
        </w:rPr>
        <w:instrText xml:space="preserve"> "</w:instrText>
      </w:r>
      <w:r w:rsidR="00463CF5" w:rsidRPr="00463CF5">
        <w:rPr>
          <w:rFonts w:cs="FrankRuehl"/>
          <w:color w:val="0000FF"/>
          <w:u w:val="single"/>
          <w:lang w:eastAsia="en-US"/>
        </w:rPr>
        <w:instrText>http://www.nevo.co.il/law/71764/7.a</w:instrText>
      </w:r>
      <w:r w:rsidR="00463CF5" w:rsidRPr="00463CF5">
        <w:rPr>
          <w:rFonts w:cs="FrankRuehl"/>
          <w:color w:val="0000FF"/>
          <w:u w:val="single"/>
          <w:rtl/>
          <w:lang w:eastAsia="en-US"/>
        </w:rPr>
        <w:instrText xml:space="preserve">" </w:instrText>
      </w:r>
      <w:r w:rsidR="00463CF5" w:rsidRPr="00463CF5">
        <w:rPr>
          <w:rFonts w:cs="FrankRuehl"/>
          <w:color w:val="0000FF"/>
          <w:u w:val="single"/>
          <w:rtl/>
          <w:lang w:eastAsia="en-US"/>
        </w:rPr>
      </w:r>
      <w:r w:rsidR="00463CF5" w:rsidRPr="00463CF5">
        <w:rPr>
          <w:rFonts w:cs="FrankRuehl"/>
          <w:color w:val="0000FF"/>
          <w:u w:val="single"/>
          <w:rtl/>
          <w:lang w:eastAsia="en-US"/>
        </w:rPr>
        <w:fldChar w:fldCharType="separate"/>
      </w:r>
      <w:r w:rsidR="00463CF5" w:rsidRPr="00463CF5">
        <w:rPr>
          <w:rFonts w:cs="FrankRuehl"/>
          <w:color w:val="0000FF"/>
          <w:u w:val="single"/>
          <w:rtl/>
          <w:lang w:eastAsia="en-US"/>
        </w:rPr>
        <w:t>וסעיף 7(א)</w:t>
      </w:r>
      <w:r w:rsidR="00463CF5" w:rsidRPr="00463CF5">
        <w:rPr>
          <w:rFonts w:cs="FrankRuehl"/>
          <w:color w:val="0000FF"/>
          <w:u w:val="single"/>
          <w:rtl/>
          <w:lang w:eastAsia="en-US"/>
        </w:rPr>
        <w:fldChar w:fldCharType="end"/>
      </w:r>
      <w:r>
        <w:rPr>
          <w:rFonts w:cs="FrankRuehl"/>
          <w:rtl/>
          <w:lang w:eastAsia="en-US"/>
        </w:rPr>
        <w:t xml:space="preserve"> שב</w:t>
      </w:r>
      <w:hyperlink r:id="rId94" w:history="1">
        <w:r w:rsidR="000652F4" w:rsidRPr="000652F4">
          <w:rPr>
            <w:rStyle w:val="Hyperlink"/>
            <w:rFonts w:cs="FrankRuehl"/>
            <w:rtl/>
            <w:lang w:eastAsia="en-US"/>
          </w:rPr>
          <w:t>חוק השבת אבידה</w:t>
        </w:r>
      </w:hyperlink>
      <w:r>
        <w:rPr>
          <w:rFonts w:cs="FrankRuehl"/>
          <w:rtl/>
          <w:lang w:eastAsia="en-US"/>
        </w:rPr>
        <w:t>, שהימנו למד חברי הנכבד, מ"מ הנשיא, אין בו, לדעתי, כדי לאלפנו לעניין שלפנינו, שהרי בסעיף זה מדובר בנכס, שהופקד או הושאר ביודעין ולא נדרש על-ידי בעליו, שעניינו והגיונו שונים מהנושא שלפנינו. המסקנה, אליה הגעתי בהשראתו של המשפט העברי, לא זו בלבד שאינה עומדת בניגוד לאמור ב</w:t>
      </w:r>
      <w:hyperlink r:id="rId95" w:history="1">
        <w:r w:rsidR="000652F4" w:rsidRPr="000652F4">
          <w:rPr>
            <w:rStyle w:val="Hyperlink"/>
            <w:rFonts w:cs="FrankRuehl"/>
            <w:rtl/>
            <w:lang w:eastAsia="en-US"/>
          </w:rPr>
          <w:t>חוק השבת אבידה</w:t>
        </w:r>
      </w:hyperlink>
      <w:r>
        <w:rPr>
          <w:rFonts w:cs="FrankRuehl"/>
          <w:rtl/>
          <w:lang w:eastAsia="en-US"/>
        </w:rPr>
        <w:t xml:space="preserve">, אלא משתלבת היא היטב בתוכנו ובמגמתו של חוק זה, ששאב מלוא חופניו מדיני המשפט העברי, ומן הראוי, לדעתי, לילך לפיהם. ועל אשר הארכתי קמעא בפרשת הדברים שבסוגיה שלפנינו, שני טעמים עמדי: הטעם האחד, משום שעד עתה לא באה לידי דוגמה יותר טובה ויותר נאה להבהרת הדרך, בה מן הראוי לילך, לדעתי, בפרשנותה של החקיקה הישראלית; והטעם האחר, משום דברי ר' יהודה, שנאמרו בתוספתא (צוקרמנדל) עדיות, א, ד, </w:t>
      </w:r>
      <w:r>
        <w:rPr>
          <w:rFonts w:cs="FrankRuehl"/>
          <w:lang w:eastAsia="en-US"/>
        </w:rPr>
        <w:t>455</w:t>
      </w:r>
      <w:r>
        <w:rPr>
          <w:rFonts w:cs="FrankRuehl"/>
          <w:rtl/>
          <w:lang w:eastAsia="en-US"/>
        </w:rPr>
        <w:t>[א]: "ר' יהודה אומר: לא הוזכרו דברי יחיד בין המרובין אלא שמא תיצרך להן שעה ויסמכו עליהן" (וראה עוד: משנה, עדיות, א, ה, [ב]: ולמה מזכירין וכו', ועיין היטב בפירוש הראב"ד, משנה, עדיות, א, ה [ג]; והר"ש משאנץ, משנה, עדיות, א, ה [ד] ודו"ק).</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אשר על כל אלה דעתי היא, כי יש לבטל את פסק-דינו הקודם של בית-משפט זה ולדחות את הערעור על פסק-דינו של בית המשפט המחוזי</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השופט ש' לוין: </w:t>
      </w:r>
      <w:r>
        <w:rPr>
          <w:rFonts w:cs="FrankRuehl"/>
          <w:lang w:eastAsia="en-US"/>
        </w:rPr>
        <w:t>.1</w:t>
      </w:r>
      <w:r>
        <w:rPr>
          <w:rFonts w:cs="FrankRuehl"/>
          <w:rtl/>
          <w:lang w:eastAsia="en-US"/>
        </w:rPr>
        <w:t xml:space="preserve">בשתי השאלות, שעליהן נסב דיון נוסף זה, דהיינו, אם נחשב הבנק כמוצא, אף כי לא קיבל פיזית את האבידה לידו, ומה פירוש המלים "ברשותו של אדם אחר" בסעיף </w:t>
      </w:r>
      <w:hyperlink r:id="rId96"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ל</w:t>
      </w:r>
      <w:hyperlink r:id="rId97" w:history="1">
        <w:r w:rsidR="000652F4" w:rsidRPr="000652F4">
          <w:rPr>
            <w:rStyle w:val="Hyperlink"/>
            <w:rFonts w:cs="FrankRuehl"/>
            <w:rtl/>
            <w:lang w:eastAsia="en-US"/>
          </w:rPr>
          <w:t>חוק השבת אבידה</w:t>
        </w:r>
      </w:hyperlink>
      <w:r>
        <w:rPr>
          <w:rFonts w:cs="FrankRuehl"/>
          <w:rtl/>
          <w:lang w:eastAsia="en-US"/>
        </w:rPr>
        <w:t>, סומך אני בשתי ידיים על מסקנותיו של חברי הנכבד, השופט ברק, בדיון המקורי</w:t>
      </w:r>
      <w:r>
        <w:rPr>
          <w:rFonts w:cs="FrankRuehl"/>
          <w:lang w:eastAsia="en-US"/>
        </w:rPr>
        <w:t xml:space="preserve">, </w:t>
      </w:r>
      <w:r>
        <w:rPr>
          <w:rFonts w:cs="FrankRuehl"/>
          <w:rtl/>
          <w:lang w:eastAsia="en-US"/>
        </w:rPr>
        <w:t>על הנמקותיהן</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rtl/>
          <w:lang w:eastAsia="en-US"/>
        </w:rPr>
        <w:t xml:space="preserve">גם לדידי יש לפרש את המלים האמורות לפי מטרת החקיקה, ואין ספק בלבי, שחדר כספות של בנק הוא, לעניין סעיף </w:t>
      </w:r>
      <w:hyperlink r:id="rId98" w:history="1">
        <w:r w:rsidR="00463CF5" w:rsidRPr="00463CF5">
          <w:rPr>
            <w:rFonts w:cs="FrankRuehl"/>
            <w:color w:val="0000FF"/>
            <w:u w:val="single"/>
            <w:rtl/>
            <w:lang w:eastAsia="en-US"/>
          </w:rPr>
          <w:t>3</w:t>
        </w:r>
      </w:hyperlink>
      <w:r w:rsidR="00463CF5">
        <w:rPr>
          <w:rFonts w:cs="FrankRuehl" w:hint="cs"/>
          <w:rtl/>
          <w:lang w:eastAsia="en-US"/>
        </w:rPr>
        <w:t xml:space="preserve"> </w:t>
      </w:r>
      <w:r>
        <w:rPr>
          <w:rFonts w:cs="FrankRuehl"/>
          <w:rtl/>
          <w:lang w:eastAsia="en-US"/>
        </w:rPr>
        <w:t>האמור, ברשותו של הבנק, שהוא הכתובת הטבעית, שאליה היה הבעלים עשוי לפנות כדי לאתר את אבידתו</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rtl/>
          <w:lang w:eastAsia="en-US"/>
        </w:rPr>
        <w:cr/>
      </w:r>
      <w:r>
        <w:rPr>
          <w:rFonts w:cs="FrankRuehl"/>
          <w:rtl/>
          <w:lang w:eastAsia="en-US"/>
        </w:rPr>
        <w:br w:type="page"/>
      </w:r>
      <w:r>
        <w:rPr>
          <w:rFonts w:cs="FrankRuehl"/>
          <w:rtl/>
          <w:lang w:eastAsia="en-US"/>
        </w:rPr>
        <w:lastRenderedPageBreak/>
        <w:t xml:space="preserve"> גם דעתי היא, שיש לקיים את פסק הדין, שניתן על-ידי שופטי הרוב בע"א </w:t>
      </w:r>
      <w:r>
        <w:rPr>
          <w:rFonts w:cs="FrankRuehl"/>
          <w:lang w:eastAsia="en-US"/>
        </w:rPr>
        <w:t>546/78*.</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השופט א' ברק: עיינתי עיין היטב בפסק-דיני בע"א </w:t>
      </w:r>
      <w:r>
        <w:rPr>
          <w:rFonts w:cs="FrankRuehl"/>
          <w:lang w:eastAsia="en-US"/>
        </w:rPr>
        <w:t>546/78</w:t>
      </w:r>
      <w:r>
        <w:rPr>
          <w:rFonts w:cs="FrankRuehl"/>
          <w:rtl/>
          <w:lang w:eastAsia="en-US"/>
        </w:rPr>
        <w:t>*, אך לא מצאתי</w:t>
      </w:r>
      <w:r>
        <w:rPr>
          <w:rFonts w:cs="FrankRuehl"/>
          <w:lang w:eastAsia="en-US"/>
        </w:rPr>
        <w:t xml:space="preserve">, </w:t>
      </w:r>
      <w:r>
        <w:rPr>
          <w:rFonts w:cs="FrankRuehl"/>
          <w:rtl/>
          <w:lang w:eastAsia="en-US"/>
        </w:rPr>
        <w:t xml:space="preserve">כי יש מקום לכך כי אחזור בי מהדעות, שהבעתי באותו פסק-דין. בכך הייתי חותם את דבריי בדיון נוסף זה, לולא בא חברי הנכבד, השופט אלון, והרחיב את היריעה באשר למעמדו ולמקומו של המשפט העברי בפסיקתו של בית המשפט. כלשעצמי נראה לי, כי עניין זה אינו דורש כלל הכרעה בעניין שלפנינו, ועל-כן אין בכוונתי להרחיב את הדיבור בו הפעם. עם זאת, ברצוני לרשום כבר עתה שתי "הערות אזהרה" בעניינים, בהם חולק אני על דעת חברי הנכבד: ראשית, מקום שדבר חקיקה ישראלי נזקק למונחי יסוד כגון "צדק", "תום לב", "תקנת הציבור" וכיוצא בהם מושגים "ערכיים", תפקידו של בית המשפט הוא לצקת תוכן קונקרטי במושגים אלה, על-פי מטרתו של החוק ובהתחשב בתנאי החיים המצויים והרצויים בישראל. בעניינים אלה אין השופט ניצב כלל בפני "שטח ריק" (לאקונה בלע"ז), שכן המחוקק קבע נורמה, החלה בעניין. על-כן איני רואה כל אפשרות להיזקק בעניין זה להוראות </w:t>
      </w:r>
      <w:hyperlink r:id="rId99" w:history="1">
        <w:r w:rsidR="000652F4" w:rsidRPr="000652F4">
          <w:rPr>
            <w:rStyle w:val="Hyperlink"/>
            <w:rFonts w:cs="FrankRuehl"/>
            <w:rtl/>
            <w:lang w:eastAsia="en-US"/>
          </w:rPr>
          <w:t>חוק יסודות המשפט</w:t>
        </w:r>
      </w:hyperlink>
      <w:r>
        <w:rPr>
          <w:rFonts w:cs="FrankRuehl"/>
          <w:rtl/>
          <w:lang w:eastAsia="en-US"/>
        </w:rPr>
        <w:t xml:space="preserve">, שעניינם מילוי חלל בלבד. שנית, מקום שדבר חקיקה דורש פירוש, ומלאכת הפירוש קשה על השופט, אין לומר כלל ועיקר, כי ההשראה הפרשנית חייבת לבוא, בראש ובראשונה, מעקרונות המשפט העברי, המהווים מקור ראשי וראשון במעלה. תהא זו טעות להחליף את המשפט האנגלי במשפט העברי כמקור לפרשנות דברי חקיקה. את דבר החקיקה צריך לפרש מתוכו, לשם הגשמת מטרת החקיקה על רקע מציאות החיים שלנו. מקום שדבר חקיקה פלוני הושפע משיטה זרה, ניתן לפנות לשיטה זו כדי לקבל השראה פרשנית, שיש בה כדי להרחיב את האופציות הפרשניות. אך לעולם אין לומר, כי שיטה פלונית, ותהא יקרה לנו כאשר תהא, עומדת מעל לשיטות אחרות, ולה זכות בכורה בהשראה הפרשנית. כפי שציין פרופ' י' </w:t>
      </w:r>
      <w:hyperlink r:id="rId100" w:history="1">
        <w:r w:rsidR="00ED73FF" w:rsidRPr="00ED73FF">
          <w:rPr>
            <w:rStyle w:val="Hyperlink"/>
            <w:rFonts w:cs="FrankRuehl"/>
            <w:rtl/>
            <w:lang w:eastAsia="en-US"/>
          </w:rPr>
          <w:t xml:space="preserve">ויסמן, "מושגי יסוד בדיני קניין </w:t>
        </w:r>
      </w:hyperlink>
      <w:r>
        <w:rPr>
          <w:rFonts w:cs="FrankRuehl"/>
          <w:rtl/>
          <w:lang w:eastAsia="en-US"/>
        </w:rPr>
        <w:t xml:space="preserve"> - סקירה ביקורתית" משפטים יא (תשמ"א) </w:t>
      </w:r>
      <w:r>
        <w:rPr>
          <w:rFonts w:cs="FrankRuehl"/>
          <w:lang w:eastAsia="en-US"/>
        </w:rPr>
        <w:t>41</w:t>
      </w:r>
      <w:r>
        <w:rPr>
          <w:rFonts w:cs="FrankRuehl"/>
          <w:rtl/>
          <w:lang w:eastAsia="en-US"/>
        </w:rPr>
        <w:t xml:space="preserve">, בעמ' </w:t>
      </w:r>
      <w:r>
        <w:rPr>
          <w:rFonts w:cs="FrankRuehl"/>
          <w:lang w:eastAsia="en-US"/>
        </w:rPr>
        <w:t>61</w:t>
      </w:r>
      <w:r>
        <w:rPr>
          <w:rFonts w:cs="FrankRuehl"/>
          <w:rtl/>
          <w:lang w:eastAsia="en-US"/>
        </w:rPr>
        <w:t>:</w:t>
      </w:r>
    </w:p>
    <w:p w:rsidR="00C27A1E" w:rsidRDefault="00C27A1E">
      <w:pPr>
        <w:tabs>
          <w:tab w:val="left" w:pos="288"/>
          <w:tab w:val="left" w:pos="720"/>
          <w:tab w:val="left" w:pos="1296"/>
        </w:tabs>
        <w:autoSpaceDE w:val="0"/>
        <w:autoSpaceDN w:val="0"/>
        <w:bidi/>
        <w:adjustRightInd w:val="0"/>
        <w:spacing w:after="80" w:line="260" w:lineRule="exact"/>
        <w:ind w:left="567" w:right="567"/>
        <w:jc w:val="both"/>
        <w:rPr>
          <w:rFonts w:cs="FrankRuehl"/>
          <w:rtl/>
          <w:lang w:eastAsia="en-US"/>
        </w:rPr>
      </w:pPr>
      <w:r>
        <w:rPr>
          <w:rFonts w:cs="FrankRuehl"/>
          <w:lang w:eastAsia="en-US"/>
        </w:rPr>
        <w:t>"</w:t>
      </w:r>
      <w:r>
        <w:rPr>
          <w:rFonts w:cs="FrankRuehl"/>
          <w:rtl/>
          <w:lang w:eastAsia="en-US"/>
        </w:rPr>
        <w:t>כל עוד נשמר הכלל, שהפרשן היורד לנבכי המשפט ההשוואתי עושה כן שלא מתוך הרכנת ראש למקורות שאותם הוא בודק, אלא מתוך גישה ביקורתית ומתוך תחושת חירות לאמץ או לדחות, ככל שייראה לטוב מלפניו, אין תועלת רבה בעינינו לקביעת סדר עדיפויות בין שיטות המשפט השונות שבהן ייעזר הפרשן".</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לדעתי, לא רק שאין תועלת במתן עדיפות למשפט העברי, אלא שהדבר נוגד את עצם מלאכת הפרשנות. על-כן אינה מקובלת עלי גישתו של חברי הנכבד, השופט אלון, הגורס, כי את הביטוי "תום לב" אשר בסעיף </w:t>
      </w:r>
      <w:hyperlink r:id="rId101" w:history="1">
        <w:r w:rsidR="003B6D80" w:rsidRPr="003B6D80">
          <w:rPr>
            <w:rFonts w:cs="FrankRuehl"/>
            <w:color w:val="0000FF"/>
            <w:u w:val="single"/>
            <w:lang w:eastAsia="en-US"/>
          </w:rPr>
          <w:t>39</w:t>
        </w:r>
      </w:hyperlink>
      <w:r w:rsidR="003B6D80">
        <w:rPr>
          <w:rFonts w:cs="FrankRuehl" w:hint="cs"/>
          <w:rtl/>
          <w:lang w:eastAsia="en-US"/>
        </w:rPr>
        <w:t xml:space="preserve"> </w:t>
      </w:r>
      <w:r>
        <w:rPr>
          <w:rFonts w:cs="FrankRuehl"/>
          <w:rtl/>
          <w:lang w:eastAsia="en-US"/>
        </w:rPr>
        <w:t>ל</w:t>
      </w:r>
      <w:hyperlink r:id="rId102" w:history="1">
        <w:r w:rsidR="000652F4" w:rsidRPr="000652F4">
          <w:rPr>
            <w:rStyle w:val="Hyperlink"/>
            <w:rFonts w:cs="FrankRuehl"/>
            <w:rtl/>
            <w:lang w:eastAsia="en-US"/>
          </w:rPr>
          <w:t>חוק החוזים</w:t>
        </w:r>
      </w:hyperlink>
      <w:r w:rsidR="008A352E" w:rsidRPr="000652F4">
        <w:rPr>
          <w:rFonts w:cs="FrankRuehl"/>
          <w:rtl/>
          <w:lang w:eastAsia="en-US"/>
        </w:rPr>
        <w:t xml:space="preserve"> (חלק כללי)</w:t>
      </w:r>
      <w:r>
        <w:rPr>
          <w:rFonts w:cs="FrankRuehl"/>
          <w:rtl/>
          <w:lang w:eastAsia="en-US"/>
        </w:rPr>
        <w:t>, תשל"ג-</w:t>
      </w:r>
      <w:r>
        <w:rPr>
          <w:rFonts w:cs="FrankRuehl"/>
          <w:lang w:eastAsia="en-US"/>
        </w:rPr>
        <w:t xml:space="preserve"> 1973</w:t>
      </w:r>
      <w:r>
        <w:rPr>
          <w:rFonts w:cs="FrankRuehl"/>
          <w:rtl/>
          <w:lang w:eastAsia="en-US"/>
        </w:rPr>
        <w:t>יש לפרש על-פי משמעותו במשפט העברי. את המושג "תום לב" ב</w:t>
      </w:r>
      <w:hyperlink r:id="rId103" w:history="1">
        <w:r w:rsidR="000652F4" w:rsidRPr="000652F4">
          <w:rPr>
            <w:rStyle w:val="Hyperlink"/>
            <w:rFonts w:cs="FrankRuehl"/>
            <w:rtl/>
            <w:lang w:eastAsia="en-US"/>
          </w:rPr>
          <w:t>חוק החוזים</w:t>
        </w:r>
      </w:hyperlink>
      <w:r w:rsidR="008A352E" w:rsidRPr="000652F4">
        <w:rPr>
          <w:rFonts w:cs="FrankRuehl"/>
          <w:rtl/>
          <w:lang w:eastAsia="en-US"/>
        </w:rPr>
        <w:t xml:space="preserve"> (חלק כללי)</w:t>
      </w:r>
      <w:r>
        <w:rPr>
          <w:rFonts w:cs="FrankRuehl"/>
          <w:rtl/>
          <w:lang w:eastAsia="en-US"/>
        </w:rPr>
        <w:t xml:space="preserve"> יש לפרש על-פי הקשרו בחוק זה. על-כן עשוי פירושו של ביטוי זה ב</w:t>
      </w:r>
      <w:hyperlink r:id="rId104" w:history="1">
        <w:r w:rsidR="000652F4" w:rsidRPr="000652F4">
          <w:rPr>
            <w:rStyle w:val="Hyperlink"/>
            <w:rFonts w:cs="FrankRuehl"/>
            <w:rtl/>
            <w:lang w:eastAsia="en-US"/>
          </w:rPr>
          <w:t>חוק החוזים</w:t>
        </w:r>
      </w:hyperlink>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lang w:eastAsia="en-US"/>
        </w:rPr>
        <w:t xml:space="preserve">* </w:t>
      </w:r>
      <w:r>
        <w:rPr>
          <w:rFonts w:cs="FrankRuehl"/>
          <w:rtl/>
          <w:lang w:eastAsia="en-US"/>
        </w:rPr>
        <w:t xml:space="preserve">פ"ד </w:t>
      </w:r>
      <w:proofErr w:type="gramStart"/>
      <w:r>
        <w:rPr>
          <w:rFonts w:cs="FrankRuehl"/>
          <w:rtl/>
          <w:lang w:eastAsia="en-US"/>
        </w:rPr>
        <w:t>לד(</w:t>
      </w:r>
      <w:proofErr w:type="gramEnd"/>
      <w:r>
        <w:rPr>
          <w:rFonts w:cs="FrankRuehl"/>
          <w:rtl/>
          <w:lang w:eastAsia="en-US"/>
        </w:rPr>
        <w:t xml:space="preserve">3) </w:t>
      </w:r>
      <w:r>
        <w:rPr>
          <w:rFonts w:cs="FrankRuehl"/>
          <w:lang w:eastAsia="en-US"/>
        </w:rPr>
        <w:t>.57</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rtl/>
          <w:lang w:eastAsia="en-US"/>
        </w:rPr>
        <w:cr/>
      </w:r>
      <w:r>
        <w:rPr>
          <w:rFonts w:cs="FrankRuehl"/>
          <w:rtl/>
          <w:lang w:eastAsia="en-US"/>
        </w:rPr>
        <w:br w:type="page"/>
      </w:r>
      <w:r>
        <w:rPr>
          <w:rFonts w:cs="FrankRuehl"/>
          <w:rtl/>
          <w:lang w:eastAsia="en-US"/>
        </w:rPr>
        <w:lastRenderedPageBreak/>
        <w:t>(חלק כללי) להיות שונה מפירושו ב</w:t>
      </w:r>
      <w:hyperlink r:id="rId105" w:history="1">
        <w:r w:rsidR="000652F4" w:rsidRPr="000652F4">
          <w:rPr>
            <w:rStyle w:val="Hyperlink"/>
            <w:rFonts w:cs="FrankRuehl"/>
            <w:rtl/>
            <w:lang w:eastAsia="en-US"/>
          </w:rPr>
          <w:t>חוק המכר</w:t>
        </w:r>
      </w:hyperlink>
      <w:r>
        <w:rPr>
          <w:rFonts w:cs="FrankRuehl"/>
          <w:rtl/>
          <w:lang w:eastAsia="en-US"/>
        </w:rPr>
        <w:t>, תשכ"ח-</w:t>
      </w:r>
      <w:r>
        <w:rPr>
          <w:rFonts w:cs="FrankRuehl"/>
          <w:lang w:eastAsia="en-US"/>
        </w:rPr>
        <w:t>1968</w:t>
      </w:r>
      <w:r>
        <w:rPr>
          <w:rFonts w:cs="FrankRuehl"/>
          <w:rtl/>
          <w:lang w:eastAsia="en-US"/>
        </w:rPr>
        <w:t>, או ב</w:t>
      </w:r>
      <w:hyperlink r:id="rId106" w:history="1">
        <w:r w:rsidR="000652F4" w:rsidRPr="000652F4">
          <w:rPr>
            <w:rStyle w:val="Hyperlink"/>
            <w:rFonts w:cs="FrankRuehl"/>
            <w:rtl/>
            <w:lang w:eastAsia="en-US"/>
          </w:rPr>
          <w:t>פקודת השטרות</w:t>
        </w:r>
      </w:hyperlink>
      <w:r>
        <w:rPr>
          <w:rFonts w:cs="FrankRuehl"/>
          <w:rtl/>
          <w:lang w:eastAsia="en-US"/>
        </w:rPr>
        <w:t xml:space="preserve"> [נוסח חדש] (ראה: </w:t>
      </w:r>
      <w:hyperlink r:id="rId107" w:history="1">
        <w:r w:rsidR="008A352E" w:rsidRPr="00ED73FF">
          <w:rPr>
            <w:rStyle w:val="Hyperlink"/>
            <w:rFonts w:cs="FrankRuehl"/>
            <w:rtl/>
            <w:lang w:eastAsia="en-US"/>
          </w:rPr>
          <w:t>בג"צ 59/80</w:t>
        </w:r>
      </w:hyperlink>
      <w:r>
        <w:rPr>
          <w:rFonts w:cs="FrankRuehl"/>
          <w:rtl/>
          <w:lang w:eastAsia="en-US"/>
        </w:rPr>
        <w:t xml:space="preserve"> [9]). רק בדרך זו ניצור לעצמנו, תוך</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lang w:eastAsia="en-US"/>
        </w:rPr>
        <w:t>"</w:t>
      </w:r>
      <w:r>
        <w:rPr>
          <w:rFonts w:cs="FrankRuehl"/>
          <w:rtl/>
          <w:lang w:eastAsia="en-US"/>
        </w:rPr>
        <w:t>מאבק למשפט" יסודי ועקבי, שיטת משפט ותורת משפט ומושגי יסוד, שיתאימו לצרכים המודרניים של מדינתנו. אין אני בא לטעון, כי מלאכה זו יש לעשותה מבראשית, וכי אסור לנו לשאוב מחכמת הדורות. נהפוך הוא: עלינו לבנות את בנייננו שלנו על יסוד ניסיון העבר שהצטבר. איננו מתחילים הכול מחדש, ומן התבונה הוא, שנשאב השראה מהחכמה האוניברסלית בכלל ומחכמתנו שלנו, העברית, בפרט. חלילה לנו לעצום עינינו מנכסי תרבות ומשפט כלליים, ועל אחת כמה וכמה חלילה לנו לעצום עינינו מנכסי תרבותנו שלנו. כל שבא אני לומר הוא, כי אין זה נכון מבחינה פורמאלית, ואין זה רצוי מבחינה מהותית, להעמיד את המשפט העברי כמקור פרשני, אליו חייב השופט לפנות, במקום שהוא מתקשה בפירוש החוק. הפניה שכזו, בלא הוראה מפורשת בחוק, אינה עולה בקנה אחד עם מהות הפרשנות, הבאה לפרש מלים וללמוד על כוונה ומטרה מתוך החוק עצמו, על רקע חקיקה הדומה לו, ושאינה משתלבת כלל בהפניה למקור אחר, יהא ערכו הלאומי והתרבותי רב ככל שיהיה.</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הנשיא ' לנדוי: עיינתי בטענותיו של פרקליט העותר בדיון נוסף זה ולא שוכנעתי, שעלי לסטות מהסכמתי לחוות-דעתו של חברי הנכבד, השופט ברק, בערעור. כן אני מסכים לחוות-דעתו של חברי הנכבד, מ"מ הנשיא.</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בתגובה על השגת מר שרשבסקי בפיסקה </w:t>
      </w:r>
      <w:r>
        <w:rPr>
          <w:rFonts w:cs="FrankRuehl"/>
          <w:lang w:eastAsia="en-US"/>
        </w:rPr>
        <w:t>11</w:t>
      </w:r>
      <w:r>
        <w:rPr>
          <w:rFonts w:cs="FrankRuehl"/>
          <w:rtl/>
          <w:lang w:eastAsia="en-US"/>
        </w:rPr>
        <w:t>של סיכומיו, אעיר, שבתיאור העובדות בדבריי בערעור לא נעלמו מעיניי ממצאיו של בית המשפט המחוזי, ולא באתי לסתור ממצאים אלה.</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בשל המחלוקת, אשר נתגלעה בין חבריי, מ"מ הנשיא והשופט ברק, מזה, וחברי השופט אלון מזה, על דרכי הפרשנות של החוק הישראלי הנדון לפנינו, אני רואה עצמי נאלץ להוסיף כמה מלים משלי, אם כי דעתי היא, עדיין, כמו בערעור, שעליו נסב הדיון הנוסף הזה, שבנסיבות העניין, כפי שאני רואה אותן, זו מחלוקת "לשם שמים", שאינה צריכה לעניין. אבל כדי ששתיקתי לא תיחשב לי כ"הודאה", אומר על נושא נכבד זה, שלדעתי אין לקבוע מסמרות בדבר ולאמץ לנו עיקרון של פרשנות, שיש לפנות בראש ובראשונה למקורות המשפט העברי כדי להתיר ספק, המתעורר ביחס לפירוש הנכון של דבר חקיקה ישראלי. בעצם הרעיון של חיוב הפרשן לפנות למקור זה דווקא ולא לאחר כדי לקבל השראה בלבד, השייכת לתחום מחשבתו העצמאית של הפרשן - אני רואה תרתי דסתרי, בין שזו חובה מוחלטת ובין שזו חובה, שעליו לקיימה "בראש וראשונה". ב</w:t>
      </w:r>
      <w:hyperlink r:id="rId108" w:history="1">
        <w:r w:rsidR="000652F4" w:rsidRPr="000652F4">
          <w:rPr>
            <w:rStyle w:val="Hyperlink"/>
            <w:rFonts w:cs="FrankRuehl"/>
            <w:rtl/>
            <w:lang w:eastAsia="en-US"/>
          </w:rPr>
          <w:t>חוק יסודות המשפט</w:t>
        </w:r>
      </w:hyperlink>
      <w:r>
        <w:rPr>
          <w:rFonts w:cs="FrankRuehl"/>
          <w:rtl/>
          <w:lang w:eastAsia="en-US"/>
        </w:rPr>
        <w:t xml:space="preserve"> נתן המחוקק הישראלי את דעתו על סוגיית הזיקה אל המשפט העברי: הוא נמנע מלהזכירו בשמו המפורש, ותחת זאת בחר במושג, שהיה עד כה בלתי מוגדר מבחינתו המשפטית: "מורשת ישראל", שאותו עצמו יש, עדיין, למלא תוכן של</w:t>
      </w:r>
      <w:r>
        <w:rPr>
          <w:rFonts w:cs="FrankRuehl"/>
          <w:lang w:eastAsia="en-US"/>
        </w:rPr>
        <w:t xml:space="preserve"> </w:t>
      </w:r>
      <w:r>
        <w:rPr>
          <w:rFonts w:cs="FrankRuehl"/>
          <w:rtl/>
          <w:lang w:eastAsia="en-US"/>
        </w:rPr>
        <w:cr/>
      </w:r>
      <w:r>
        <w:rPr>
          <w:rFonts w:cs="FrankRuehl"/>
          <w:rtl/>
          <w:lang w:eastAsia="en-US"/>
        </w:rPr>
        <w:br w:type="page"/>
      </w:r>
      <w:r>
        <w:rPr>
          <w:rFonts w:cs="FrankRuehl"/>
          <w:rtl/>
          <w:lang w:eastAsia="en-US"/>
        </w:rPr>
        <w:lastRenderedPageBreak/>
        <w:t>ממש בדרך הפרשנות - והמלאכה לא תהיה קלה. וגם זאת ציווה לנו המחוקק, רק כאשר אין למצוא תשובה בדבר חקיקה, בהלכה או בדרך היקש, כלומר כאשר קיים "שטח ריק" (לאקונה) בחוק החרות, כפי שהיטיב חברי השופט אלון להסביר. שמע מיניה, שכאשר אין לפנינו שטח ריק - והוא המקרה שלפנינו - לא אבה המחוקק לכבול את ידינו במלאכת הפרשנות, ואף לא בדרך ההפניה אל מורשת ישראל, דרך, שאין לה, לעניין זה, אחיזה בחוק החרות.</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במאמרי על "הלכה ושיקול דעת בעשיית משפט" שפורסם בשעתו דיברתי על הסינתזה הרצויה, שטרם הושגה, בין המשפט העברי כנכס תרבותנו הלאומית לבין דרישותיה של חברה מודרנית כשלנו. אין אני סבור, שסינתזה זו תושג על-ידי הכנסת דרישותיה של חברתנו אל תוך מסגרתה הקבועה של שיטת המשפט העברי, שהנה, על-פי גישתה העקרונית, שיטת משפט, התובעת מן האדם הכרה מלאה ללא סייג. נפרה את מחשבתנו המשפטית מאוצרותיו העשירים של המשפט העברי, המגלם את חכמת החיים של קדמונינו, תוך יחס של יראת כבוד אליו, אבל נשמור נא על חופש הבחירה שלנו, בני הדור הזה, לפי צורכי זמננו, ללא קביעת סדר קדימה למקורות השראתנו וללא הטלת "חובת הראיה" על הפרשן, שעליו יהיה להראות, בכל מקרה, מדוע אין הוא מוכן להיזקק למשפט העברי לצורך פרשנותו בסוגיה זו או אחרת.</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גם בעיניי המקרה שלפנינו יוכיח - אך לאו דווקא בכיוון, הנראה לחברי הנכבד. כבר הערתי על כך בדבריי בערעור, שכאן לא נוכל לשאוב השראה והדרכה לצורך פרשנותו של מעשה חקיקה ישראלי מקורי, כי הנחות היסוד של המשפט העברי שונות ממגמת המחוקק הישראלי, למשל, בשימת הדגש על חזקות (פרסומפציות) עובדתיות, על-פי שיטה קאזואיסטית, להוכחת זכות הקניין של שולחני או של בעל החצר המשתמרת, שיטה, שממנה התרחקה התחיקה שלנו.</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rtl/>
          <w:lang w:eastAsia="en-US"/>
        </w:rPr>
        <w:t xml:space="preserve"> אני מסכים, שיש לקיים את פסק-דין הרוב, שניתן בערעור</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Pr>
          <w:rFonts w:cs="FrankRuehl"/>
          <w:rtl/>
          <w:lang w:eastAsia="en-US"/>
        </w:rPr>
        <w:t xml:space="preserve">הוחלט, ברוב דעות, לקיים את פסק הדין שניתן בערעור. על העותר לשלם למשיב הראשון הוצאות בעתירה זו, בסכום כולל של </w:t>
      </w:r>
      <w:r>
        <w:rPr>
          <w:rFonts w:cs="FrankRuehl"/>
          <w:lang w:eastAsia="en-US"/>
        </w:rPr>
        <w:t>000</w:t>
      </w:r>
      <w:r>
        <w:rPr>
          <w:rFonts w:cs="FrankRuehl"/>
          <w:rtl/>
          <w:lang w:eastAsia="en-US"/>
        </w:rPr>
        <w:t>,</w:t>
      </w:r>
      <w:r>
        <w:rPr>
          <w:rFonts w:cs="FrankRuehl"/>
          <w:lang w:eastAsia="en-US"/>
        </w:rPr>
        <w:t xml:space="preserve"> 3</w:t>
      </w:r>
      <w:r>
        <w:rPr>
          <w:rFonts w:cs="FrankRuehl"/>
          <w:rtl/>
          <w:lang w:eastAsia="en-US"/>
        </w:rPr>
        <w:t>שקל</w:t>
      </w:r>
      <w:r>
        <w:rPr>
          <w:rFonts w:cs="FrankRuehl"/>
          <w:lang w:eastAsia="en-US"/>
        </w:rPr>
        <w:t>.</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8A352E" w:rsidRPr="008A352E" w:rsidRDefault="008A352E">
      <w:pPr>
        <w:tabs>
          <w:tab w:val="left" w:pos="288"/>
          <w:tab w:val="left" w:pos="720"/>
          <w:tab w:val="left" w:pos="1296"/>
        </w:tabs>
        <w:autoSpaceDE w:val="0"/>
        <w:autoSpaceDN w:val="0"/>
        <w:bidi/>
        <w:adjustRightInd w:val="0"/>
        <w:spacing w:after="80" w:line="260" w:lineRule="exact"/>
        <w:ind w:firstLine="283"/>
        <w:jc w:val="both"/>
        <w:rPr>
          <w:rFonts w:cs="FrankRuehl"/>
          <w:color w:val="FFFFFF"/>
          <w:sz w:val="4"/>
          <w:szCs w:val="4"/>
          <w:rtl/>
          <w:lang w:eastAsia="en-US"/>
        </w:rPr>
      </w:pPr>
    </w:p>
    <w:p w:rsidR="008A352E" w:rsidRPr="008A352E" w:rsidRDefault="008A352E">
      <w:pPr>
        <w:tabs>
          <w:tab w:val="left" w:pos="288"/>
          <w:tab w:val="left" w:pos="720"/>
          <w:tab w:val="left" w:pos="1296"/>
        </w:tabs>
        <w:autoSpaceDE w:val="0"/>
        <w:autoSpaceDN w:val="0"/>
        <w:bidi/>
        <w:adjustRightInd w:val="0"/>
        <w:spacing w:after="80" w:line="260" w:lineRule="exact"/>
        <w:ind w:firstLine="283"/>
        <w:jc w:val="both"/>
        <w:rPr>
          <w:rFonts w:cs="FrankRuehl"/>
          <w:color w:val="FFFFFF"/>
          <w:sz w:val="2"/>
          <w:szCs w:val="2"/>
          <w:rtl/>
          <w:lang w:eastAsia="en-US"/>
        </w:rPr>
      </w:pPr>
      <w:r w:rsidRPr="008A352E">
        <w:rPr>
          <w:rFonts w:cs="FrankRuehl"/>
          <w:color w:val="FFFFFF"/>
          <w:sz w:val="4"/>
          <w:szCs w:val="4"/>
          <w:rtl/>
          <w:lang w:eastAsia="en-US"/>
        </w:rPr>
        <w:t>5129371</w:t>
      </w:r>
    </w:p>
    <w:p w:rsidR="00C27A1E" w:rsidRDefault="008A352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r w:rsidRPr="008A352E">
        <w:rPr>
          <w:rFonts w:cs="FrankRuehl"/>
          <w:color w:val="FFFFFF"/>
          <w:sz w:val="2"/>
          <w:szCs w:val="2"/>
          <w:rtl/>
          <w:lang w:eastAsia="en-US"/>
        </w:rPr>
        <w:t>54678313</w:t>
      </w: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C27A1E" w:rsidRDefault="00C27A1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8A352E" w:rsidRDefault="00C27A1E">
      <w:pPr>
        <w:tabs>
          <w:tab w:val="left" w:pos="288"/>
          <w:tab w:val="left" w:pos="720"/>
          <w:tab w:val="left" w:pos="1296"/>
        </w:tabs>
        <w:autoSpaceDE w:val="0"/>
        <w:autoSpaceDN w:val="0"/>
        <w:bidi/>
        <w:adjustRightInd w:val="0"/>
        <w:spacing w:after="80" w:line="260" w:lineRule="exact"/>
        <w:ind w:firstLine="283"/>
        <w:jc w:val="both"/>
        <w:rPr>
          <w:rFonts w:cs="FrankRuehl"/>
          <w:lang w:eastAsia="en-US"/>
        </w:rPr>
      </w:pPr>
      <w:r>
        <w:rPr>
          <w:rFonts w:cs="FrankRuehl"/>
          <w:rtl/>
          <w:lang w:eastAsia="en-US"/>
        </w:rPr>
        <w:t>ניתן היום, ג' באדר ב' תשמ"א (</w:t>
      </w:r>
      <w:r>
        <w:rPr>
          <w:rFonts w:cs="FrankRuehl"/>
          <w:lang w:eastAsia="en-US"/>
        </w:rPr>
        <w:t>9.3.81</w:t>
      </w:r>
      <w:r>
        <w:rPr>
          <w:rFonts w:cs="FrankRuehl"/>
          <w:rtl/>
          <w:lang w:eastAsia="en-US"/>
        </w:rPr>
        <w:t>)</w:t>
      </w:r>
      <w:r>
        <w:rPr>
          <w:rFonts w:cs="FrankRuehl"/>
          <w:lang w:eastAsia="en-US"/>
        </w:rPr>
        <w:t>.</w:t>
      </w:r>
    </w:p>
    <w:p w:rsidR="008A352E" w:rsidRDefault="008A352E">
      <w:pPr>
        <w:tabs>
          <w:tab w:val="left" w:pos="288"/>
          <w:tab w:val="left" w:pos="720"/>
          <w:tab w:val="left" w:pos="1296"/>
        </w:tabs>
        <w:autoSpaceDE w:val="0"/>
        <w:autoSpaceDN w:val="0"/>
        <w:bidi/>
        <w:adjustRightInd w:val="0"/>
        <w:spacing w:after="80" w:line="260" w:lineRule="exact"/>
        <w:ind w:firstLine="283"/>
        <w:jc w:val="both"/>
        <w:rPr>
          <w:rFonts w:cs="FrankRuehl"/>
          <w:rtl/>
          <w:lang w:eastAsia="en-US"/>
        </w:rPr>
      </w:pPr>
    </w:p>
    <w:p w:rsidR="008A352E" w:rsidRDefault="008A352E" w:rsidP="008A352E">
      <w:pPr>
        <w:tabs>
          <w:tab w:val="left" w:pos="288"/>
          <w:tab w:val="left" w:pos="720"/>
          <w:tab w:val="left" w:pos="1296"/>
        </w:tabs>
        <w:autoSpaceDE w:val="0"/>
        <w:autoSpaceDN w:val="0"/>
        <w:bidi/>
        <w:adjustRightInd w:val="0"/>
        <w:spacing w:after="80" w:line="260" w:lineRule="exact"/>
        <w:ind w:firstLine="283"/>
        <w:jc w:val="center"/>
        <w:rPr>
          <w:rFonts w:cs="David"/>
          <w:color w:val="0000FF"/>
          <w:u w:val="single"/>
          <w:rtl/>
          <w:lang w:eastAsia="en-US"/>
        </w:rPr>
      </w:pPr>
      <w:hyperlink r:id="rId109" w:history="1">
        <w:r>
          <w:rPr>
            <w:rStyle w:val="Hyperlink"/>
            <w:rtl/>
          </w:rPr>
          <w:t>הודעה למנויים על עריכה ושינויים במסמכי פסיקה, חקיקה ועוד באתר נבו - הקש כאן</w:t>
        </w:r>
      </w:hyperlink>
    </w:p>
    <w:p w:rsidR="00C27A1E" w:rsidRPr="008A352E" w:rsidRDefault="00C27A1E" w:rsidP="008A352E">
      <w:pPr>
        <w:tabs>
          <w:tab w:val="left" w:pos="288"/>
          <w:tab w:val="left" w:pos="720"/>
          <w:tab w:val="left" w:pos="1296"/>
        </w:tabs>
        <w:autoSpaceDE w:val="0"/>
        <w:autoSpaceDN w:val="0"/>
        <w:bidi/>
        <w:adjustRightInd w:val="0"/>
        <w:spacing w:after="80" w:line="260" w:lineRule="exact"/>
        <w:ind w:firstLine="283"/>
        <w:jc w:val="center"/>
        <w:rPr>
          <w:rFonts w:cs="David"/>
          <w:color w:val="0000FF"/>
          <w:u w:val="single"/>
          <w:lang w:eastAsia="en-US"/>
        </w:rPr>
      </w:pPr>
    </w:p>
    <w:sectPr w:rsidR="00C27A1E" w:rsidRPr="008A352E">
      <w:headerReference w:type="even" r:id="rId110"/>
      <w:headerReference w:type="default" r:id="rId111"/>
      <w:footerReference w:type="even" r:id="rId112"/>
      <w:footerReference w:type="default" r:id="rId113"/>
      <w:type w:val="continuous"/>
      <w:pgSz w:w="11906" w:h="16838"/>
      <w:pgMar w:top="1440" w:right="1797" w:bottom="1440" w:left="1797" w:header="709" w:footer="709" w:gutter="0"/>
      <w:pgNumType w:start="785"/>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6CB" w:rsidRDefault="005266CB">
      <w:r>
        <w:separator/>
      </w:r>
    </w:p>
  </w:endnote>
  <w:endnote w:type="continuationSeparator" w:id="0">
    <w:p w:rsidR="005266CB" w:rsidRDefault="0052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opType Jerushalm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CF5" w:rsidRDefault="00463CF5">
    <w:pPr>
      <w:pStyle w:val="a4"/>
      <w:spacing w:after="240"/>
      <w:rPr>
        <w:rFonts w:cs="FrankRuehl"/>
        <w:sz w:val="22"/>
        <w:szCs w:val="22"/>
      </w:rPr>
    </w:pPr>
    <w:r>
      <w:rPr>
        <w:rFonts w:cs="FrankRuehl"/>
        <w:sz w:val="28"/>
        <w:szCs w:val="22"/>
        <w:rtl/>
      </w:rPr>
      <w:t>פסקי-דין, כרך לה, חלק שני , תשמ"א/תשמ"ב 1981</w:t>
    </w:r>
    <w:r>
      <w:rPr>
        <w:rFonts w:cs="FrankRuehl"/>
        <w:sz w:val="28"/>
        <w:szCs w:val="22"/>
        <w:rtl/>
      </w:rPr>
      <w:tab/>
    </w:r>
    <w:r>
      <w:rPr>
        <w:rFonts w:cs="FrankRuehl"/>
        <w:sz w:val="28"/>
        <w:szCs w:val="22"/>
        <w:rtl/>
      </w:rPr>
      <w:tab/>
    </w:r>
    <w:r>
      <w:rPr>
        <w:rFonts w:cs="FrankRuehl"/>
        <w:sz w:val="22"/>
        <w:szCs w:val="22"/>
      </w:rPr>
      <w:fldChar w:fldCharType="begin"/>
    </w:r>
    <w:r>
      <w:rPr>
        <w:rFonts w:cs="FrankRuehl"/>
        <w:sz w:val="22"/>
        <w:szCs w:val="22"/>
      </w:rPr>
      <w:instrText xml:space="preserve"> PAGE  \* MERGEFORMAT </w:instrText>
    </w:r>
    <w:r>
      <w:rPr>
        <w:rFonts w:cs="FrankRuehl"/>
        <w:sz w:val="22"/>
        <w:szCs w:val="22"/>
      </w:rPr>
      <w:fldChar w:fldCharType="separate"/>
    </w:r>
    <w:r w:rsidR="009C43D0">
      <w:rPr>
        <w:rFonts w:cs="FrankRuehl"/>
        <w:noProof/>
        <w:sz w:val="22"/>
        <w:szCs w:val="22"/>
      </w:rPr>
      <w:t>798</w:t>
    </w:r>
    <w:r>
      <w:rPr>
        <w:rFonts w:cs="FrankRuehl"/>
        <w:sz w:val="22"/>
        <w:szCs w:val="22"/>
      </w:rPr>
      <w:fldChar w:fldCharType="end"/>
    </w:r>
  </w:p>
  <w:p w:rsidR="00463CF5" w:rsidRDefault="00463CF5">
    <w:pPr>
      <w:pStyle w:val="a4"/>
      <w:pBdr>
        <w:top w:val="single" w:sz="4" w:space="1" w:color="auto"/>
        <w:between w:val="single" w:sz="4" w:space="0" w:color="auto"/>
      </w:pBdr>
      <w:spacing w:after="60"/>
      <w:jc w:val="center"/>
      <w:rPr>
        <w:rFonts w:cs="TopType Jerushalmi"/>
        <w:sz w:val="28"/>
        <w:szCs w:val="22"/>
        <w:rtl/>
      </w:rPr>
    </w:pPr>
    <w:r>
      <w:rPr>
        <w:rFonts w:cs="TopType Jerushalmi"/>
        <w:sz w:val="28"/>
        <w:szCs w:val="22"/>
        <w:rtl/>
      </w:rPr>
      <w:t>נבו הוצאה לאור בע"מ</w:t>
    </w:r>
    <w:r>
      <w:rPr>
        <w:rFonts w:cs="TopType Jerushalmi"/>
        <w:sz w:val="28"/>
        <w:szCs w:val="22"/>
      </w:rPr>
      <w:t xml:space="preserve">  nevo.co.il   </w:t>
    </w:r>
    <w:r>
      <w:rPr>
        <w:rFonts w:cs="TopType Jerushalmi"/>
        <w:sz w:val="28"/>
        <w:szCs w:val="22"/>
        <w:rtl/>
      </w:rPr>
      <w:t>המאגר המשפטי הישראלי</w:t>
    </w:r>
  </w:p>
  <w:p w:rsidR="00463CF5" w:rsidRDefault="00463CF5">
    <w:pPr>
      <w:pStyle w:val="a4"/>
      <w:pBdr>
        <w:top w:val="single" w:sz="4" w:space="1" w:color="auto"/>
        <w:between w:val="single" w:sz="4" w:space="0" w:color="auto"/>
      </w:pBdr>
      <w:jc w:val="right"/>
      <w:rPr>
        <w:rFonts w:cs="TopType Jerushalmi"/>
        <w:sz w:val="14"/>
        <w:szCs w:val="14"/>
      </w:rPr>
    </w:pPr>
    <w:r>
      <w:rPr>
        <w:rFonts w:cs="TopType Jerushalmi"/>
        <w:sz w:val="14"/>
        <w:szCs w:val="14"/>
      </w:rPr>
      <w:fldChar w:fldCharType="begin"/>
    </w:r>
    <w:r>
      <w:rPr>
        <w:rFonts w:cs="TopType Jerushalmi"/>
        <w:sz w:val="14"/>
        <w:szCs w:val="14"/>
      </w:rPr>
      <w:instrText xml:space="preserve"> FILENAME \p  \* MERGEFORMAT </w:instrText>
    </w:r>
    <w:r>
      <w:rPr>
        <w:rFonts w:cs="TopType Jerushalmi"/>
        <w:sz w:val="14"/>
        <w:szCs w:val="14"/>
      </w:rPr>
      <w:fldChar w:fldCharType="separate"/>
    </w:r>
    <w:r w:rsidR="00ED73FF">
      <w:rPr>
        <w:rFonts w:cs="TopType Jerushalmi"/>
        <w:noProof/>
        <w:sz w:val="14"/>
        <w:szCs w:val="14"/>
      </w:rPr>
      <w:t>Z:\hakikato run\hakika final public\hakika\recieve all\</w:t>
    </w:r>
    <w:r w:rsidR="00ED73FF" w:rsidRPr="00ED73FF">
      <w:rPr>
        <w:rFonts w:cs="TopType Jerushalmi"/>
        <w:noProof/>
        <w:sz w:val="14"/>
        <w:szCs w:val="14"/>
        <w:rtl/>
      </w:rPr>
      <w:t>הרצה</w:t>
    </w:r>
    <w:r w:rsidR="00ED73FF">
      <w:rPr>
        <w:noProof/>
        <w:sz w:val="14"/>
        <w:szCs w:val="14"/>
        <w:rtl/>
      </w:rPr>
      <w:t xml:space="preserve"> לקישורים פסיקה וספרות\15</w:t>
    </w:r>
    <w:r w:rsidR="00ED73FF" w:rsidRPr="00ED73FF">
      <w:rPr>
        <w:noProof/>
        <w:sz w:val="14"/>
        <w:szCs w:val="14"/>
      </w:rPr>
      <w:t>\padi-ld-2-785-l.doc</w:t>
    </w:r>
    <w:r>
      <w:rPr>
        <w:rFonts w:cs="TopType Jerushalmi"/>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CF5" w:rsidRDefault="00463CF5">
    <w:pPr>
      <w:pStyle w:val="a4"/>
      <w:spacing w:after="240"/>
      <w:rPr>
        <w:rFonts w:hAnsi="FrankRuehl" w:cs="FrankRuehl"/>
        <w:sz w:val="22"/>
        <w:szCs w:val="22"/>
        <w:rtl/>
      </w:rPr>
    </w:pPr>
    <w:r>
      <w:rPr>
        <w:rFonts w:hAnsi="FrankRuehl" w:cs="FrankRuehl"/>
        <w:sz w:val="22"/>
        <w:szCs w:val="22"/>
      </w:rPr>
      <w:fldChar w:fldCharType="begin"/>
    </w:r>
    <w:r>
      <w:rPr>
        <w:rFonts w:hAnsi="FrankRuehl" w:cs="FrankRuehl"/>
        <w:sz w:val="22"/>
        <w:szCs w:val="22"/>
      </w:rPr>
      <w:instrText xml:space="preserve"> PAGE  \* MERGEFORMAT </w:instrText>
    </w:r>
    <w:r>
      <w:rPr>
        <w:rFonts w:hAnsi="FrankRuehl" w:cs="FrankRuehl"/>
        <w:sz w:val="22"/>
        <w:szCs w:val="22"/>
      </w:rPr>
      <w:fldChar w:fldCharType="separate"/>
    </w:r>
    <w:r w:rsidR="009C43D0">
      <w:rPr>
        <w:rFonts w:hAnsi="FrankRuehl" w:cs="FrankRuehl"/>
        <w:noProof/>
        <w:sz w:val="22"/>
        <w:szCs w:val="22"/>
      </w:rPr>
      <w:t>785</w:t>
    </w:r>
    <w:r>
      <w:rPr>
        <w:rFonts w:hAnsi="FrankRuehl" w:cs="FrankRuehl"/>
        <w:sz w:val="22"/>
        <w:szCs w:val="22"/>
      </w:rPr>
      <w:fldChar w:fldCharType="end"/>
    </w:r>
    <w:r>
      <w:rPr>
        <w:rFonts w:hAnsi="FrankRuehl" w:cs="FrankRuehl"/>
        <w:sz w:val="22"/>
        <w:szCs w:val="22"/>
      </w:rPr>
      <w:tab/>
    </w:r>
    <w:r>
      <w:rPr>
        <w:rFonts w:hAnsi="FrankRuehl" w:cs="FrankRuehl"/>
        <w:sz w:val="22"/>
        <w:szCs w:val="22"/>
      </w:rPr>
      <w:tab/>
    </w:r>
    <w:r>
      <w:rPr>
        <w:rFonts w:hAnsi="FrankRuehl" w:cs="FrankRuehl"/>
        <w:sz w:val="22"/>
        <w:szCs w:val="22"/>
        <w:rtl/>
      </w:rPr>
      <w:t xml:space="preserve">פסקי-דין, כרך לה, חלק </w:t>
    </w:r>
    <w:proofErr w:type="gramStart"/>
    <w:r>
      <w:rPr>
        <w:rFonts w:hAnsi="FrankRuehl" w:cs="FrankRuehl"/>
        <w:sz w:val="22"/>
        <w:szCs w:val="22"/>
        <w:rtl/>
      </w:rPr>
      <w:t>שני ,</w:t>
    </w:r>
    <w:proofErr w:type="gramEnd"/>
    <w:r>
      <w:rPr>
        <w:rFonts w:hAnsi="FrankRuehl" w:cs="FrankRuehl"/>
        <w:sz w:val="22"/>
        <w:szCs w:val="22"/>
        <w:rtl/>
      </w:rPr>
      <w:t xml:space="preserve"> תשמ"א/תשמ"ב 1981</w:t>
    </w:r>
  </w:p>
  <w:p w:rsidR="00463CF5" w:rsidRDefault="00463CF5">
    <w:pPr>
      <w:pStyle w:val="a4"/>
      <w:pBdr>
        <w:top w:val="single" w:sz="4" w:space="1" w:color="auto"/>
        <w:between w:val="single" w:sz="4" w:space="0" w:color="auto"/>
      </w:pBdr>
      <w:spacing w:after="60"/>
      <w:jc w:val="center"/>
      <w:rPr>
        <w:rFonts w:cs="TopType Jerushalmi"/>
        <w:sz w:val="28"/>
        <w:szCs w:val="22"/>
        <w:rtl/>
      </w:rPr>
    </w:pPr>
    <w:r>
      <w:rPr>
        <w:rFonts w:cs="TopType Jerushalmi"/>
        <w:sz w:val="28"/>
        <w:szCs w:val="22"/>
        <w:rtl/>
      </w:rPr>
      <w:t>נבו הוצאה לאור בע"מ</w:t>
    </w:r>
    <w:r>
      <w:rPr>
        <w:rFonts w:cs="TopType Jerushalmi"/>
        <w:sz w:val="28"/>
        <w:szCs w:val="22"/>
      </w:rPr>
      <w:t xml:space="preserve">  nevo.co.il   </w:t>
    </w:r>
    <w:r>
      <w:rPr>
        <w:rFonts w:cs="TopType Jerushalmi"/>
        <w:sz w:val="28"/>
        <w:szCs w:val="22"/>
        <w:rtl/>
      </w:rPr>
      <w:t>המאגר המשפטי הישראלי</w:t>
    </w:r>
  </w:p>
  <w:p w:rsidR="00463CF5" w:rsidRDefault="00463CF5">
    <w:pPr>
      <w:pStyle w:val="a4"/>
      <w:pBdr>
        <w:top w:val="single" w:sz="4" w:space="1" w:color="auto"/>
        <w:between w:val="single" w:sz="4" w:space="0" w:color="auto"/>
      </w:pBdr>
      <w:jc w:val="right"/>
      <w:rPr>
        <w:rFonts w:cs="TopType Jerushalmi"/>
        <w:sz w:val="14"/>
        <w:szCs w:val="14"/>
        <w:rtl/>
      </w:rPr>
    </w:pPr>
    <w:r>
      <w:rPr>
        <w:rFonts w:cs="TopType Jerushalmi"/>
        <w:sz w:val="14"/>
        <w:szCs w:val="14"/>
      </w:rPr>
      <w:fldChar w:fldCharType="begin"/>
    </w:r>
    <w:r>
      <w:rPr>
        <w:rFonts w:cs="TopType Jerushalmi"/>
        <w:sz w:val="14"/>
        <w:szCs w:val="14"/>
      </w:rPr>
      <w:instrText xml:space="preserve"> FILENAME \p  \* MERGEFORMAT </w:instrText>
    </w:r>
    <w:r>
      <w:rPr>
        <w:rFonts w:cs="TopType Jerushalmi"/>
        <w:sz w:val="14"/>
        <w:szCs w:val="14"/>
      </w:rPr>
      <w:fldChar w:fldCharType="separate"/>
    </w:r>
    <w:r w:rsidR="00ED73FF">
      <w:rPr>
        <w:rFonts w:cs="TopType Jerushalmi"/>
        <w:noProof/>
        <w:sz w:val="14"/>
        <w:szCs w:val="14"/>
      </w:rPr>
      <w:t>Z:\hakikato run\hakika final public\hakika\recieve all\</w:t>
    </w:r>
    <w:r w:rsidR="00ED73FF" w:rsidRPr="00ED73FF">
      <w:rPr>
        <w:rFonts w:cs="TopType Jerushalmi"/>
        <w:noProof/>
        <w:sz w:val="14"/>
        <w:szCs w:val="14"/>
        <w:rtl/>
      </w:rPr>
      <w:t>הרצה</w:t>
    </w:r>
    <w:r w:rsidR="00ED73FF">
      <w:rPr>
        <w:noProof/>
        <w:sz w:val="14"/>
        <w:szCs w:val="14"/>
        <w:rtl/>
      </w:rPr>
      <w:t xml:space="preserve"> לקישורים פסיקה וספרות\15</w:t>
    </w:r>
    <w:r w:rsidR="00ED73FF" w:rsidRPr="00ED73FF">
      <w:rPr>
        <w:noProof/>
        <w:sz w:val="14"/>
        <w:szCs w:val="14"/>
      </w:rPr>
      <w:t>\padi-ld-2-785-l.doc</w:t>
    </w:r>
    <w:r>
      <w:rPr>
        <w:rFonts w:cs="TopType Jerushalmi"/>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6CB" w:rsidRDefault="005266CB">
      <w:r>
        <w:separator/>
      </w:r>
    </w:p>
  </w:footnote>
  <w:footnote w:type="continuationSeparator" w:id="0">
    <w:p w:rsidR="005266CB" w:rsidRDefault="005266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CF5" w:rsidRDefault="00463CF5">
    <w:pPr>
      <w:pStyle w:val="a3"/>
      <w:tabs>
        <w:tab w:val="clear" w:pos="4153"/>
        <w:tab w:val="clear" w:pos="8306"/>
        <w:tab w:val="right" w:pos="8334"/>
      </w:tabs>
      <w:bidi/>
      <w:rPr>
        <w:rFonts w:hAnsi="FrankRuehl" w:cs="FrankRuehl"/>
        <w:rtl/>
      </w:rPr>
    </w:pPr>
    <w:r>
      <w:rPr>
        <w:rFonts w:hAnsi="FrankRuehl" w:cs="FrankRuehl"/>
        <w:rtl/>
      </w:rPr>
      <w:t>דנ 13/80</w:t>
    </w:r>
    <w:r>
      <w:rPr>
        <w:rFonts w:hAnsi="FrankRuehl" w:cs="FrankRuehl"/>
      </w:rPr>
      <w:tab/>
      <w:t xml:space="preserve"> </w:t>
    </w:r>
    <w:r>
      <w:rPr>
        <w:rFonts w:hAnsi="FrankRuehl" w:cs="FrankRuehl"/>
        <w:rtl/>
      </w:rPr>
      <w:t>אליעזר הנדלס</w:t>
    </w:r>
    <w:r>
      <w:rPr>
        <w:rFonts w:hAnsi="FrankRuehl" w:cs="FrankRuehl"/>
      </w:rPr>
      <w:t xml:space="preserve"> </w:t>
    </w:r>
    <w:r>
      <w:rPr>
        <w:rFonts w:hAnsi="FrankRuehl" w:cs="FrankRuehl"/>
        <w:rtl/>
      </w:rPr>
      <w:t>נ' בנק קופת עם בע"מ</w:t>
    </w:r>
  </w:p>
  <w:p w:rsidR="00463CF5" w:rsidRDefault="00463CF5">
    <w:pPr>
      <w:pStyle w:val="a3"/>
      <w:pBdr>
        <w:top w:val="single" w:sz="4" w:space="0" w:color="auto"/>
      </w:pBdr>
      <w:tabs>
        <w:tab w:val="clear" w:pos="4153"/>
        <w:tab w:val="clear" w:pos="8306"/>
        <w:tab w:val="right" w:pos="8334"/>
      </w:tabs>
      <w:bidi/>
      <w:rPr>
        <w:rFonts w:hAnsi="FrankRuehl" w:cs="FrankRuehl"/>
        <w:sz w:val="22"/>
        <w:szCs w:val="22"/>
        <w:rtl/>
      </w:rPr>
    </w:pPr>
    <w:r>
      <w:rPr>
        <w:rFonts w:hAnsi="FrankRuehl" w:cs="FrankRuehl"/>
        <w:sz w:val="22"/>
        <w:szCs w:val="22"/>
        <w:rtl/>
      </w:rPr>
      <w:t>פ"ד לה(2) 785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CF5" w:rsidRDefault="00463CF5">
    <w:pPr>
      <w:pStyle w:val="a3"/>
      <w:tabs>
        <w:tab w:val="clear" w:pos="4153"/>
        <w:tab w:val="clear" w:pos="8306"/>
        <w:tab w:val="right" w:pos="8334"/>
      </w:tabs>
      <w:bidi/>
      <w:rPr>
        <w:rFonts w:hAnsi="FrankRuehl" w:cs="FrankRuehl"/>
        <w:rtl/>
      </w:rPr>
    </w:pPr>
    <w:r>
      <w:rPr>
        <w:rFonts w:hAnsi="FrankRuehl" w:cs="FrankRuehl"/>
        <w:rtl/>
      </w:rPr>
      <w:t>דנ 13/80</w:t>
    </w:r>
    <w:r>
      <w:rPr>
        <w:rFonts w:hAnsi="FrankRuehl" w:cs="FrankRuehl"/>
      </w:rPr>
      <w:tab/>
      <w:t xml:space="preserve"> </w:t>
    </w:r>
    <w:r>
      <w:rPr>
        <w:rFonts w:hAnsi="FrankRuehl" w:cs="FrankRuehl"/>
        <w:rtl/>
      </w:rPr>
      <w:t>אליעזר הנדלס</w:t>
    </w:r>
    <w:r>
      <w:rPr>
        <w:rFonts w:hAnsi="FrankRuehl" w:cs="FrankRuehl"/>
      </w:rPr>
      <w:t xml:space="preserve"> </w:t>
    </w:r>
    <w:r>
      <w:rPr>
        <w:rFonts w:hAnsi="FrankRuehl" w:cs="FrankRuehl"/>
        <w:rtl/>
      </w:rPr>
      <w:t>נ' בנק קופת עם בע"מ</w:t>
    </w:r>
  </w:p>
  <w:p w:rsidR="00463CF5" w:rsidRDefault="00463CF5">
    <w:pPr>
      <w:pStyle w:val="a3"/>
      <w:pBdr>
        <w:top w:val="single" w:sz="4" w:space="0" w:color="auto"/>
      </w:pBdr>
      <w:tabs>
        <w:tab w:val="clear" w:pos="4153"/>
        <w:tab w:val="clear" w:pos="8306"/>
        <w:tab w:val="right" w:pos="8334"/>
      </w:tabs>
      <w:bidi/>
      <w:rPr>
        <w:rFonts w:hAnsi="FrankRuehl" w:cs="FrankRuehl"/>
        <w:sz w:val="22"/>
        <w:szCs w:val="22"/>
        <w:rtl/>
      </w:rPr>
    </w:pPr>
    <w:r>
      <w:rPr>
        <w:rFonts w:hAnsi="FrankRuehl" w:cs="FrankRuehl"/>
        <w:sz w:val="22"/>
        <w:szCs w:val="22"/>
        <w:rtl/>
      </w:rPr>
      <w:t>פ"ד לה(2) 785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grammar="clean"/>
  <w:defaultTabStop w:val="720"/>
  <w:doNotHyphenateCaps/>
  <w:evenAndOddHeaders/>
  <w:drawingGridHorizontalSpacing w:val="120"/>
  <w:drawingGridVerticalSpacing w:val="163"/>
  <w:displayHorizontalDrawingGridEvery w:val="0"/>
  <w:displayVerticalDrawingGridEvery w:val="2"/>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yInfo" w:val="This document was extracted from Nevo's site"/>
  </w:docVars>
  <w:rsids>
    <w:rsidRoot w:val="00423CD6"/>
    <w:rsid w:val="000652F4"/>
    <w:rsid w:val="00156A8C"/>
    <w:rsid w:val="003B6D80"/>
    <w:rsid w:val="00423CD6"/>
    <w:rsid w:val="00463CF5"/>
    <w:rsid w:val="005266CB"/>
    <w:rsid w:val="008A352E"/>
    <w:rsid w:val="009C43D0"/>
    <w:rsid w:val="009E749F"/>
    <w:rsid w:val="00C27A1E"/>
    <w:rsid w:val="00DB7F62"/>
    <w:rsid w:val="00E00822"/>
    <w:rsid w:val="00ED73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A34EB3-E43B-46AC-86B9-3387CAC6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he-IL"/>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character" w:styleId="a5">
    <w:name w:val="page number"/>
    <w:basedOn w:val="a0"/>
    <w:semiHidden/>
  </w:style>
  <w:style w:type="character" w:styleId="Hyperlink">
    <w:name w:val="Hyperlink"/>
    <w:basedOn w:val="a0"/>
    <w:rsid w:val="008A35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nevo.co.il/law/74850" TargetMode="External"/><Relationship Id="rId21" Type="http://schemas.openxmlformats.org/officeDocument/2006/relationships/hyperlink" Target="http://www.nevo.co.il/law/71888/39" TargetMode="External"/><Relationship Id="rId42" Type="http://schemas.openxmlformats.org/officeDocument/2006/relationships/hyperlink" Target="http://www.nevo.co.il/safrut/book/4994" TargetMode="External"/><Relationship Id="rId47" Type="http://schemas.openxmlformats.org/officeDocument/2006/relationships/hyperlink" Target="http://www.nevo.co.il/safrut/book/2419" TargetMode="External"/><Relationship Id="rId63" Type="http://schemas.openxmlformats.org/officeDocument/2006/relationships/hyperlink" Target="http://www.nevo.co.il/law/4666/2" TargetMode="External"/><Relationship Id="rId68" Type="http://schemas.openxmlformats.org/officeDocument/2006/relationships/hyperlink" Target="http://www.nevo.co.il/law/74850" TargetMode="External"/><Relationship Id="rId84" Type="http://schemas.openxmlformats.org/officeDocument/2006/relationships/hyperlink" Target="http://www.nevo.co.il/law/74850" TargetMode="External"/><Relationship Id="rId89" Type="http://schemas.openxmlformats.org/officeDocument/2006/relationships/hyperlink" Target="http://www.nevo.co.il/law/71764/2" TargetMode="External"/><Relationship Id="rId112" Type="http://schemas.openxmlformats.org/officeDocument/2006/relationships/footer" Target="footer1.xml"/><Relationship Id="rId16" Type="http://schemas.openxmlformats.org/officeDocument/2006/relationships/hyperlink" Target="http://www.nevo.co.il/law/4666/1" TargetMode="External"/><Relationship Id="rId107" Type="http://schemas.openxmlformats.org/officeDocument/2006/relationships/hyperlink" Target="http://www.nevo.co.il/case/17939901" TargetMode="External"/><Relationship Id="rId11" Type="http://schemas.openxmlformats.org/officeDocument/2006/relationships/hyperlink" Target="http://www.nevo.co.il/law/71765" TargetMode="External"/><Relationship Id="rId32" Type="http://schemas.openxmlformats.org/officeDocument/2006/relationships/hyperlink" Target="http://www.nevo.co.il/case/17942849" TargetMode="External"/><Relationship Id="rId37" Type="http://schemas.openxmlformats.org/officeDocument/2006/relationships/hyperlink" Target="http://www.nevo.co.il/case/17928596" TargetMode="External"/><Relationship Id="rId53" Type="http://schemas.openxmlformats.org/officeDocument/2006/relationships/hyperlink" Target="http://www.nevo.co.il/law/71764/2.b" TargetMode="External"/><Relationship Id="rId58" Type="http://schemas.openxmlformats.org/officeDocument/2006/relationships/hyperlink" Target="http://www.nevo.co.il/case/17942849" TargetMode="External"/><Relationship Id="rId74" Type="http://schemas.openxmlformats.org/officeDocument/2006/relationships/hyperlink" Target="http://www.nevo.co.il/case/17943832" TargetMode="External"/><Relationship Id="rId79" Type="http://schemas.openxmlformats.org/officeDocument/2006/relationships/hyperlink" Target="http://www.nevo.co.il/law/71764" TargetMode="External"/><Relationship Id="rId102" Type="http://schemas.openxmlformats.org/officeDocument/2006/relationships/hyperlink" Target="http://www.nevo.co.il/law/71888" TargetMode="External"/><Relationship Id="rId5" Type="http://schemas.openxmlformats.org/officeDocument/2006/relationships/endnotes" Target="endnotes.xml"/><Relationship Id="rId90" Type="http://schemas.openxmlformats.org/officeDocument/2006/relationships/hyperlink" Target="http://www.nevo.co.il/law/71764/3" TargetMode="External"/><Relationship Id="rId95" Type="http://schemas.openxmlformats.org/officeDocument/2006/relationships/hyperlink" Target="http://www.nevo.co.il/law/71764" TargetMode="External"/><Relationship Id="rId22" Type="http://schemas.openxmlformats.org/officeDocument/2006/relationships/hyperlink" Target="http://www.nevo.co.il/law/72489" TargetMode="External"/><Relationship Id="rId27" Type="http://schemas.openxmlformats.org/officeDocument/2006/relationships/hyperlink" Target="http://www.nevo.co.il/law/74850" TargetMode="External"/><Relationship Id="rId43" Type="http://schemas.openxmlformats.org/officeDocument/2006/relationships/hyperlink" Target="http://www.nevo.co.il/safrut/book/4912" TargetMode="External"/><Relationship Id="rId48" Type="http://schemas.openxmlformats.org/officeDocument/2006/relationships/hyperlink" Target="http://www.nevo.co.il/safrut/book/2431" TargetMode="External"/><Relationship Id="rId64" Type="http://schemas.openxmlformats.org/officeDocument/2006/relationships/hyperlink" Target="http://www.nevo.co.il/law/71764/3" TargetMode="External"/><Relationship Id="rId69" Type="http://schemas.openxmlformats.org/officeDocument/2006/relationships/hyperlink" Target="http://www.nevo.co.il/law/71764/3" TargetMode="External"/><Relationship Id="rId113" Type="http://schemas.openxmlformats.org/officeDocument/2006/relationships/footer" Target="footer2.xml"/><Relationship Id="rId80" Type="http://schemas.openxmlformats.org/officeDocument/2006/relationships/hyperlink" Target="http://www.nevo.co.il/case/16997103" TargetMode="External"/><Relationship Id="rId85" Type="http://schemas.openxmlformats.org/officeDocument/2006/relationships/hyperlink" Target="http://www.nevo.co.il/safrut/book/4731" TargetMode="External"/><Relationship Id="rId12" Type="http://schemas.openxmlformats.org/officeDocument/2006/relationships/hyperlink" Target="http://www.nevo.co.il/law/71765/2" TargetMode="External"/><Relationship Id="rId17" Type="http://schemas.openxmlformats.org/officeDocument/2006/relationships/hyperlink" Target="http://www.nevo.co.il/law/4666/2" TargetMode="External"/><Relationship Id="rId33" Type="http://schemas.openxmlformats.org/officeDocument/2006/relationships/hyperlink" Target="http://www.nevo.co.il/case/17937221" TargetMode="External"/><Relationship Id="rId38" Type="http://schemas.openxmlformats.org/officeDocument/2006/relationships/hyperlink" Target="http://www.nevo.co.il/case/17918579" TargetMode="External"/><Relationship Id="rId59" Type="http://schemas.openxmlformats.org/officeDocument/2006/relationships/hyperlink" Target="http://www.nevo.co.il/law/74850" TargetMode="External"/><Relationship Id="rId103" Type="http://schemas.openxmlformats.org/officeDocument/2006/relationships/hyperlink" Target="http://www.nevo.co.il/law/71888" TargetMode="External"/><Relationship Id="rId108" Type="http://schemas.openxmlformats.org/officeDocument/2006/relationships/hyperlink" Target="http://www.nevo.co.il/law/74850" TargetMode="External"/><Relationship Id="rId54" Type="http://schemas.openxmlformats.org/officeDocument/2006/relationships/hyperlink" Target="http://www.nevo.co.il/law/71764/2.a" TargetMode="External"/><Relationship Id="rId70" Type="http://schemas.openxmlformats.org/officeDocument/2006/relationships/hyperlink" Target="http://www.nevo.co.il/case/17937221" TargetMode="External"/><Relationship Id="rId75" Type="http://schemas.openxmlformats.org/officeDocument/2006/relationships/hyperlink" Target="http://www.nevo.co.il/case/17928596" TargetMode="External"/><Relationship Id="rId91" Type="http://schemas.openxmlformats.org/officeDocument/2006/relationships/hyperlink" Target="http://www.nevo.co.il/law/71764" TargetMode="External"/><Relationship Id="rId96" Type="http://schemas.openxmlformats.org/officeDocument/2006/relationships/hyperlink" Target="http://www.nevo.co.il/law/71764/3" TargetMode="External"/><Relationship Id="rId1" Type="http://schemas.openxmlformats.org/officeDocument/2006/relationships/styles" Target="styles.xml"/><Relationship Id="rId6" Type="http://schemas.openxmlformats.org/officeDocument/2006/relationships/hyperlink" Target="http://www.nevo.co.il/law/71764/2" TargetMode="External"/><Relationship Id="rId15" Type="http://schemas.openxmlformats.org/officeDocument/2006/relationships/hyperlink" Target="http://www.nevo.co.il/law/4666" TargetMode="External"/><Relationship Id="rId23" Type="http://schemas.openxmlformats.org/officeDocument/2006/relationships/hyperlink" Target="http://www.nevo.co.il/law/5033" TargetMode="External"/><Relationship Id="rId28" Type="http://schemas.openxmlformats.org/officeDocument/2006/relationships/hyperlink" Target="http://www.nevo.co.il/law/71888" TargetMode="External"/><Relationship Id="rId36" Type="http://schemas.openxmlformats.org/officeDocument/2006/relationships/hyperlink" Target="http://www.nevo.co.il/case/17943832" TargetMode="External"/><Relationship Id="rId49" Type="http://schemas.openxmlformats.org/officeDocument/2006/relationships/hyperlink" Target="http://www.nevo.co.il/safrut/book/6208" TargetMode="External"/><Relationship Id="rId57" Type="http://schemas.openxmlformats.org/officeDocument/2006/relationships/hyperlink" Target="http://www.nevo.co.il/law/71764/3" TargetMode="External"/><Relationship Id="rId106" Type="http://schemas.openxmlformats.org/officeDocument/2006/relationships/hyperlink" Target="http://www.nevo.co.il/law/5033" TargetMode="External"/><Relationship Id="rId114" Type="http://schemas.openxmlformats.org/officeDocument/2006/relationships/fontTable" Target="fontTable.xml"/><Relationship Id="rId10" Type="http://schemas.openxmlformats.org/officeDocument/2006/relationships/hyperlink" Target="http://www.nevo.co.il/law/71764/7.a" TargetMode="External"/><Relationship Id="rId31" Type="http://schemas.openxmlformats.org/officeDocument/2006/relationships/hyperlink" Target="http://www.nevo.co.il/law/71764" TargetMode="External"/><Relationship Id="rId44" Type="http://schemas.openxmlformats.org/officeDocument/2006/relationships/hyperlink" Target="http://www.nevo.co.il/safrut/book/4930" TargetMode="External"/><Relationship Id="rId52" Type="http://schemas.openxmlformats.org/officeDocument/2006/relationships/hyperlink" Target="http://www.nevo.co.il/law/71764/3" TargetMode="External"/><Relationship Id="rId60" Type="http://schemas.openxmlformats.org/officeDocument/2006/relationships/hyperlink" Target="http://www.nevo.co.il/law/71764/7.a" TargetMode="External"/><Relationship Id="rId65" Type="http://schemas.openxmlformats.org/officeDocument/2006/relationships/hyperlink" Target="http://www.nevo.co.il/law/71764/3" TargetMode="External"/><Relationship Id="rId73" Type="http://schemas.openxmlformats.org/officeDocument/2006/relationships/hyperlink" Target="http://www.nevo.co.il/law/74850" TargetMode="External"/><Relationship Id="rId78" Type="http://schemas.openxmlformats.org/officeDocument/2006/relationships/hyperlink" Target="http://www.nevo.co.il/case/17918579" TargetMode="External"/><Relationship Id="rId81" Type="http://schemas.openxmlformats.org/officeDocument/2006/relationships/hyperlink" Target="http://www.nevo.co.il/case/17928596" TargetMode="External"/><Relationship Id="rId86" Type="http://schemas.openxmlformats.org/officeDocument/2006/relationships/hyperlink" Target="http://www.nevo.co.il/law/71764/3" TargetMode="External"/><Relationship Id="rId94" Type="http://schemas.openxmlformats.org/officeDocument/2006/relationships/hyperlink" Target="http://www.nevo.co.il/law/71764" TargetMode="External"/><Relationship Id="rId99" Type="http://schemas.openxmlformats.org/officeDocument/2006/relationships/hyperlink" Target="http://www.nevo.co.il/law/74850" TargetMode="External"/><Relationship Id="rId101" Type="http://schemas.openxmlformats.org/officeDocument/2006/relationships/hyperlink" Target="http://www.nevo.co.il/law/71888/39" TargetMode="External"/><Relationship Id="rId4" Type="http://schemas.openxmlformats.org/officeDocument/2006/relationships/footnotes" Target="footnotes.xml"/><Relationship Id="rId9" Type="http://schemas.openxmlformats.org/officeDocument/2006/relationships/hyperlink" Target="http://www.nevo.co.il/law/71764/3" TargetMode="External"/><Relationship Id="rId13" Type="http://schemas.openxmlformats.org/officeDocument/2006/relationships/hyperlink" Target="http://www.nevo.co.il/law/74850" TargetMode="External"/><Relationship Id="rId18" Type="http://schemas.openxmlformats.org/officeDocument/2006/relationships/hyperlink" Target="http://www.nevo.co.il/law/70296" TargetMode="External"/><Relationship Id="rId39" Type="http://schemas.openxmlformats.org/officeDocument/2006/relationships/hyperlink" Target="http://www.nevo.co.il/case/16997103" TargetMode="External"/><Relationship Id="rId109" Type="http://schemas.openxmlformats.org/officeDocument/2006/relationships/hyperlink" Target="http://www.nevo.co.il/advertisements/nevo-100.doc" TargetMode="External"/><Relationship Id="rId34" Type="http://schemas.openxmlformats.org/officeDocument/2006/relationships/hyperlink" Target="http://www.nevo.co.il/case/17912109" TargetMode="External"/><Relationship Id="rId50" Type="http://schemas.openxmlformats.org/officeDocument/2006/relationships/hyperlink" Target="http://www.nevo.co.il/law/71764/3" TargetMode="External"/><Relationship Id="rId55" Type="http://schemas.openxmlformats.org/officeDocument/2006/relationships/hyperlink" Target="http://www.nevo.co.il/law/71765/2" TargetMode="External"/><Relationship Id="rId76" Type="http://schemas.openxmlformats.org/officeDocument/2006/relationships/hyperlink" Target="http://www.nevo.co.il/case/17928596" TargetMode="External"/><Relationship Id="rId97" Type="http://schemas.openxmlformats.org/officeDocument/2006/relationships/hyperlink" Target="http://www.nevo.co.il/law/71764" TargetMode="External"/><Relationship Id="rId104" Type="http://schemas.openxmlformats.org/officeDocument/2006/relationships/hyperlink" Target="http://www.nevo.co.il/law/71888" TargetMode="External"/><Relationship Id="rId7" Type="http://schemas.openxmlformats.org/officeDocument/2006/relationships/hyperlink" Target="http://www.nevo.co.il/law/71764/2.a" TargetMode="External"/><Relationship Id="rId71" Type="http://schemas.openxmlformats.org/officeDocument/2006/relationships/hyperlink" Target="http://www.nevo.co.il/case/17912109" TargetMode="External"/><Relationship Id="rId92" Type="http://schemas.openxmlformats.org/officeDocument/2006/relationships/hyperlink" Target="http://www.nevo.co.il/law/71764/3" TargetMode="External"/><Relationship Id="rId2" Type="http://schemas.openxmlformats.org/officeDocument/2006/relationships/settings" Target="settings.xml"/><Relationship Id="rId29" Type="http://schemas.openxmlformats.org/officeDocument/2006/relationships/hyperlink" Target="http://www.nevo.co.il/law/74850" TargetMode="External"/><Relationship Id="rId24" Type="http://schemas.openxmlformats.org/officeDocument/2006/relationships/hyperlink" Target="http://www.nevo.co.il/law/71764" TargetMode="External"/><Relationship Id="rId40" Type="http://schemas.openxmlformats.org/officeDocument/2006/relationships/hyperlink" Target="http://www.nevo.co.il/case/17939901" TargetMode="External"/><Relationship Id="rId45" Type="http://schemas.openxmlformats.org/officeDocument/2006/relationships/hyperlink" Target="http://www.nevo.co.il/safrut/book/4993" TargetMode="External"/><Relationship Id="rId66" Type="http://schemas.openxmlformats.org/officeDocument/2006/relationships/hyperlink" Target="http://www.nevo.co.il/law/70296/46" TargetMode="External"/><Relationship Id="rId87" Type="http://schemas.openxmlformats.org/officeDocument/2006/relationships/hyperlink" Target="http://www.nevo.co.il/law/71764" TargetMode="External"/><Relationship Id="rId110" Type="http://schemas.openxmlformats.org/officeDocument/2006/relationships/header" Target="header1.xml"/><Relationship Id="rId115" Type="http://schemas.openxmlformats.org/officeDocument/2006/relationships/theme" Target="theme/theme1.xml"/><Relationship Id="rId61" Type="http://schemas.openxmlformats.org/officeDocument/2006/relationships/hyperlink" Target="http://www.nevo.co.il/law/71764/7.a" TargetMode="External"/><Relationship Id="rId82" Type="http://schemas.openxmlformats.org/officeDocument/2006/relationships/hyperlink" Target="http://www.nevo.co.il/case/17912109" TargetMode="External"/><Relationship Id="rId19" Type="http://schemas.openxmlformats.org/officeDocument/2006/relationships/hyperlink" Target="http://www.nevo.co.il/law/70296/46" TargetMode="External"/><Relationship Id="rId14" Type="http://schemas.openxmlformats.org/officeDocument/2006/relationships/hyperlink" Target="http://www.nevo.co.il/law/74850/2" TargetMode="External"/><Relationship Id="rId30" Type="http://schemas.openxmlformats.org/officeDocument/2006/relationships/hyperlink" Target="http://www.nevo.co.il/law/70296" TargetMode="External"/><Relationship Id="rId35" Type="http://schemas.openxmlformats.org/officeDocument/2006/relationships/hyperlink" Target="http://www.nevo.co.il/case/17932542" TargetMode="External"/><Relationship Id="rId56" Type="http://schemas.openxmlformats.org/officeDocument/2006/relationships/hyperlink" Target="http://www.nevo.co.il/law/71765" TargetMode="External"/><Relationship Id="rId77" Type="http://schemas.openxmlformats.org/officeDocument/2006/relationships/hyperlink" Target="http://www.nevo.co.il/case/17912109" TargetMode="External"/><Relationship Id="rId100" Type="http://schemas.openxmlformats.org/officeDocument/2006/relationships/hyperlink" Target="http://www.nevo.co.il/safrut/book/5194" TargetMode="External"/><Relationship Id="rId105" Type="http://schemas.openxmlformats.org/officeDocument/2006/relationships/hyperlink" Target="http://www.nevo.co.il/law/72489" TargetMode="External"/><Relationship Id="rId8" Type="http://schemas.openxmlformats.org/officeDocument/2006/relationships/hyperlink" Target="http://www.nevo.co.il/law/71764/2.b" TargetMode="External"/><Relationship Id="rId51" Type="http://schemas.openxmlformats.org/officeDocument/2006/relationships/hyperlink" Target="http://www.nevo.co.il/law/71764" TargetMode="External"/><Relationship Id="rId72" Type="http://schemas.openxmlformats.org/officeDocument/2006/relationships/hyperlink" Target="http://www.nevo.co.il/law/74850/2" TargetMode="External"/><Relationship Id="rId93" Type="http://schemas.openxmlformats.org/officeDocument/2006/relationships/hyperlink" Target="http://www.nevo.co.il/law/71764/3" TargetMode="External"/><Relationship Id="rId98" Type="http://schemas.openxmlformats.org/officeDocument/2006/relationships/hyperlink" Target="http://www.nevo.co.il/law/71764/3" TargetMode="External"/><Relationship Id="rId3" Type="http://schemas.openxmlformats.org/officeDocument/2006/relationships/webSettings" Target="webSettings.xml"/><Relationship Id="rId25" Type="http://schemas.openxmlformats.org/officeDocument/2006/relationships/hyperlink" Target="http://www.nevo.co.il/law/71764" TargetMode="External"/><Relationship Id="rId46" Type="http://schemas.openxmlformats.org/officeDocument/2006/relationships/hyperlink" Target="http://www.nevo.co.il/safrut/book/5037" TargetMode="External"/><Relationship Id="rId67" Type="http://schemas.openxmlformats.org/officeDocument/2006/relationships/hyperlink" Target="http://www.nevo.co.il/law/70296" TargetMode="External"/><Relationship Id="rId20" Type="http://schemas.openxmlformats.org/officeDocument/2006/relationships/hyperlink" Target="http://www.nevo.co.il/law/71888" TargetMode="External"/><Relationship Id="rId41" Type="http://schemas.openxmlformats.org/officeDocument/2006/relationships/hyperlink" Target="http://www.nevo.co.il/safrut/book/2350" TargetMode="External"/><Relationship Id="rId62" Type="http://schemas.openxmlformats.org/officeDocument/2006/relationships/hyperlink" Target="http://www.nevo.co.il/law/71764/3" TargetMode="External"/><Relationship Id="rId83" Type="http://schemas.openxmlformats.org/officeDocument/2006/relationships/hyperlink" Target="http://www.nevo.co.il/law/74850/2" TargetMode="External"/><Relationship Id="rId88" Type="http://schemas.openxmlformats.org/officeDocument/2006/relationships/hyperlink" Target="http://www.nevo.co.il/law/71764/3" TargetMode="External"/><Relationship Id="rId111"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6479</Words>
  <Characters>32395</Characters>
  <Application>Microsoft Office Word</Application>
  <DocSecurity>0</DocSecurity>
  <Lines>269</Lines>
  <Paragraphs>77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nevo.co.il</vt:lpstr>
      <vt:lpstr>nevo.co.il</vt:lpstr>
    </vt:vector>
  </TitlesOfParts>
  <Company> </Company>
  <LinksUpToDate>false</LinksUpToDate>
  <CharactersWithSpaces>38797</CharactersWithSpaces>
  <SharedDoc>false</SharedDoc>
  <HLinks>
    <vt:vector size="636" baseType="variant">
      <vt:variant>
        <vt:i4>393283</vt:i4>
      </vt:variant>
      <vt:variant>
        <vt:i4>315</vt:i4>
      </vt:variant>
      <vt:variant>
        <vt:i4>0</vt:i4>
      </vt:variant>
      <vt:variant>
        <vt:i4>5</vt:i4>
      </vt:variant>
      <vt:variant>
        <vt:lpwstr>http://www.nevo.co.il/advertisements/nevo-100.doc</vt:lpwstr>
      </vt:variant>
      <vt:variant>
        <vt:lpwstr/>
      </vt:variant>
      <vt:variant>
        <vt:i4>8061039</vt:i4>
      </vt:variant>
      <vt:variant>
        <vt:i4>312</vt:i4>
      </vt:variant>
      <vt:variant>
        <vt:i4>0</vt:i4>
      </vt:variant>
      <vt:variant>
        <vt:i4>5</vt:i4>
      </vt:variant>
      <vt:variant>
        <vt:lpwstr>http://www.nevo.co.il/law/74850</vt:lpwstr>
      </vt:variant>
      <vt:variant>
        <vt:lpwstr/>
      </vt:variant>
      <vt:variant>
        <vt:i4>3211385</vt:i4>
      </vt:variant>
      <vt:variant>
        <vt:i4>309</vt:i4>
      </vt:variant>
      <vt:variant>
        <vt:i4>0</vt:i4>
      </vt:variant>
      <vt:variant>
        <vt:i4>5</vt:i4>
      </vt:variant>
      <vt:variant>
        <vt:lpwstr>http://www.nevo.co.il/case/17939901</vt:lpwstr>
      </vt:variant>
      <vt:variant>
        <vt:lpwstr/>
      </vt:variant>
      <vt:variant>
        <vt:i4>7929958</vt:i4>
      </vt:variant>
      <vt:variant>
        <vt:i4>306</vt:i4>
      </vt:variant>
      <vt:variant>
        <vt:i4>0</vt:i4>
      </vt:variant>
      <vt:variant>
        <vt:i4>5</vt:i4>
      </vt:variant>
      <vt:variant>
        <vt:lpwstr>http://www.nevo.co.il/law/5033</vt:lpwstr>
      </vt:variant>
      <vt:variant>
        <vt:lpwstr/>
      </vt:variant>
      <vt:variant>
        <vt:i4>7340131</vt:i4>
      </vt:variant>
      <vt:variant>
        <vt:i4>303</vt:i4>
      </vt:variant>
      <vt:variant>
        <vt:i4>0</vt:i4>
      </vt:variant>
      <vt:variant>
        <vt:i4>5</vt:i4>
      </vt:variant>
      <vt:variant>
        <vt:lpwstr>http://www.nevo.co.il/law/72489</vt:lpwstr>
      </vt:variant>
      <vt:variant>
        <vt:lpwstr/>
      </vt:variant>
      <vt:variant>
        <vt:i4>7536751</vt:i4>
      </vt:variant>
      <vt:variant>
        <vt:i4>300</vt:i4>
      </vt:variant>
      <vt:variant>
        <vt:i4>0</vt:i4>
      </vt:variant>
      <vt:variant>
        <vt:i4>5</vt:i4>
      </vt:variant>
      <vt:variant>
        <vt:lpwstr>http://www.nevo.co.il/law/71888</vt:lpwstr>
      </vt:variant>
      <vt:variant>
        <vt:lpwstr/>
      </vt:variant>
      <vt:variant>
        <vt:i4>7536751</vt:i4>
      </vt:variant>
      <vt:variant>
        <vt:i4>297</vt:i4>
      </vt:variant>
      <vt:variant>
        <vt:i4>0</vt:i4>
      </vt:variant>
      <vt:variant>
        <vt:i4>5</vt:i4>
      </vt:variant>
      <vt:variant>
        <vt:lpwstr>http://www.nevo.co.il/law/71888</vt:lpwstr>
      </vt:variant>
      <vt:variant>
        <vt:lpwstr/>
      </vt:variant>
      <vt:variant>
        <vt:i4>7536751</vt:i4>
      </vt:variant>
      <vt:variant>
        <vt:i4>294</vt:i4>
      </vt:variant>
      <vt:variant>
        <vt:i4>0</vt:i4>
      </vt:variant>
      <vt:variant>
        <vt:i4>5</vt:i4>
      </vt:variant>
      <vt:variant>
        <vt:lpwstr>http://www.nevo.co.il/law/71888</vt:lpwstr>
      </vt:variant>
      <vt:variant>
        <vt:lpwstr/>
      </vt:variant>
      <vt:variant>
        <vt:i4>6619236</vt:i4>
      </vt:variant>
      <vt:variant>
        <vt:i4>291</vt:i4>
      </vt:variant>
      <vt:variant>
        <vt:i4>0</vt:i4>
      </vt:variant>
      <vt:variant>
        <vt:i4>5</vt:i4>
      </vt:variant>
      <vt:variant>
        <vt:lpwstr>http://www.nevo.co.il/law/71888/39</vt:lpwstr>
      </vt:variant>
      <vt:variant>
        <vt:lpwstr/>
      </vt:variant>
      <vt:variant>
        <vt:i4>7602236</vt:i4>
      </vt:variant>
      <vt:variant>
        <vt:i4>288</vt:i4>
      </vt:variant>
      <vt:variant>
        <vt:i4>0</vt:i4>
      </vt:variant>
      <vt:variant>
        <vt:i4>5</vt:i4>
      </vt:variant>
      <vt:variant>
        <vt:lpwstr>http://www.nevo.co.il/safrut/book/5194</vt:lpwstr>
      </vt:variant>
      <vt:variant>
        <vt:lpwstr/>
      </vt:variant>
      <vt:variant>
        <vt:i4>8061039</vt:i4>
      </vt:variant>
      <vt:variant>
        <vt:i4>285</vt:i4>
      </vt:variant>
      <vt:variant>
        <vt:i4>0</vt:i4>
      </vt:variant>
      <vt:variant>
        <vt:i4>5</vt:i4>
      </vt:variant>
      <vt:variant>
        <vt:lpwstr>http://www.nevo.co.il/law/74850</vt:lpwstr>
      </vt:variant>
      <vt:variant>
        <vt:lpwstr/>
      </vt:variant>
      <vt:variant>
        <vt:i4>5374036</vt:i4>
      </vt:variant>
      <vt:variant>
        <vt:i4>282</vt:i4>
      </vt:variant>
      <vt:variant>
        <vt:i4>0</vt:i4>
      </vt:variant>
      <vt:variant>
        <vt:i4>5</vt:i4>
      </vt:variant>
      <vt:variant>
        <vt:lpwstr>http://www.nevo.co.il/law/71764/3</vt:lpwstr>
      </vt:variant>
      <vt:variant>
        <vt:lpwstr/>
      </vt:variant>
      <vt:variant>
        <vt:i4>8192096</vt:i4>
      </vt:variant>
      <vt:variant>
        <vt:i4>279</vt:i4>
      </vt:variant>
      <vt:variant>
        <vt:i4>0</vt:i4>
      </vt:variant>
      <vt:variant>
        <vt:i4>5</vt:i4>
      </vt:variant>
      <vt:variant>
        <vt:lpwstr>http://www.nevo.co.il/law/71764</vt:lpwstr>
      </vt:variant>
      <vt:variant>
        <vt:lpwstr/>
      </vt:variant>
      <vt:variant>
        <vt:i4>5374036</vt:i4>
      </vt:variant>
      <vt:variant>
        <vt:i4>276</vt:i4>
      </vt:variant>
      <vt:variant>
        <vt:i4>0</vt:i4>
      </vt:variant>
      <vt:variant>
        <vt:i4>5</vt:i4>
      </vt:variant>
      <vt:variant>
        <vt:lpwstr>http://www.nevo.co.il/law/71764/3</vt:lpwstr>
      </vt:variant>
      <vt:variant>
        <vt:lpwstr/>
      </vt:variant>
      <vt:variant>
        <vt:i4>8192096</vt:i4>
      </vt:variant>
      <vt:variant>
        <vt:i4>273</vt:i4>
      </vt:variant>
      <vt:variant>
        <vt:i4>0</vt:i4>
      </vt:variant>
      <vt:variant>
        <vt:i4>5</vt:i4>
      </vt:variant>
      <vt:variant>
        <vt:lpwstr>http://www.nevo.co.il/law/71764</vt:lpwstr>
      </vt:variant>
      <vt:variant>
        <vt:lpwstr/>
      </vt:variant>
      <vt:variant>
        <vt:i4>8192096</vt:i4>
      </vt:variant>
      <vt:variant>
        <vt:i4>270</vt:i4>
      </vt:variant>
      <vt:variant>
        <vt:i4>0</vt:i4>
      </vt:variant>
      <vt:variant>
        <vt:i4>5</vt:i4>
      </vt:variant>
      <vt:variant>
        <vt:lpwstr>http://www.nevo.co.il/law/71764</vt:lpwstr>
      </vt:variant>
      <vt:variant>
        <vt:lpwstr/>
      </vt:variant>
      <vt:variant>
        <vt:i4>8126563</vt:i4>
      </vt:variant>
      <vt:variant>
        <vt:i4>267</vt:i4>
      </vt:variant>
      <vt:variant>
        <vt:i4>0</vt:i4>
      </vt:variant>
      <vt:variant>
        <vt:i4>5</vt:i4>
      </vt:variant>
      <vt:variant>
        <vt:lpwstr>http://www.nevo.co.il/law/71764/7.a</vt:lpwstr>
      </vt:variant>
      <vt:variant>
        <vt:lpwstr/>
      </vt:variant>
      <vt:variant>
        <vt:i4>5374036</vt:i4>
      </vt:variant>
      <vt:variant>
        <vt:i4>264</vt:i4>
      </vt:variant>
      <vt:variant>
        <vt:i4>0</vt:i4>
      </vt:variant>
      <vt:variant>
        <vt:i4>5</vt:i4>
      </vt:variant>
      <vt:variant>
        <vt:lpwstr>http://www.nevo.co.il/law/71764/3</vt:lpwstr>
      </vt:variant>
      <vt:variant>
        <vt:lpwstr/>
      </vt:variant>
      <vt:variant>
        <vt:i4>5374036</vt:i4>
      </vt:variant>
      <vt:variant>
        <vt:i4>261</vt:i4>
      </vt:variant>
      <vt:variant>
        <vt:i4>0</vt:i4>
      </vt:variant>
      <vt:variant>
        <vt:i4>5</vt:i4>
      </vt:variant>
      <vt:variant>
        <vt:lpwstr>http://www.nevo.co.il/law/71764/3</vt:lpwstr>
      </vt:variant>
      <vt:variant>
        <vt:lpwstr/>
      </vt:variant>
      <vt:variant>
        <vt:i4>8192096</vt:i4>
      </vt:variant>
      <vt:variant>
        <vt:i4>258</vt:i4>
      </vt:variant>
      <vt:variant>
        <vt:i4>0</vt:i4>
      </vt:variant>
      <vt:variant>
        <vt:i4>5</vt:i4>
      </vt:variant>
      <vt:variant>
        <vt:lpwstr>http://www.nevo.co.il/law/71764</vt:lpwstr>
      </vt:variant>
      <vt:variant>
        <vt:lpwstr/>
      </vt:variant>
      <vt:variant>
        <vt:i4>5374036</vt:i4>
      </vt:variant>
      <vt:variant>
        <vt:i4>255</vt:i4>
      </vt:variant>
      <vt:variant>
        <vt:i4>0</vt:i4>
      </vt:variant>
      <vt:variant>
        <vt:i4>5</vt:i4>
      </vt:variant>
      <vt:variant>
        <vt:lpwstr>http://www.nevo.co.il/law/71764/3</vt:lpwstr>
      </vt:variant>
      <vt:variant>
        <vt:lpwstr/>
      </vt:variant>
      <vt:variant>
        <vt:i4>5374036</vt:i4>
      </vt:variant>
      <vt:variant>
        <vt:i4>252</vt:i4>
      </vt:variant>
      <vt:variant>
        <vt:i4>0</vt:i4>
      </vt:variant>
      <vt:variant>
        <vt:i4>5</vt:i4>
      </vt:variant>
      <vt:variant>
        <vt:lpwstr>http://www.nevo.co.il/law/71764/2</vt:lpwstr>
      </vt:variant>
      <vt:variant>
        <vt:lpwstr/>
      </vt:variant>
      <vt:variant>
        <vt:i4>5374036</vt:i4>
      </vt:variant>
      <vt:variant>
        <vt:i4>249</vt:i4>
      </vt:variant>
      <vt:variant>
        <vt:i4>0</vt:i4>
      </vt:variant>
      <vt:variant>
        <vt:i4>5</vt:i4>
      </vt:variant>
      <vt:variant>
        <vt:lpwstr>http://www.nevo.co.il/law/71764/3</vt:lpwstr>
      </vt:variant>
      <vt:variant>
        <vt:lpwstr/>
      </vt:variant>
      <vt:variant>
        <vt:i4>8192096</vt:i4>
      </vt:variant>
      <vt:variant>
        <vt:i4>246</vt:i4>
      </vt:variant>
      <vt:variant>
        <vt:i4>0</vt:i4>
      </vt:variant>
      <vt:variant>
        <vt:i4>5</vt:i4>
      </vt:variant>
      <vt:variant>
        <vt:lpwstr>http://www.nevo.co.il/law/71764</vt:lpwstr>
      </vt:variant>
      <vt:variant>
        <vt:lpwstr/>
      </vt:variant>
      <vt:variant>
        <vt:i4>5374036</vt:i4>
      </vt:variant>
      <vt:variant>
        <vt:i4>243</vt:i4>
      </vt:variant>
      <vt:variant>
        <vt:i4>0</vt:i4>
      </vt:variant>
      <vt:variant>
        <vt:i4>5</vt:i4>
      </vt:variant>
      <vt:variant>
        <vt:lpwstr>http://www.nevo.co.il/law/71764/3</vt:lpwstr>
      </vt:variant>
      <vt:variant>
        <vt:lpwstr/>
      </vt:variant>
      <vt:variant>
        <vt:i4>7798839</vt:i4>
      </vt:variant>
      <vt:variant>
        <vt:i4>240</vt:i4>
      </vt:variant>
      <vt:variant>
        <vt:i4>0</vt:i4>
      </vt:variant>
      <vt:variant>
        <vt:i4>5</vt:i4>
      </vt:variant>
      <vt:variant>
        <vt:lpwstr>http://www.nevo.co.il/safrut/book/4731</vt:lpwstr>
      </vt:variant>
      <vt:variant>
        <vt:lpwstr/>
      </vt:variant>
      <vt:variant>
        <vt:i4>8061039</vt:i4>
      </vt:variant>
      <vt:variant>
        <vt:i4>237</vt:i4>
      </vt:variant>
      <vt:variant>
        <vt:i4>0</vt:i4>
      </vt:variant>
      <vt:variant>
        <vt:i4>5</vt:i4>
      </vt:variant>
      <vt:variant>
        <vt:lpwstr>http://www.nevo.co.il/law/74850</vt:lpwstr>
      </vt:variant>
      <vt:variant>
        <vt:lpwstr/>
      </vt:variant>
      <vt:variant>
        <vt:i4>5505119</vt:i4>
      </vt:variant>
      <vt:variant>
        <vt:i4>234</vt:i4>
      </vt:variant>
      <vt:variant>
        <vt:i4>0</vt:i4>
      </vt:variant>
      <vt:variant>
        <vt:i4>5</vt:i4>
      </vt:variant>
      <vt:variant>
        <vt:lpwstr>http://www.nevo.co.il/law/74850/2</vt:lpwstr>
      </vt:variant>
      <vt:variant>
        <vt:lpwstr/>
      </vt:variant>
      <vt:variant>
        <vt:i4>3801203</vt:i4>
      </vt:variant>
      <vt:variant>
        <vt:i4>231</vt:i4>
      </vt:variant>
      <vt:variant>
        <vt:i4>0</vt:i4>
      </vt:variant>
      <vt:variant>
        <vt:i4>5</vt:i4>
      </vt:variant>
      <vt:variant>
        <vt:lpwstr>http://www.nevo.co.il/case/17912109</vt:lpwstr>
      </vt:variant>
      <vt:variant>
        <vt:lpwstr/>
      </vt:variant>
      <vt:variant>
        <vt:i4>3735668</vt:i4>
      </vt:variant>
      <vt:variant>
        <vt:i4>228</vt:i4>
      </vt:variant>
      <vt:variant>
        <vt:i4>0</vt:i4>
      </vt:variant>
      <vt:variant>
        <vt:i4>5</vt:i4>
      </vt:variant>
      <vt:variant>
        <vt:lpwstr>http://www.nevo.co.il/case/17928596</vt:lpwstr>
      </vt:variant>
      <vt:variant>
        <vt:lpwstr/>
      </vt:variant>
      <vt:variant>
        <vt:i4>4128890</vt:i4>
      </vt:variant>
      <vt:variant>
        <vt:i4>225</vt:i4>
      </vt:variant>
      <vt:variant>
        <vt:i4>0</vt:i4>
      </vt:variant>
      <vt:variant>
        <vt:i4>5</vt:i4>
      </vt:variant>
      <vt:variant>
        <vt:lpwstr>http://www.nevo.co.il/case/16997103</vt:lpwstr>
      </vt:variant>
      <vt:variant>
        <vt:lpwstr/>
      </vt:variant>
      <vt:variant>
        <vt:i4>8192096</vt:i4>
      </vt:variant>
      <vt:variant>
        <vt:i4>222</vt:i4>
      </vt:variant>
      <vt:variant>
        <vt:i4>0</vt:i4>
      </vt:variant>
      <vt:variant>
        <vt:i4>5</vt:i4>
      </vt:variant>
      <vt:variant>
        <vt:lpwstr>http://www.nevo.co.il/law/71764</vt:lpwstr>
      </vt:variant>
      <vt:variant>
        <vt:lpwstr/>
      </vt:variant>
      <vt:variant>
        <vt:i4>3604599</vt:i4>
      </vt:variant>
      <vt:variant>
        <vt:i4>219</vt:i4>
      </vt:variant>
      <vt:variant>
        <vt:i4>0</vt:i4>
      </vt:variant>
      <vt:variant>
        <vt:i4>5</vt:i4>
      </vt:variant>
      <vt:variant>
        <vt:lpwstr>http://www.nevo.co.il/case/17918579</vt:lpwstr>
      </vt:variant>
      <vt:variant>
        <vt:lpwstr/>
      </vt:variant>
      <vt:variant>
        <vt:i4>3801203</vt:i4>
      </vt:variant>
      <vt:variant>
        <vt:i4>216</vt:i4>
      </vt:variant>
      <vt:variant>
        <vt:i4>0</vt:i4>
      </vt:variant>
      <vt:variant>
        <vt:i4>5</vt:i4>
      </vt:variant>
      <vt:variant>
        <vt:lpwstr>http://www.nevo.co.il/case/17912109</vt:lpwstr>
      </vt:variant>
      <vt:variant>
        <vt:lpwstr/>
      </vt:variant>
      <vt:variant>
        <vt:i4>3735668</vt:i4>
      </vt:variant>
      <vt:variant>
        <vt:i4>213</vt:i4>
      </vt:variant>
      <vt:variant>
        <vt:i4>0</vt:i4>
      </vt:variant>
      <vt:variant>
        <vt:i4>5</vt:i4>
      </vt:variant>
      <vt:variant>
        <vt:lpwstr>http://www.nevo.co.il/case/17928596</vt:lpwstr>
      </vt:variant>
      <vt:variant>
        <vt:lpwstr/>
      </vt:variant>
      <vt:variant>
        <vt:i4>3735668</vt:i4>
      </vt:variant>
      <vt:variant>
        <vt:i4>210</vt:i4>
      </vt:variant>
      <vt:variant>
        <vt:i4>0</vt:i4>
      </vt:variant>
      <vt:variant>
        <vt:i4>5</vt:i4>
      </vt:variant>
      <vt:variant>
        <vt:lpwstr>http://www.nevo.co.il/case/17928596</vt:lpwstr>
      </vt:variant>
      <vt:variant>
        <vt:lpwstr/>
      </vt:variant>
      <vt:variant>
        <vt:i4>3670143</vt:i4>
      </vt:variant>
      <vt:variant>
        <vt:i4>207</vt:i4>
      </vt:variant>
      <vt:variant>
        <vt:i4>0</vt:i4>
      </vt:variant>
      <vt:variant>
        <vt:i4>5</vt:i4>
      </vt:variant>
      <vt:variant>
        <vt:lpwstr>http://www.nevo.co.il/case/17943832</vt:lpwstr>
      </vt:variant>
      <vt:variant>
        <vt:lpwstr/>
      </vt:variant>
      <vt:variant>
        <vt:i4>8061039</vt:i4>
      </vt:variant>
      <vt:variant>
        <vt:i4>204</vt:i4>
      </vt:variant>
      <vt:variant>
        <vt:i4>0</vt:i4>
      </vt:variant>
      <vt:variant>
        <vt:i4>5</vt:i4>
      </vt:variant>
      <vt:variant>
        <vt:lpwstr>http://www.nevo.co.il/law/74850</vt:lpwstr>
      </vt:variant>
      <vt:variant>
        <vt:lpwstr/>
      </vt:variant>
      <vt:variant>
        <vt:i4>5505119</vt:i4>
      </vt:variant>
      <vt:variant>
        <vt:i4>201</vt:i4>
      </vt:variant>
      <vt:variant>
        <vt:i4>0</vt:i4>
      </vt:variant>
      <vt:variant>
        <vt:i4>5</vt:i4>
      </vt:variant>
      <vt:variant>
        <vt:lpwstr>http://www.nevo.co.il/law/74850/2</vt:lpwstr>
      </vt:variant>
      <vt:variant>
        <vt:lpwstr/>
      </vt:variant>
      <vt:variant>
        <vt:i4>3801203</vt:i4>
      </vt:variant>
      <vt:variant>
        <vt:i4>198</vt:i4>
      </vt:variant>
      <vt:variant>
        <vt:i4>0</vt:i4>
      </vt:variant>
      <vt:variant>
        <vt:i4>5</vt:i4>
      </vt:variant>
      <vt:variant>
        <vt:lpwstr>http://www.nevo.co.il/case/17912109</vt:lpwstr>
      </vt:variant>
      <vt:variant>
        <vt:lpwstr/>
      </vt:variant>
      <vt:variant>
        <vt:i4>3997810</vt:i4>
      </vt:variant>
      <vt:variant>
        <vt:i4>195</vt:i4>
      </vt:variant>
      <vt:variant>
        <vt:i4>0</vt:i4>
      </vt:variant>
      <vt:variant>
        <vt:i4>5</vt:i4>
      </vt:variant>
      <vt:variant>
        <vt:lpwstr>http://www.nevo.co.il/case/17937221</vt:lpwstr>
      </vt:variant>
      <vt:variant>
        <vt:lpwstr/>
      </vt:variant>
      <vt:variant>
        <vt:i4>5374036</vt:i4>
      </vt:variant>
      <vt:variant>
        <vt:i4>192</vt:i4>
      </vt:variant>
      <vt:variant>
        <vt:i4>0</vt:i4>
      </vt:variant>
      <vt:variant>
        <vt:i4>5</vt:i4>
      </vt:variant>
      <vt:variant>
        <vt:lpwstr>http://www.nevo.co.il/law/71764/3</vt:lpwstr>
      </vt:variant>
      <vt:variant>
        <vt:lpwstr/>
      </vt:variant>
      <vt:variant>
        <vt:i4>8061039</vt:i4>
      </vt:variant>
      <vt:variant>
        <vt:i4>189</vt:i4>
      </vt:variant>
      <vt:variant>
        <vt:i4>0</vt:i4>
      </vt:variant>
      <vt:variant>
        <vt:i4>5</vt:i4>
      </vt:variant>
      <vt:variant>
        <vt:lpwstr>http://www.nevo.co.il/law/74850</vt:lpwstr>
      </vt:variant>
      <vt:variant>
        <vt:lpwstr/>
      </vt:variant>
      <vt:variant>
        <vt:i4>7536741</vt:i4>
      </vt:variant>
      <vt:variant>
        <vt:i4>186</vt:i4>
      </vt:variant>
      <vt:variant>
        <vt:i4>0</vt:i4>
      </vt:variant>
      <vt:variant>
        <vt:i4>5</vt:i4>
      </vt:variant>
      <vt:variant>
        <vt:lpwstr>http://www.nevo.co.il/law/70296</vt:lpwstr>
      </vt:variant>
      <vt:variant>
        <vt:lpwstr/>
      </vt:variant>
      <vt:variant>
        <vt:i4>6946919</vt:i4>
      </vt:variant>
      <vt:variant>
        <vt:i4>183</vt:i4>
      </vt:variant>
      <vt:variant>
        <vt:i4>0</vt:i4>
      </vt:variant>
      <vt:variant>
        <vt:i4>5</vt:i4>
      </vt:variant>
      <vt:variant>
        <vt:lpwstr>http://www.nevo.co.il/law/70296/46</vt:lpwstr>
      </vt:variant>
      <vt:variant>
        <vt:lpwstr/>
      </vt:variant>
      <vt:variant>
        <vt:i4>5374036</vt:i4>
      </vt:variant>
      <vt:variant>
        <vt:i4>180</vt:i4>
      </vt:variant>
      <vt:variant>
        <vt:i4>0</vt:i4>
      </vt:variant>
      <vt:variant>
        <vt:i4>5</vt:i4>
      </vt:variant>
      <vt:variant>
        <vt:lpwstr>http://www.nevo.co.il/law/71764/3</vt:lpwstr>
      </vt:variant>
      <vt:variant>
        <vt:lpwstr/>
      </vt:variant>
      <vt:variant>
        <vt:i4>5374036</vt:i4>
      </vt:variant>
      <vt:variant>
        <vt:i4>177</vt:i4>
      </vt:variant>
      <vt:variant>
        <vt:i4>0</vt:i4>
      </vt:variant>
      <vt:variant>
        <vt:i4>5</vt:i4>
      </vt:variant>
      <vt:variant>
        <vt:lpwstr>http://www.nevo.co.il/law/71764/3</vt:lpwstr>
      </vt:variant>
      <vt:variant>
        <vt:lpwstr/>
      </vt:variant>
      <vt:variant>
        <vt:i4>4718669</vt:i4>
      </vt:variant>
      <vt:variant>
        <vt:i4>174</vt:i4>
      </vt:variant>
      <vt:variant>
        <vt:i4>0</vt:i4>
      </vt:variant>
      <vt:variant>
        <vt:i4>5</vt:i4>
      </vt:variant>
      <vt:variant>
        <vt:lpwstr>http://www.nevo.co.il/law/4666/2</vt:lpwstr>
      </vt:variant>
      <vt:variant>
        <vt:lpwstr/>
      </vt:variant>
      <vt:variant>
        <vt:i4>5374036</vt:i4>
      </vt:variant>
      <vt:variant>
        <vt:i4>171</vt:i4>
      </vt:variant>
      <vt:variant>
        <vt:i4>0</vt:i4>
      </vt:variant>
      <vt:variant>
        <vt:i4>5</vt:i4>
      </vt:variant>
      <vt:variant>
        <vt:lpwstr>http://www.nevo.co.il/law/71764/3</vt:lpwstr>
      </vt:variant>
      <vt:variant>
        <vt:lpwstr/>
      </vt:variant>
      <vt:variant>
        <vt:i4>8126563</vt:i4>
      </vt:variant>
      <vt:variant>
        <vt:i4>168</vt:i4>
      </vt:variant>
      <vt:variant>
        <vt:i4>0</vt:i4>
      </vt:variant>
      <vt:variant>
        <vt:i4>5</vt:i4>
      </vt:variant>
      <vt:variant>
        <vt:lpwstr>http://www.nevo.co.il/law/71764/7.a</vt:lpwstr>
      </vt:variant>
      <vt:variant>
        <vt:lpwstr/>
      </vt:variant>
      <vt:variant>
        <vt:i4>8126563</vt:i4>
      </vt:variant>
      <vt:variant>
        <vt:i4>165</vt:i4>
      </vt:variant>
      <vt:variant>
        <vt:i4>0</vt:i4>
      </vt:variant>
      <vt:variant>
        <vt:i4>5</vt:i4>
      </vt:variant>
      <vt:variant>
        <vt:lpwstr>http://www.nevo.co.il/law/71764/7.a</vt:lpwstr>
      </vt:variant>
      <vt:variant>
        <vt:lpwstr/>
      </vt:variant>
      <vt:variant>
        <vt:i4>8061039</vt:i4>
      </vt:variant>
      <vt:variant>
        <vt:i4>162</vt:i4>
      </vt:variant>
      <vt:variant>
        <vt:i4>0</vt:i4>
      </vt:variant>
      <vt:variant>
        <vt:i4>5</vt:i4>
      </vt:variant>
      <vt:variant>
        <vt:lpwstr>http://www.nevo.co.il/law/74850</vt:lpwstr>
      </vt:variant>
      <vt:variant>
        <vt:lpwstr/>
      </vt:variant>
      <vt:variant>
        <vt:i4>4063359</vt:i4>
      </vt:variant>
      <vt:variant>
        <vt:i4>159</vt:i4>
      </vt:variant>
      <vt:variant>
        <vt:i4>0</vt:i4>
      </vt:variant>
      <vt:variant>
        <vt:i4>5</vt:i4>
      </vt:variant>
      <vt:variant>
        <vt:lpwstr>http://www.nevo.co.il/case/17942849</vt:lpwstr>
      </vt:variant>
      <vt:variant>
        <vt:lpwstr/>
      </vt:variant>
      <vt:variant>
        <vt:i4>5374036</vt:i4>
      </vt:variant>
      <vt:variant>
        <vt:i4>156</vt:i4>
      </vt:variant>
      <vt:variant>
        <vt:i4>0</vt:i4>
      </vt:variant>
      <vt:variant>
        <vt:i4>5</vt:i4>
      </vt:variant>
      <vt:variant>
        <vt:lpwstr>http://www.nevo.co.il/law/71764/3</vt:lpwstr>
      </vt:variant>
      <vt:variant>
        <vt:lpwstr/>
      </vt:variant>
      <vt:variant>
        <vt:i4>8192096</vt:i4>
      </vt:variant>
      <vt:variant>
        <vt:i4>153</vt:i4>
      </vt:variant>
      <vt:variant>
        <vt:i4>0</vt:i4>
      </vt:variant>
      <vt:variant>
        <vt:i4>5</vt:i4>
      </vt:variant>
      <vt:variant>
        <vt:lpwstr>http://www.nevo.co.il/law/71765</vt:lpwstr>
      </vt:variant>
      <vt:variant>
        <vt:lpwstr/>
      </vt:variant>
      <vt:variant>
        <vt:i4>5374037</vt:i4>
      </vt:variant>
      <vt:variant>
        <vt:i4>150</vt:i4>
      </vt:variant>
      <vt:variant>
        <vt:i4>0</vt:i4>
      </vt:variant>
      <vt:variant>
        <vt:i4>5</vt:i4>
      </vt:variant>
      <vt:variant>
        <vt:lpwstr>http://www.nevo.co.il/law/71765/2</vt:lpwstr>
      </vt:variant>
      <vt:variant>
        <vt:lpwstr/>
      </vt:variant>
      <vt:variant>
        <vt:i4>8126566</vt:i4>
      </vt:variant>
      <vt:variant>
        <vt:i4>147</vt:i4>
      </vt:variant>
      <vt:variant>
        <vt:i4>0</vt:i4>
      </vt:variant>
      <vt:variant>
        <vt:i4>5</vt:i4>
      </vt:variant>
      <vt:variant>
        <vt:lpwstr>http://www.nevo.co.il/law/71764/2.a</vt:lpwstr>
      </vt:variant>
      <vt:variant>
        <vt:lpwstr/>
      </vt:variant>
      <vt:variant>
        <vt:i4>8126566</vt:i4>
      </vt:variant>
      <vt:variant>
        <vt:i4>144</vt:i4>
      </vt:variant>
      <vt:variant>
        <vt:i4>0</vt:i4>
      </vt:variant>
      <vt:variant>
        <vt:i4>5</vt:i4>
      </vt:variant>
      <vt:variant>
        <vt:lpwstr>http://www.nevo.co.il/law/71764/2.b</vt:lpwstr>
      </vt:variant>
      <vt:variant>
        <vt:lpwstr/>
      </vt:variant>
      <vt:variant>
        <vt:i4>5374036</vt:i4>
      </vt:variant>
      <vt:variant>
        <vt:i4>141</vt:i4>
      </vt:variant>
      <vt:variant>
        <vt:i4>0</vt:i4>
      </vt:variant>
      <vt:variant>
        <vt:i4>5</vt:i4>
      </vt:variant>
      <vt:variant>
        <vt:lpwstr>http://www.nevo.co.il/law/71764/3</vt:lpwstr>
      </vt:variant>
      <vt:variant>
        <vt:lpwstr/>
      </vt:variant>
      <vt:variant>
        <vt:i4>8192096</vt:i4>
      </vt:variant>
      <vt:variant>
        <vt:i4>138</vt:i4>
      </vt:variant>
      <vt:variant>
        <vt:i4>0</vt:i4>
      </vt:variant>
      <vt:variant>
        <vt:i4>5</vt:i4>
      </vt:variant>
      <vt:variant>
        <vt:lpwstr>http://www.nevo.co.il/law/71764</vt:lpwstr>
      </vt:variant>
      <vt:variant>
        <vt:lpwstr/>
      </vt:variant>
      <vt:variant>
        <vt:i4>5374036</vt:i4>
      </vt:variant>
      <vt:variant>
        <vt:i4>135</vt:i4>
      </vt:variant>
      <vt:variant>
        <vt:i4>0</vt:i4>
      </vt:variant>
      <vt:variant>
        <vt:i4>5</vt:i4>
      </vt:variant>
      <vt:variant>
        <vt:lpwstr>http://www.nevo.co.il/law/71764/3</vt:lpwstr>
      </vt:variant>
      <vt:variant>
        <vt:lpwstr/>
      </vt:variant>
      <vt:variant>
        <vt:i4>8060982</vt:i4>
      </vt:variant>
      <vt:variant>
        <vt:i4>132</vt:i4>
      </vt:variant>
      <vt:variant>
        <vt:i4>0</vt:i4>
      </vt:variant>
      <vt:variant>
        <vt:i4>5</vt:i4>
      </vt:variant>
      <vt:variant>
        <vt:lpwstr>http://www.nevo.co.il/safrut/book/6208</vt:lpwstr>
      </vt:variant>
      <vt:variant>
        <vt:lpwstr/>
      </vt:variant>
      <vt:variant>
        <vt:i4>7602225</vt:i4>
      </vt:variant>
      <vt:variant>
        <vt:i4>129</vt:i4>
      </vt:variant>
      <vt:variant>
        <vt:i4>0</vt:i4>
      </vt:variant>
      <vt:variant>
        <vt:i4>5</vt:i4>
      </vt:variant>
      <vt:variant>
        <vt:lpwstr>http://www.nevo.co.il/safrut/book/2431</vt:lpwstr>
      </vt:variant>
      <vt:variant>
        <vt:lpwstr/>
      </vt:variant>
      <vt:variant>
        <vt:i4>8126515</vt:i4>
      </vt:variant>
      <vt:variant>
        <vt:i4>126</vt:i4>
      </vt:variant>
      <vt:variant>
        <vt:i4>0</vt:i4>
      </vt:variant>
      <vt:variant>
        <vt:i4>5</vt:i4>
      </vt:variant>
      <vt:variant>
        <vt:lpwstr>http://www.nevo.co.il/safrut/book/2419</vt:lpwstr>
      </vt:variant>
      <vt:variant>
        <vt:lpwstr/>
      </vt:variant>
      <vt:variant>
        <vt:i4>7733302</vt:i4>
      </vt:variant>
      <vt:variant>
        <vt:i4>123</vt:i4>
      </vt:variant>
      <vt:variant>
        <vt:i4>0</vt:i4>
      </vt:variant>
      <vt:variant>
        <vt:i4>5</vt:i4>
      </vt:variant>
      <vt:variant>
        <vt:lpwstr>http://www.nevo.co.il/safrut/book/5037</vt:lpwstr>
      </vt:variant>
      <vt:variant>
        <vt:lpwstr/>
      </vt:variant>
      <vt:variant>
        <vt:i4>8060989</vt:i4>
      </vt:variant>
      <vt:variant>
        <vt:i4>120</vt:i4>
      </vt:variant>
      <vt:variant>
        <vt:i4>0</vt:i4>
      </vt:variant>
      <vt:variant>
        <vt:i4>5</vt:i4>
      </vt:variant>
      <vt:variant>
        <vt:lpwstr>http://www.nevo.co.il/safrut/book/4993</vt:lpwstr>
      </vt:variant>
      <vt:variant>
        <vt:lpwstr/>
      </vt:variant>
      <vt:variant>
        <vt:i4>7864375</vt:i4>
      </vt:variant>
      <vt:variant>
        <vt:i4>117</vt:i4>
      </vt:variant>
      <vt:variant>
        <vt:i4>0</vt:i4>
      </vt:variant>
      <vt:variant>
        <vt:i4>5</vt:i4>
      </vt:variant>
      <vt:variant>
        <vt:lpwstr>http://www.nevo.co.il/safrut/book/4930</vt:lpwstr>
      </vt:variant>
      <vt:variant>
        <vt:lpwstr/>
      </vt:variant>
      <vt:variant>
        <vt:i4>7995445</vt:i4>
      </vt:variant>
      <vt:variant>
        <vt:i4>114</vt:i4>
      </vt:variant>
      <vt:variant>
        <vt:i4>0</vt:i4>
      </vt:variant>
      <vt:variant>
        <vt:i4>5</vt:i4>
      </vt:variant>
      <vt:variant>
        <vt:lpwstr>http://www.nevo.co.il/safrut/book/4912</vt:lpwstr>
      </vt:variant>
      <vt:variant>
        <vt:lpwstr/>
      </vt:variant>
      <vt:variant>
        <vt:i4>8126525</vt:i4>
      </vt:variant>
      <vt:variant>
        <vt:i4>111</vt:i4>
      </vt:variant>
      <vt:variant>
        <vt:i4>0</vt:i4>
      </vt:variant>
      <vt:variant>
        <vt:i4>5</vt:i4>
      </vt:variant>
      <vt:variant>
        <vt:lpwstr>http://www.nevo.co.il/safrut/book/4994</vt:lpwstr>
      </vt:variant>
      <vt:variant>
        <vt:lpwstr/>
      </vt:variant>
      <vt:variant>
        <vt:i4>7471159</vt:i4>
      </vt:variant>
      <vt:variant>
        <vt:i4>108</vt:i4>
      </vt:variant>
      <vt:variant>
        <vt:i4>0</vt:i4>
      </vt:variant>
      <vt:variant>
        <vt:i4>5</vt:i4>
      </vt:variant>
      <vt:variant>
        <vt:lpwstr>http://www.nevo.co.il/safrut/book/2350</vt:lpwstr>
      </vt:variant>
      <vt:variant>
        <vt:lpwstr/>
      </vt:variant>
      <vt:variant>
        <vt:i4>3211385</vt:i4>
      </vt:variant>
      <vt:variant>
        <vt:i4>105</vt:i4>
      </vt:variant>
      <vt:variant>
        <vt:i4>0</vt:i4>
      </vt:variant>
      <vt:variant>
        <vt:i4>5</vt:i4>
      </vt:variant>
      <vt:variant>
        <vt:lpwstr>http://www.nevo.co.il/case/17939901</vt:lpwstr>
      </vt:variant>
      <vt:variant>
        <vt:lpwstr/>
      </vt:variant>
      <vt:variant>
        <vt:i4>4128890</vt:i4>
      </vt:variant>
      <vt:variant>
        <vt:i4>102</vt:i4>
      </vt:variant>
      <vt:variant>
        <vt:i4>0</vt:i4>
      </vt:variant>
      <vt:variant>
        <vt:i4>5</vt:i4>
      </vt:variant>
      <vt:variant>
        <vt:lpwstr>http://www.nevo.co.il/case/16997103</vt:lpwstr>
      </vt:variant>
      <vt:variant>
        <vt:lpwstr/>
      </vt:variant>
      <vt:variant>
        <vt:i4>3604599</vt:i4>
      </vt:variant>
      <vt:variant>
        <vt:i4>99</vt:i4>
      </vt:variant>
      <vt:variant>
        <vt:i4>0</vt:i4>
      </vt:variant>
      <vt:variant>
        <vt:i4>5</vt:i4>
      </vt:variant>
      <vt:variant>
        <vt:lpwstr>http://www.nevo.co.il/case/17918579</vt:lpwstr>
      </vt:variant>
      <vt:variant>
        <vt:lpwstr/>
      </vt:variant>
      <vt:variant>
        <vt:i4>3735668</vt:i4>
      </vt:variant>
      <vt:variant>
        <vt:i4>96</vt:i4>
      </vt:variant>
      <vt:variant>
        <vt:i4>0</vt:i4>
      </vt:variant>
      <vt:variant>
        <vt:i4>5</vt:i4>
      </vt:variant>
      <vt:variant>
        <vt:lpwstr>http://www.nevo.co.il/case/17928596</vt:lpwstr>
      </vt:variant>
      <vt:variant>
        <vt:lpwstr/>
      </vt:variant>
      <vt:variant>
        <vt:i4>3670143</vt:i4>
      </vt:variant>
      <vt:variant>
        <vt:i4>93</vt:i4>
      </vt:variant>
      <vt:variant>
        <vt:i4>0</vt:i4>
      </vt:variant>
      <vt:variant>
        <vt:i4>5</vt:i4>
      </vt:variant>
      <vt:variant>
        <vt:lpwstr>http://www.nevo.co.il/case/17943832</vt:lpwstr>
      </vt:variant>
      <vt:variant>
        <vt:lpwstr/>
      </vt:variant>
      <vt:variant>
        <vt:i4>4063349</vt:i4>
      </vt:variant>
      <vt:variant>
        <vt:i4>90</vt:i4>
      </vt:variant>
      <vt:variant>
        <vt:i4>0</vt:i4>
      </vt:variant>
      <vt:variant>
        <vt:i4>5</vt:i4>
      </vt:variant>
      <vt:variant>
        <vt:lpwstr>http://www.nevo.co.il/case/17932542</vt:lpwstr>
      </vt:variant>
      <vt:variant>
        <vt:lpwstr/>
      </vt:variant>
      <vt:variant>
        <vt:i4>3801203</vt:i4>
      </vt:variant>
      <vt:variant>
        <vt:i4>87</vt:i4>
      </vt:variant>
      <vt:variant>
        <vt:i4>0</vt:i4>
      </vt:variant>
      <vt:variant>
        <vt:i4>5</vt:i4>
      </vt:variant>
      <vt:variant>
        <vt:lpwstr>http://www.nevo.co.il/case/17912109</vt:lpwstr>
      </vt:variant>
      <vt:variant>
        <vt:lpwstr/>
      </vt:variant>
      <vt:variant>
        <vt:i4>3997810</vt:i4>
      </vt:variant>
      <vt:variant>
        <vt:i4>84</vt:i4>
      </vt:variant>
      <vt:variant>
        <vt:i4>0</vt:i4>
      </vt:variant>
      <vt:variant>
        <vt:i4>5</vt:i4>
      </vt:variant>
      <vt:variant>
        <vt:lpwstr>http://www.nevo.co.il/case/17937221</vt:lpwstr>
      </vt:variant>
      <vt:variant>
        <vt:lpwstr/>
      </vt:variant>
      <vt:variant>
        <vt:i4>4063359</vt:i4>
      </vt:variant>
      <vt:variant>
        <vt:i4>81</vt:i4>
      </vt:variant>
      <vt:variant>
        <vt:i4>0</vt:i4>
      </vt:variant>
      <vt:variant>
        <vt:i4>5</vt:i4>
      </vt:variant>
      <vt:variant>
        <vt:lpwstr>http://www.nevo.co.il/case/17942849</vt:lpwstr>
      </vt:variant>
      <vt:variant>
        <vt:lpwstr/>
      </vt:variant>
      <vt:variant>
        <vt:i4>8192096</vt:i4>
      </vt:variant>
      <vt:variant>
        <vt:i4>78</vt:i4>
      </vt:variant>
      <vt:variant>
        <vt:i4>0</vt:i4>
      </vt:variant>
      <vt:variant>
        <vt:i4>5</vt:i4>
      </vt:variant>
      <vt:variant>
        <vt:lpwstr>http://www.nevo.co.il/law/71764</vt:lpwstr>
      </vt:variant>
      <vt:variant>
        <vt:lpwstr/>
      </vt:variant>
      <vt:variant>
        <vt:i4>7536741</vt:i4>
      </vt:variant>
      <vt:variant>
        <vt:i4>75</vt:i4>
      </vt:variant>
      <vt:variant>
        <vt:i4>0</vt:i4>
      </vt:variant>
      <vt:variant>
        <vt:i4>5</vt:i4>
      </vt:variant>
      <vt:variant>
        <vt:lpwstr>http://www.nevo.co.il/law/70296</vt:lpwstr>
      </vt:variant>
      <vt:variant>
        <vt:lpwstr/>
      </vt:variant>
      <vt:variant>
        <vt:i4>8061039</vt:i4>
      </vt:variant>
      <vt:variant>
        <vt:i4>72</vt:i4>
      </vt:variant>
      <vt:variant>
        <vt:i4>0</vt:i4>
      </vt:variant>
      <vt:variant>
        <vt:i4>5</vt:i4>
      </vt:variant>
      <vt:variant>
        <vt:lpwstr>http://www.nevo.co.il/law/74850</vt:lpwstr>
      </vt:variant>
      <vt:variant>
        <vt:lpwstr/>
      </vt:variant>
      <vt:variant>
        <vt:i4>7536751</vt:i4>
      </vt:variant>
      <vt:variant>
        <vt:i4>69</vt:i4>
      </vt:variant>
      <vt:variant>
        <vt:i4>0</vt:i4>
      </vt:variant>
      <vt:variant>
        <vt:i4>5</vt:i4>
      </vt:variant>
      <vt:variant>
        <vt:lpwstr>http://www.nevo.co.il/law/71888</vt:lpwstr>
      </vt:variant>
      <vt:variant>
        <vt:lpwstr/>
      </vt:variant>
      <vt:variant>
        <vt:i4>8061039</vt:i4>
      </vt:variant>
      <vt:variant>
        <vt:i4>66</vt:i4>
      </vt:variant>
      <vt:variant>
        <vt:i4>0</vt:i4>
      </vt:variant>
      <vt:variant>
        <vt:i4>5</vt:i4>
      </vt:variant>
      <vt:variant>
        <vt:lpwstr>http://www.nevo.co.il/law/74850</vt:lpwstr>
      </vt:variant>
      <vt:variant>
        <vt:lpwstr/>
      </vt:variant>
      <vt:variant>
        <vt:i4>8061039</vt:i4>
      </vt:variant>
      <vt:variant>
        <vt:i4>63</vt:i4>
      </vt:variant>
      <vt:variant>
        <vt:i4>0</vt:i4>
      </vt:variant>
      <vt:variant>
        <vt:i4>5</vt:i4>
      </vt:variant>
      <vt:variant>
        <vt:lpwstr>http://www.nevo.co.il/law/74850</vt:lpwstr>
      </vt:variant>
      <vt:variant>
        <vt:lpwstr/>
      </vt:variant>
      <vt:variant>
        <vt:i4>8192096</vt:i4>
      </vt:variant>
      <vt:variant>
        <vt:i4>60</vt:i4>
      </vt:variant>
      <vt:variant>
        <vt:i4>0</vt:i4>
      </vt:variant>
      <vt:variant>
        <vt:i4>5</vt:i4>
      </vt:variant>
      <vt:variant>
        <vt:lpwstr>http://www.nevo.co.il/law/71764</vt:lpwstr>
      </vt:variant>
      <vt:variant>
        <vt:lpwstr/>
      </vt:variant>
      <vt:variant>
        <vt:i4>8192096</vt:i4>
      </vt:variant>
      <vt:variant>
        <vt:i4>57</vt:i4>
      </vt:variant>
      <vt:variant>
        <vt:i4>0</vt:i4>
      </vt:variant>
      <vt:variant>
        <vt:i4>5</vt:i4>
      </vt:variant>
      <vt:variant>
        <vt:lpwstr>http://www.nevo.co.il/law/71764</vt:lpwstr>
      </vt:variant>
      <vt:variant>
        <vt:lpwstr/>
      </vt:variant>
      <vt:variant>
        <vt:i4>7929958</vt:i4>
      </vt:variant>
      <vt:variant>
        <vt:i4>54</vt:i4>
      </vt:variant>
      <vt:variant>
        <vt:i4>0</vt:i4>
      </vt:variant>
      <vt:variant>
        <vt:i4>5</vt:i4>
      </vt:variant>
      <vt:variant>
        <vt:lpwstr>http://www.nevo.co.il/law/5033</vt:lpwstr>
      </vt:variant>
      <vt:variant>
        <vt:lpwstr/>
      </vt:variant>
      <vt:variant>
        <vt:i4>7340131</vt:i4>
      </vt:variant>
      <vt:variant>
        <vt:i4>51</vt:i4>
      </vt:variant>
      <vt:variant>
        <vt:i4>0</vt:i4>
      </vt:variant>
      <vt:variant>
        <vt:i4>5</vt:i4>
      </vt:variant>
      <vt:variant>
        <vt:lpwstr>http://www.nevo.co.il/law/72489</vt:lpwstr>
      </vt:variant>
      <vt:variant>
        <vt:lpwstr/>
      </vt:variant>
      <vt:variant>
        <vt:i4>6619236</vt:i4>
      </vt:variant>
      <vt:variant>
        <vt:i4>48</vt:i4>
      </vt:variant>
      <vt:variant>
        <vt:i4>0</vt:i4>
      </vt:variant>
      <vt:variant>
        <vt:i4>5</vt:i4>
      </vt:variant>
      <vt:variant>
        <vt:lpwstr>http://www.nevo.co.il/law/71888/39</vt:lpwstr>
      </vt:variant>
      <vt:variant>
        <vt:lpwstr/>
      </vt:variant>
      <vt:variant>
        <vt:i4>7536751</vt:i4>
      </vt:variant>
      <vt:variant>
        <vt:i4>45</vt:i4>
      </vt:variant>
      <vt:variant>
        <vt:i4>0</vt:i4>
      </vt:variant>
      <vt:variant>
        <vt:i4>5</vt:i4>
      </vt:variant>
      <vt:variant>
        <vt:lpwstr>http://www.nevo.co.il/law/71888</vt:lpwstr>
      </vt:variant>
      <vt:variant>
        <vt:lpwstr/>
      </vt:variant>
      <vt:variant>
        <vt:i4>6946919</vt:i4>
      </vt:variant>
      <vt:variant>
        <vt:i4>42</vt:i4>
      </vt:variant>
      <vt:variant>
        <vt:i4>0</vt:i4>
      </vt:variant>
      <vt:variant>
        <vt:i4>5</vt:i4>
      </vt:variant>
      <vt:variant>
        <vt:lpwstr>http://www.nevo.co.il/law/70296/46</vt:lpwstr>
      </vt:variant>
      <vt:variant>
        <vt:lpwstr/>
      </vt:variant>
      <vt:variant>
        <vt:i4>7536741</vt:i4>
      </vt:variant>
      <vt:variant>
        <vt:i4>39</vt:i4>
      </vt:variant>
      <vt:variant>
        <vt:i4>0</vt:i4>
      </vt:variant>
      <vt:variant>
        <vt:i4>5</vt:i4>
      </vt:variant>
      <vt:variant>
        <vt:lpwstr>http://www.nevo.co.il/law/70296</vt:lpwstr>
      </vt:variant>
      <vt:variant>
        <vt:lpwstr/>
      </vt:variant>
      <vt:variant>
        <vt:i4>4718669</vt:i4>
      </vt:variant>
      <vt:variant>
        <vt:i4>36</vt:i4>
      </vt:variant>
      <vt:variant>
        <vt:i4>0</vt:i4>
      </vt:variant>
      <vt:variant>
        <vt:i4>5</vt:i4>
      </vt:variant>
      <vt:variant>
        <vt:lpwstr>http://www.nevo.co.il/law/4666/2</vt:lpwstr>
      </vt:variant>
      <vt:variant>
        <vt:lpwstr/>
      </vt:variant>
      <vt:variant>
        <vt:i4>4915277</vt:i4>
      </vt:variant>
      <vt:variant>
        <vt:i4>33</vt:i4>
      </vt:variant>
      <vt:variant>
        <vt:i4>0</vt:i4>
      </vt:variant>
      <vt:variant>
        <vt:i4>5</vt:i4>
      </vt:variant>
      <vt:variant>
        <vt:lpwstr>http://www.nevo.co.il/law/4666/1</vt:lpwstr>
      </vt:variant>
      <vt:variant>
        <vt:lpwstr/>
      </vt:variant>
      <vt:variant>
        <vt:i4>7995490</vt:i4>
      </vt:variant>
      <vt:variant>
        <vt:i4>30</vt:i4>
      </vt:variant>
      <vt:variant>
        <vt:i4>0</vt:i4>
      </vt:variant>
      <vt:variant>
        <vt:i4>5</vt:i4>
      </vt:variant>
      <vt:variant>
        <vt:lpwstr>http://www.nevo.co.il/law/4666</vt:lpwstr>
      </vt:variant>
      <vt:variant>
        <vt:lpwstr/>
      </vt:variant>
      <vt:variant>
        <vt:i4>5505119</vt:i4>
      </vt:variant>
      <vt:variant>
        <vt:i4>27</vt:i4>
      </vt:variant>
      <vt:variant>
        <vt:i4>0</vt:i4>
      </vt:variant>
      <vt:variant>
        <vt:i4>5</vt:i4>
      </vt:variant>
      <vt:variant>
        <vt:lpwstr>http://www.nevo.co.il/law/74850/2</vt:lpwstr>
      </vt:variant>
      <vt:variant>
        <vt:lpwstr/>
      </vt:variant>
      <vt:variant>
        <vt:i4>8061039</vt:i4>
      </vt:variant>
      <vt:variant>
        <vt:i4>24</vt:i4>
      </vt:variant>
      <vt:variant>
        <vt:i4>0</vt:i4>
      </vt:variant>
      <vt:variant>
        <vt:i4>5</vt:i4>
      </vt:variant>
      <vt:variant>
        <vt:lpwstr>http://www.nevo.co.il/law/74850</vt:lpwstr>
      </vt:variant>
      <vt:variant>
        <vt:lpwstr/>
      </vt:variant>
      <vt:variant>
        <vt:i4>5374037</vt:i4>
      </vt:variant>
      <vt:variant>
        <vt:i4>21</vt:i4>
      </vt:variant>
      <vt:variant>
        <vt:i4>0</vt:i4>
      </vt:variant>
      <vt:variant>
        <vt:i4>5</vt:i4>
      </vt:variant>
      <vt:variant>
        <vt:lpwstr>http://www.nevo.co.il/law/71765/2</vt:lpwstr>
      </vt:variant>
      <vt:variant>
        <vt:lpwstr/>
      </vt:variant>
      <vt:variant>
        <vt:i4>8192096</vt:i4>
      </vt:variant>
      <vt:variant>
        <vt:i4>18</vt:i4>
      </vt:variant>
      <vt:variant>
        <vt:i4>0</vt:i4>
      </vt:variant>
      <vt:variant>
        <vt:i4>5</vt:i4>
      </vt:variant>
      <vt:variant>
        <vt:lpwstr>http://www.nevo.co.il/law/71765</vt:lpwstr>
      </vt:variant>
      <vt:variant>
        <vt:lpwstr/>
      </vt:variant>
      <vt:variant>
        <vt:i4>8126563</vt:i4>
      </vt:variant>
      <vt:variant>
        <vt:i4>15</vt:i4>
      </vt:variant>
      <vt:variant>
        <vt:i4>0</vt:i4>
      </vt:variant>
      <vt:variant>
        <vt:i4>5</vt:i4>
      </vt:variant>
      <vt:variant>
        <vt:lpwstr>http://www.nevo.co.il/law/71764/7.a</vt:lpwstr>
      </vt:variant>
      <vt:variant>
        <vt:lpwstr/>
      </vt:variant>
      <vt:variant>
        <vt:i4>5374036</vt:i4>
      </vt:variant>
      <vt:variant>
        <vt:i4>12</vt:i4>
      </vt:variant>
      <vt:variant>
        <vt:i4>0</vt:i4>
      </vt:variant>
      <vt:variant>
        <vt:i4>5</vt:i4>
      </vt:variant>
      <vt:variant>
        <vt:lpwstr>http://www.nevo.co.il/law/71764/3</vt:lpwstr>
      </vt:variant>
      <vt:variant>
        <vt:lpwstr/>
      </vt:variant>
      <vt:variant>
        <vt:i4>8126566</vt:i4>
      </vt:variant>
      <vt:variant>
        <vt:i4>9</vt:i4>
      </vt:variant>
      <vt:variant>
        <vt:i4>0</vt:i4>
      </vt:variant>
      <vt:variant>
        <vt:i4>5</vt:i4>
      </vt:variant>
      <vt:variant>
        <vt:lpwstr>http://www.nevo.co.il/law/71764/2.b</vt:lpwstr>
      </vt:variant>
      <vt:variant>
        <vt:lpwstr/>
      </vt:variant>
      <vt:variant>
        <vt:i4>8126566</vt:i4>
      </vt:variant>
      <vt:variant>
        <vt:i4>6</vt:i4>
      </vt:variant>
      <vt:variant>
        <vt:i4>0</vt:i4>
      </vt:variant>
      <vt:variant>
        <vt:i4>5</vt:i4>
      </vt:variant>
      <vt:variant>
        <vt:lpwstr>http://www.nevo.co.il/law/71764/2.a</vt:lpwstr>
      </vt:variant>
      <vt:variant>
        <vt:lpwstr/>
      </vt:variant>
      <vt:variant>
        <vt:i4>5374036</vt:i4>
      </vt:variant>
      <vt:variant>
        <vt:i4>3</vt:i4>
      </vt:variant>
      <vt:variant>
        <vt:i4>0</vt:i4>
      </vt:variant>
      <vt:variant>
        <vt:i4>5</vt:i4>
      </vt:variant>
      <vt:variant>
        <vt:lpwstr>http://www.nevo.co.il/law/71764/2</vt:lpwstr>
      </vt:variant>
      <vt:variant>
        <vt:lpwstr/>
      </vt:variant>
      <vt:variant>
        <vt:i4>8192096</vt:i4>
      </vt:variant>
      <vt:variant>
        <vt:i4>0</vt:i4>
      </vt:variant>
      <vt:variant>
        <vt:i4>0</vt:i4>
      </vt:variant>
      <vt:variant>
        <vt:i4>5</vt:i4>
      </vt:variant>
      <vt:variant>
        <vt:lpwstr>http://www.nevo.co.il/law/71764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nevo.co.il</dc:title>
  <dc:subject> </dc:subject>
  <dc:creator>זילבר יוסי</dc:creator>
  <cp:keywords/>
  <dc:description/>
  <cp:lastModifiedBy>זילבר יוסי</cp:lastModifiedBy>
  <cp:revision>2</cp:revision>
  <dcterms:created xsi:type="dcterms:W3CDTF">2016-11-02T17:48:00Z</dcterms:created>
  <dcterms:modified xsi:type="dcterms:W3CDTF">2016-11-02T17:48:00Z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1</vt:lpwstr>
  </property>
  <property fmtid="{D5CDD505-2E9C-101B-9397-08002B2CF9AE}" pid="3" name="LISHKA">
    <vt:lpwstr>Lishka</vt:lpwstr>
  </property>
  <property fmtid="{D5CDD505-2E9C-101B-9397-08002B2CF9AE}" pid="4" name="PROCESS">
    <vt:lpwstr>דנ</vt:lpwstr>
  </property>
  <property fmtid="{D5CDD505-2E9C-101B-9397-08002B2CF9AE}" pid="5" name="PROCNUM">
    <vt:lpwstr>13</vt:lpwstr>
  </property>
  <property fmtid="{D5CDD505-2E9C-101B-9397-08002B2CF9AE}" pid="6" name="PROCYEAR">
    <vt:lpwstr>80</vt:lpwstr>
  </property>
  <property fmtid="{D5CDD505-2E9C-101B-9397-08002B2CF9AE}" pid="7" name="APPELLANT">
    <vt:lpwstr>אליעזר הנדלס</vt:lpwstr>
  </property>
  <property fmtid="{D5CDD505-2E9C-101B-9397-08002B2CF9AE}" pid="8" name="APPELLEE">
    <vt:lpwstr>בנק קופת עם בע#מ;מדינת ישראל, משטרת ישראל</vt:lpwstr>
  </property>
  <property fmtid="{D5CDD505-2E9C-101B-9397-08002B2CF9AE}" pid="9" name="JUDGE">
    <vt:lpwstr>מ' לנדוי;ח' כהן;מ' אלון;א' ברק;ש' לוין</vt:lpwstr>
  </property>
  <property fmtid="{D5CDD505-2E9C-101B-9397-08002B2CF9AE}" pid="10" name="LAWYER">
    <vt:lpwstr>ש' שרשבסקי;ש' ברוש</vt:lpwstr>
  </property>
  <property fmtid="{D5CDD505-2E9C-101B-9397-08002B2CF9AE}" pid="11" name="DATE">
    <vt:lpwstr>19810309</vt:lpwstr>
  </property>
  <property fmtid="{D5CDD505-2E9C-101B-9397-08002B2CF9AE}" pid="12" name="ISABSTRACT">
    <vt:lpwstr>Y</vt:lpwstr>
  </property>
  <property fmtid="{D5CDD505-2E9C-101B-9397-08002B2CF9AE}" pid="13" name="VOLUME">
    <vt:lpwstr>לה</vt:lpwstr>
  </property>
  <property fmtid="{D5CDD505-2E9C-101B-9397-08002B2CF9AE}" pid="14" name="PART">
    <vt:lpwstr>2</vt:lpwstr>
  </property>
  <property fmtid="{D5CDD505-2E9C-101B-9397-08002B2CF9AE}" pid="15" name="PAGE">
    <vt:lpwstr>785</vt:lpwstr>
  </property>
  <property fmtid="{D5CDD505-2E9C-101B-9397-08002B2CF9AE}" pid="16" name="WORDNUMPAGES">
    <vt:lpwstr>15</vt:lpwstr>
  </property>
  <property fmtid="{D5CDD505-2E9C-101B-9397-08002B2CF9AE}" pid="17" name="PSAKDIN">
    <vt:lpwstr>פסק-דין</vt:lpwstr>
  </property>
  <property fmtid="{D5CDD505-2E9C-101B-9397-08002B2CF9AE}" pid="18" name="NOSE11">
    <vt:lpwstr>מקורות המשפט הישראלי</vt:lpwstr>
  </property>
  <property fmtid="{D5CDD505-2E9C-101B-9397-08002B2CF9AE}" pid="19" name="NOSE21">
    <vt:lpwstr>מורשת ישראל</vt:lpwstr>
  </property>
  <property fmtid="{D5CDD505-2E9C-101B-9397-08002B2CF9AE}" pid="20" name="NOSE31">
    <vt:lpwstr>החלת עקרונותיה</vt:lpwstr>
  </property>
  <property fmtid="{D5CDD505-2E9C-101B-9397-08002B2CF9AE}" pid="21" name="NOSE12">
    <vt:lpwstr>פרשנות</vt:lpwstr>
  </property>
  <property fmtid="{D5CDD505-2E9C-101B-9397-08002B2CF9AE}" pid="22" name="NOSE22">
    <vt:lpwstr>דין</vt:lpwstr>
  </property>
  <property fmtid="{D5CDD505-2E9C-101B-9397-08002B2CF9AE}" pid="23" name="NOSE32">
    <vt:lpwstr>כללי פרשנות</vt:lpwstr>
  </property>
  <property fmtid="{D5CDD505-2E9C-101B-9397-08002B2CF9AE}" pid="24" name="NOSE13">
    <vt:lpwstr>פרשנות</vt:lpwstr>
  </property>
  <property fmtid="{D5CDD505-2E9C-101B-9397-08002B2CF9AE}" pid="25" name="NOSE23">
    <vt:lpwstr>מונחים</vt:lpwstr>
  </property>
  <property fmtid="{D5CDD505-2E9C-101B-9397-08002B2CF9AE}" pid="26" name="NOSE33">
    <vt:lpwstr>ברשותו של אדם אחר</vt:lpwstr>
  </property>
  <property fmtid="{D5CDD505-2E9C-101B-9397-08002B2CF9AE}" pid="27" name="NOSE14">
    <vt:lpwstr>קניין</vt:lpwstr>
  </property>
  <property fmtid="{D5CDD505-2E9C-101B-9397-08002B2CF9AE}" pid="28" name="NOSE24">
    <vt:lpwstr>השבת אבידה</vt:lpwstr>
  </property>
  <property fmtid="{D5CDD505-2E9C-101B-9397-08002B2CF9AE}" pid="29" name="NOSE34">
    <vt:lpwstr>שנמצא ברשות הזולת</vt:lpwstr>
  </property>
  <property fmtid="{D5CDD505-2E9C-101B-9397-08002B2CF9AE}" pid="30" name="PADIMAIL">
    <vt:lpwstr>YES</vt:lpwstr>
  </property>
  <property fmtid="{D5CDD505-2E9C-101B-9397-08002B2CF9AE}" pid="31" name="IsEinHamishpatSon">
    <vt:lpwstr>Y</vt:lpwstr>
  </property>
  <property fmtid="{D5CDD505-2E9C-101B-9397-08002B2CF9AE}" pid="32" name="LAWLISTTMP1">
    <vt:lpwstr>71764/002;002.a;002.b;003:14;007.a:3</vt:lpwstr>
  </property>
  <property fmtid="{D5CDD505-2E9C-101B-9397-08002B2CF9AE}" pid="33" name="LAWLISTTMP2">
    <vt:lpwstr>71765/002</vt:lpwstr>
  </property>
  <property fmtid="{D5CDD505-2E9C-101B-9397-08002B2CF9AE}" pid="34" name="LAWLISTTMP3">
    <vt:lpwstr>74850/002:2</vt:lpwstr>
  </property>
  <property fmtid="{D5CDD505-2E9C-101B-9397-08002B2CF9AE}" pid="35" name="LAWLISTTMP4">
    <vt:lpwstr>4666/001;002</vt:lpwstr>
  </property>
  <property fmtid="{D5CDD505-2E9C-101B-9397-08002B2CF9AE}" pid="36" name="LAWLISTTMP5">
    <vt:lpwstr>70296/046</vt:lpwstr>
  </property>
  <property fmtid="{D5CDD505-2E9C-101B-9397-08002B2CF9AE}" pid="37" name="LAWLISTTMP6">
    <vt:lpwstr>71888/039</vt:lpwstr>
  </property>
  <property fmtid="{D5CDD505-2E9C-101B-9397-08002B2CF9AE}" pid="38" name="LAWLISTTMP7">
    <vt:lpwstr>72489</vt:lpwstr>
  </property>
  <property fmtid="{D5CDD505-2E9C-101B-9397-08002B2CF9AE}" pid="39" name="LAWLISTTMP8">
    <vt:lpwstr>5033</vt:lpwstr>
  </property>
  <property fmtid="{D5CDD505-2E9C-101B-9397-08002B2CF9AE}" pid="40" name="BOOKLISTTMP">
    <vt:lpwstr>5194;5037;4994;4993;4930;4912;4731;2431;2419;2350;6208</vt:lpwstr>
  </property>
  <property fmtid="{D5CDD505-2E9C-101B-9397-08002B2CF9AE}" pid="41" name="CASESLISTTMP1">
    <vt:lpwstr>17942849:2;17937221:2;17912109:4;17932542;17943832:2;17928596:4;17918579:2;16997103:2;17939901:2</vt:lpwstr>
  </property>
</Properties>
</file>