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73B" w:rsidRPr="00496630" w:rsidRDefault="00AD473B" w:rsidP="00AD473B">
      <w:pPr>
        <w:pStyle w:val="1"/>
        <w:rPr>
          <w:rtl/>
        </w:rPr>
      </w:pPr>
      <w:r w:rsidRPr="00496630">
        <w:rPr>
          <w:rFonts w:hint="cs"/>
          <w:rtl/>
        </w:rPr>
        <w:t>הרב אביחי קצין</w:t>
      </w:r>
    </w:p>
    <w:p w:rsidR="00AD473B" w:rsidRPr="00496630" w:rsidRDefault="00AD473B" w:rsidP="00AD473B">
      <w:pPr>
        <w:pStyle w:val="2"/>
        <w:rPr>
          <w:rtl/>
        </w:rPr>
      </w:pPr>
      <w:r w:rsidRPr="00496630">
        <w:rPr>
          <w:rFonts w:hint="cs"/>
          <w:rtl/>
        </w:rPr>
        <w:t xml:space="preserve">ברכת כהנים </w:t>
      </w:r>
      <w:r>
        <w:rPr>
          <w:rFonts w:hint="cs"/>
          <w:rtl/>
        </w:rPr>
        <w:t xml:space="preserve">בעמידה על </w:t>
      </w:r>
      <w:r w:rsidRPr="00496630">
        <w:rPr>
          <w:rFonts w:hint="cs"/>
          <w:rtl/>
        </w:rPr>
        <w:t xml:space="preserve">פרוטזה </w:t>
      </w:r>
      <w:r>
        <w:rPr>
          <w:rFonts w:hint="cs"/>
          <w:rtl/>
        </w:rPr>
        <w:t>ובישיבה על כיסא גלגלים</w:t>
      </w:r>
    </w:p>
    <w:p w:rsidR="00AD473B" w:rsidRDefault="00AD473B" w:rsidP="00AD473B">
      <w:pPr>
        <w:pStyle w:val="ab"/>
        <w:rPr>
          <w:rtl/>
        </w:rPr>
      </w:pPr>
      <w:r>
        <w:rPr>
          <w:rtl/>
        </w:rPr>
        <w:t>ראשי פרקים</w:t>
      </w:r>
    </w:p>
    <w:p w:rsidR="00AD473B" w:rsidRDefault="00AD473B" w:rsidP="00DE0AAF">
      <w:pPr>
        <w:pStyle w:val="TOC4"/>
        <w:tabs>
          <w:tab w:val="right" w:pos="3202"/>
        </w:tabs>
        <w:ind w:left="2270"/>
        <w:rPr>
          <w:rFonts w:ascii="Calibri" w:hAnsi="Calibri" w:cs="Arial"/>
          <w:noProof/>
          <w:sz w:val="22"/>
          <w:szCs w:val="22"/>
          <w:rtl/>
        </w:rPr>
      </w:pPr>
      <w:r>
        <w:rPr>
          <w:rFonts w:hint="eastAsia"/>
          <w:noProof/>
          <w:rtl/>
        </w:rPr>
        <w:t>א</w:t>
      </w:r>
      <w:r>
        <w:rPr>
          <w:noProof/>
          <w:rtl/>
        </w:rPr>
        <w:t xml:space="preserve">. </w:t>
      </w:r>
      <w:r>
        <w:rPr>
          <w:rFonts w:hint="eastAsia"/>
          <w:noProof/>
          <w:rtl/>
        </w:rPr>
        <w:t>האם</w:t>
      </w:r>
      <w:r>
        <w:rPr>
          <w:noProof/>
          <w:rtl/>
        </w:rPr>
        <w:t xml:space="preserve"> </w:t>
      </w:r>
      <w:r>
        <w:rPr>
          <w:rFonts w:hint="eastAsia"/>
          <w:noProof/>
          <w:rtl/>
        </w:rPr>
        <w:t>בעל</w:t>
      </w:r>
      <w:r>
        <w:rPr>
          <w:noProof/>
          <w:rtl/>
        </w:rPr>
        <w:t xml:space="preserve"> </w:t>
      </w:r>
      <w:r>
        <w:rPr>
          <w:rFonts w:hint="eastAsia"/>
          <w:noProof/>
          <w:rtl/>
        </w:rPr>
        <w:t>מום</w:t>
      </w:r>
      <w:r>
        <w:rPr>
          <w:noProof/>
          <w:rtl/>
        </w:rPr>
        <w:t xml:space="preserve"> </w:t>
      </w:r>
      <w:r>
        <w:rPr>
          <w:rFonts w:hint="eastAsia"/>
          <w:noProof/>
          <w:rtl/>
        </w:rPr>
        <w:t>כשר</w:t>
      </w:r>
      <w:r>
        <w:rPr>
          <w:noProof/>
          <w:rtl/>
        </w:rPr>
        <w:t xml:space="preserve"> </w:t>
      </w:r>
      <w:r>
        <w:rPr>
          <w:rFonts w:hint="eastAsia"/>
          <w:noProof/>
          <w:rtl/>
        </w:rPr>
        <w:t>לעלות</w:t>
      </w:r>
      <w:r>
        <w:rPr>
          <w:noProof/>
          <w:rtl/>
        </w:rPr>
        <w:t xml:space="preserve"> </w:t>
      </w:r>
      <w:r>
        <w:rPr>
          <w:rFonts w:hint="eastAsia"/>
          <w:noProof/>
          <w:rtl/>
        </w:rPr>
        <w:t>לדוכן</w:t>
      </w:r>
      <w:r>
        <w:rPr>
          <w:noProof/>
          <w:rtl/>
        </w:rPr>
        <w:t>?</w:t>
      </w:r>
    </w:p>
    <w:p w:rsidR="00AD473B" w:rsidRDefault="00AD473B" w:rsidP="00DE0AAF">
      <w:pPr>
        <w:pStyle w:val="TOC4"/>
        <w:tabs>
          <w:tab w:val="right" w:pos="3202"/>
        </w:tabs>
        <w:ind w:left="2270"/>
        <w:rPr>
          <w:rFonts w:ascii="Calibri" w:hAnsi="Calibri" w:cs="Arial"/>
          <w:noProof/>
          <w:sz w:val="22"/>
          <w:szCs w:val="22"/>
          <w:rtl/>
        </w:rPr>
      </w:pPr>
      <w:r>
        <w:rPr>
          <w:rFonts w:hint="eastAsia"/>
          <w:noProof/>
          <w:rtl/>
        </w:rPr>
        <w:t>ב</w:t>
      </w:r>
      <w:r>
        <w:rPr>
          <w:noProof/>
          <w:rtl/>
        </w:rPr>
        <w:t xml:space="preserve">. </w:t>
      </w:r>
      <w:r>
        <w:rPr>
          <w:rFonts w:hint="eastAsia"/>
          <w:noProof/>
          <w:rtl/>
        </w:rPr>
        <w:t>הישענות</w:t>
      </w:r>
      <w:r>
        <w:rPr>
          <w:noProof/>
          <w:rtl/>
        </w:rPr>
        <w:t xml:space="preserve"> </w:t>
      </w:r>
      <w:r>
        <w:rPr>
          <w:rFonts w:hint="eastAsia"/>
          <w:noProof/>
          <w:rtl/>
        </w:rPr>
        <w:t>על</w:t>
      </w:r>
      <w:r>
        <w:rPr>
          <w:noProof/>
          <w:rtl/>
        </w:rPr>
        <w:t xml:space="preserve"> </w:t>
      </w:r>
      <w:r>
        <w:rPr>
          <w:rFonts w:hint="eastAsia"/>
          <w:noProof/>
          <w:rtl/>
        </w:rPr>
        <w:t>פרוטזה</w:t>
      </w:r>
      <w:r>
        <w:rPr>
          <w:noProof/>
          <w:rtl/>
        </w:rPr>
        <w:t xml:space="preserve"> - </w:t>
      </w:r>
      <w:r>
        <w:rPr>
          <w:rFonts w:hint="eastAsia"/>
          <w:noProof/>
          <w:rtl/>
        </w:rPr>
        <w:t>עמידה</w:t>
      </w:r>
      <w:r>
        <w:rPr>
          <w:noProof/>
          <w:rtl/>
        </w:rPr>
        <w:t xml:space="preserve"> </w:t>
      </w:r>
      <w:r>
        <w:rPr>
          <w:rFonts w:hint="eastAsia"/>
          <w:noProof/>
          <w:rtl/>
        </w:rPr>
        <w:t>או</w:t>
      </w:r>
      <w:r>
        <w:rPr>
          <w:noProof/>
          <w:rtl/>
        </w:rPr>
        <w:t xml:space="preserve"> </w:t>
      </w:r>
      <w:r>
        <w:rPr>
          <w:rFonts w:hint="eastAsia"/>
          <w:noProof/>
          <w:rtl/>
        </w:rPr>
        <w:t>ישיבה</w:t>
      </w:r>
      <w:r>
        <w:rPr>
          <w:noProof/>
          <w:rtl/>
        </w:rPr>
        <w:t>?</w:t>
      </w:r>
    </w:p>
    <w:p w:rsidR="00AD473B" w:rsidRDefault="00AD473B" w:rsidP="00DE0AAF">
      <w:pPr>
        <w:pStyle w:val="TOC5"/>
        <w:tabs>
          <w:tab w:val="right" w:pos="3202"/>
        </w:tabs>
        <w:ind w:left="2270"/>
        <w:rPr>
          <w:rFonts w:ascii="Calibri" w:hAnsi="Calibri" w:cs="Arial"/>
          <w:noProof/>
          <w:sz w:val="22"/>
          <w:szCs w:val="22"/>
          <w:rtl/>
        </w:rPr>
      </w:pPr>
      <w:r>
        <w:rPr>
          <w:noProof/>
          <w:rtl/>
        </w:rPr>
        <w:t xml:space="preserve">1. </w:t>
      </w:r>
      <w:r>
        <w:rPr>
          <w:rFonts w:hint="eastAsia"/>
          <w:noProof/>
          <w:rtl/>
        </w:rPr>
        <w:t>כהן</w:t>
      </w:r>
      <w:r>
        <w:rPr>
          <w:noProof/>
          <w:rtl/>
        </w:rPr>
        <w:t xml:space="preserve"> </w:t>
      </w:r>
      <w:r>
        <w:rPr>
          <w:rFonts w:hint="eastAsia"/>
          <w:noProof/>
          <w:rtl/>
        </w:rPr>
        <w:t>בעל</w:t>
      </w:r>
      <w:r>
        <w:rPr>
          <w:noProof/>
          <w:rtl/>
        </w:rPr>
        <w:t xml:space="preserve"> </w:t>
      </w:r>
      <w:r>
        <w:rPr>
          <w:rFonts w:hint="eastAsia"/>
          <w:noProof/>
          <w:rtl/>
        </w:rPr>
        <w:t>פרוטזה</w:t>
      </w:r>
      <w:r>
        <w:rPr>
          <w:noProof/>
          <w:rtl/>
        </w:rPr>
        <w:t xml:space="preserve"> </w:t>
      </w:r>
      <w:r>
        <w:rPr>
          <w:rFonts w:hint="eastAsia"/>
          <w:noProof/>
          <w:rtl/>
        </w:rPr>
        <w:t>ברגל</w:t>
      </w:r>
      <w:r>
        <w:rPr>
          <w:noProof/>
          <w:rtl/>
        </w:rPr>
        <w:t xml:space="preserve"> </w:t>
      </w:r>
      <w:r>
        <w:rPr>
          <w:rFonts w:hint="eastAsia"/>
          <w:noProof/>
          <w:rtl/>
        </w:rPr>
        <w:t>אחת</w:t>
      </w:r>
    </w:p>
    <w:p w:rsidR="00AD473B" w:rsidRDefault="00AD473B" w:rsidP="00DE0AAF">
      <w:pPr>
        <w:pStyle w:val="TOC5"/>
        <w:tabs>
          <w:tab w:val="right" w:pos="3202"/>
        </w:tabs>
        <w:ind w:left="2270"/>
        <w:rPr>
          <w:rFonts w:ascii="Calibri" w:hAnsi="Calibri" w:cs="Arial"/>
          <w:noProof/>
          <w:sz w:val="22"/>
          <w:szCs w:val="22"/>
          <w:rtl/>
        </w:rPr>
      </w:pPr>
      <w:r>
        <w:rPr>
          <w:noProof/>
          <w:rtl/>
        </w:rPr>
        <w:t xml:space="preserve">2. </w:t>
      </w:r>
      <w:r>
        <w:rPr>
          <w:rFonts w:hint="eastAsia"/>
          <w:noProof/>
          <w:rtl/>
        </w:rPr>
        <w:t>כהן</w:t>
      </w:r>
      <w:r>
        <w:rPr>
          <w:noProof/>
          <w:rtl/>
        </w:rPr>
        <w:t xml:space="preserve"> </w:t>
      </w:r>
      <w:r>
        <w:rPr>
          <w:rFonts w:hint="eastAsia"/>
          <w:noProof/>
          <w:rtl/>
        </w:rPr>
        <w:t>בעל</w:t>
      </w:r>
      <w:r>
        <w:rPr>
          <w:noProof/>
          <w:rtl/>
        </w:rPr>
        <w:t xml:space="preserve"> </w:t>
      </w:r>
      <w:r>
        <w:rPr>
          <w:rFonts w:hint="eastAsia"/>
          <w:noProof/>
          <w:rtl/>
        </w:rPr>
        <w:t>שתי</w:t>
      </w:r>
      <w:r>
        <w:rPr>
          <w:noProof/>
          <w:rtl/>
        </w:rPr>
        <w:t xml:space="preserve"> </w:t>
      </w:r>
      <w:r>
        <w:rPr>
          <w:rFonts w:hint="eastAsia"/>
          <w:noProof/>
          <w:rtl/>
        </w:rPr>
        <w:t>פרוטזות</w:t>
      </w:r>
    </w:p>
    <w:p w:rsidR="00AD473B" w:rsidRDefault="00AD473B" w:rsidP="00DE0AAF">
      <w:pPr>
        <w:pStyle w:val="TOC4"/>
        <w:tabs>
          <w:tab w:val="right" w:pos="3202"/>
        </w:tabs>
        <w:ind w:left="2270"/>
        <w:rPr>
          <w:rFonts w:ascii="Calibri" w:hAnsi="Calibri" w:cs="Arial"/>
          <w:noProof/>
          <w:sz w:val="22"/>
          <w:szCs w:val="22"/>
          <w:rtl/>
        </w:rPr>
      </w:pPr>
      <w:r>
        <w:rPr>
          <w:rFonts w:hint="eastAsia"/>
          <w:noProof/>
          <w:rtl/>
        </w:rPr>
        <w:t>ג</w:t>
      </w:r>
      <w:r>
        <w:rPr>
          <w:noProof/>
          <w:rtl/>
        </w:rPr>
        <w:t xml:space="preserve">. </w:t>
      </w:r>
      <w:r>
        <w:rPr>
          <w:rFonts w:hint="eastAsia"/>
          <w:noProof/>
          <w:rtl/>
        </w:rPr>
        <w:t>ברכת</w:t>
      </w:r>
      <w:r>
        <w:rPr>
          <w:noProof/>
          <w:rtl/>
        </w:rPr>
        <w:t xml:space="preserve"> </w:t>
      </w:r>
      <w:r>
        <w:rPr>
          <w:rFonts w:hint="eastAsia"/>
          <w:noProof/>
          <w:rtl/>
        </w:rPr>
        <w:t>כהנים</w:t>
      </w:r>
      <w:r>
        <w:rPr>
          <w:noProof/>
          <w:rtl/>
        </w:rPr>
        <w:t xml:space="preserve"> </w:t>
      </w:r>
      <w:r>
        <w:rPr>
          <w:rFonts w:hint="eastAsia"/>
          <w:noProof/>
          <w:rtl/>
        </w:rPr>
        <w:t>בישיבה</w:t>
      </w:r>
      <w:r>
        <w:rPr>
          <w:noProof/>
          <w:rtl/>
        </w:rPr>
        <w:t xml:space="preserve"> </w:t>
      </w:r>
      <w:r>
        <w:rPr>
          <w:rFonts w:hint="eastAsia"/>
          <w:noProof/>
          <w:rtl/>
        </w:rPr>
        <w:t>על</w:t>
      </w:r>
      <w:r>
        <w:rPr>
          <w:noProof/>
          <w:rtl/>
        </w:rPr>
        <w:t xml:space="preserve"> </w:t>
      </w:r>
      <w:r>
        <w:rPr>
          <w:rFonts w:hint="eastAsia"/>
          <w:noProof/>
          <w:rtl/>
        </w:rPr>
        <w:t>כיסא</w:t>
      </w:r>
      <w:r>
        <w:rPr>
          <w:noProof/>
          <w:rtl/>
        </w:rPr>
        <w:t xml:space="preserve"> </w:t>
      </w:r>
      <w:r>
        <w:rPr>
          <w:rFonts w:hint="eastAsia"/>
          <w:noProof/>
          <w:rtl/>
        </w:rPr>
        <w:t>גלגלים</w:t>
      </w:r>
    </w:p>
    <w:p w:rsidR="00AD473B" w:rsidRDefault="00AD473B" w:rsidP="00DE0AAF">
      <w:pPr>
        <w:pStyle w:val="TOC4"/>
        <w:tabs>
          <w:tab w:val="right" w:pos="3202"/>
        </w:tabs>
        <w:ind w:left="2270"/>
        <w:rPr>
          <w:rFonts w:ascii="Calibri" w:hAnsi="Calibri" w:cs="Arial"/>
          <w:noProof/>
          <w:sz w:val="22"/>
          <w:szCs w:val="22"/>
          <w:rtl/>
        </w:rPr>
      </w:pPr>
      <w:r>
        <w:rPr>
          <w:rFonts w:hint="eastAsia"/>
          <w:noProof/>
          <w:rtl/>
        </w:rPr>
        <w:t>ד</w:t>
      </w:r>
      <w:r>
        <w:rPr>
          <w:noProof/>
          <w:rtl/>
        </w:rPr>
        <w:t xml:space="preserve">. </w:t>
      </w:r>
      <w:r>
        <w:rPr>
          <w:rFonts w:hint="eastAsia"/>
          <w:noProof/>
          <w:rtl/>
        </w:rPr>
        <w:t>סיכומם</w:t>
      </w:r>
      <w:r>
        <w:rPr>
          <w:noProof/>
          <w:rtl/>
        </w:rPr>
        <w:t xml:space="preserve"> </w:t>
      </w:r>
      <w:r>
        <w:rPr>
          <w:rFonts w:hint="eastAsia"/>
          <w:noProof/>
          <w:rtl/>
        </w:rPr>
        <w:t>של</w:t>
      </w:r>
      <w:r>
        <w:rPr>
          <w:noProof/>
          <w:rtl/>
        </w:rPr>
        <w:t xml:space="preserve"> </w:t>
      </w:r>
      <w:r>
        <w:rPr>
          <w:rFonts w:hint="eastAsia"/>
          <w:noProof/>
          <w:rtl/>
        </w:rPr>
        <w:t>דברים</w:t>
      </w:r>
    </w:p>
    <w:p w:rsidR="00AD473B" w:rsidRDefault="00AD473B" w:rsidP="00DE0AAF">
      <w:pPr>
        <w:pStyle w:val="ab"/>
        <w:spacing w:before="240"/>
        <w:rPr>
          <w:rStyle w:val="af2"/>
          <w:rFonts w:cs="Miriam"/>
          <w:color w:val="auto"/>
          <w:sz w:val="24"/>
          <w:szCs w:val="40"/>
          <w:rtl/>
        </w:rPr>
      </w:pPr>
      <w:r w:rsidRPr="00FD763D">
        <w:rPr>
          <w:rStyle w:val="af2"/>
          <w:rFonts w:cs="Miriam"/>
          <w:color w:val="auto"/>
          <w:sz w:val="24"/>
          <w:szCs w:val="40"/>
        </w:rPr>
        <w:sym w:font="Wingdings" w:char="F076"/>
      </w:r>
      <w:r w:rsidRPr="00FD763D">
        <w:rPr>
          <w:rStyle w:val="af2"/>
          <w:color w:val="auto"/>
          <w:sz w:val="24"/>
        </w:rPr>
        <w:t xml:space="preserve"> </w:t>
      </w:r>
      <w:r w:rsidRPr="00FD763D">
        <w:rPr>
          <w:rStyle w:val="af2"/>
          <w:rFonts w:cs="Miriam"/>
          <w:color w:val="auto"/>
          <w:sz w:val="24"/>
          <w:szCs w:val="40"/>
        </w:rPr>
        <w:sym w:font="Wingdings" w:char="F076"/>
      </w:r>
      <w:r w:rsidRPr="00FD763D">
        <w:rPr>
          <w:rStyle w:val="af2"/>
          <w:color w:val="auto"/>
          <w:sz w:val="24"/>
        </w:rPr>
        <w:t xml:space="preserve"> </w:t>
      </w:r>
      <w:r w:rsidRPr="00FD763D">
        <w:rPr>
          <w:rStyle w:val="af2"/>
          <w:rFonts w:cs="Miriam"/>
          <w:color w:val="auto"/>
          <w:sz w:val="24"/>
          <w:szCs w:val="40"/>
        </w:rPr>
        <w:sym w:font="Wingdings" w:char="F076"/>
      </w:r>
    </w:p>
    <w:p w:rsidR="00AD473B" w:rsidRPr="00D25125" w:rsidRDefault="00AD473B" w:rsidP="00AD473B">
      <w:pPr>
        <w:rPr>
          <w:color w:val="FF0000"/>
          <w:rtl/>
        </w:rPr>
      </w:pPr>
      <w:r w:rsidRPr="001973CA">
        <w:rPr>
          <w:rFonts w:hint="cs"/>
          <w:rtl/>
        </w:rPr>
        <w:t xml:space="preserve">כהן מבוגר שעקב מחלה יושב </w:t>
      </w:r>
      <w:r>
        <w:rPr>
          <w:rFonts w:hint="cs"/>
          <w:rtl/>
        </w:rPr>
        <w:t>ב</w:t>
      </w:r>
      <w:r w:rsidRPr="001973CA">
        <w:rPr>
          <w:rFonts w:hint="cs"/>
          <w:rtl/>
        </w:rPr>
        <w:t>כ</w:t>
      </w:r>
      <w:r>
        <w:rPr>
          <w:rFonts w:hint="cs"/>
          <w:rtl/>
        </w:rPr>
        <w:t>י</w:t>
      </w:r>
      <w:r w:rsidRPr="001973CA">
        <w:rPr>
          <w:rFonts w:hint="cs"/>
          <w:rtl/>
        </w:rPr>
        <w:t>סא גלגלים</w:t>
      </w:r>
      <w:r>
        <w:rPr>
          <w:rFonts w:hint="cs"/>
          <w:rtl/>
        </w:rPr>
        <w:t xml:space="preserve"> או כהן קטוע המשתמש בפרוטזה</w:t>
      </w:r>
      <w:r w:rsidRPr="001973CA">
        <w:rPr>
          <w:rFonts w:hint="cs"/>
          <w:rtl/>
        </w:rPr>
        <w:t xml:space="preserve"> </w:t>
      </w:r>
      <w:r>
        <w:rPr>
          <w:rFonts w:hint="cs"/>
          <w:rtl/>
        </w:rPr>
        <w:t>-</w:t>
      </w:r>
      <w:r w:rsidRPr="001973CA">
        <w:rPr>
          <w:rFonts w:hint="cs"/>
          <w:rtl/>
        </w:rPr>
        <w:t xml:space="preserve"> האם </w:t>
      </w:r>
      <w:r>
        <w:rPr>
          <w:rFonts w:hint="cs"/>
          <w:rtl/>
        </w:rPr>
        <w:t>הם</w:t>
      </w:r>
      <w:r w:rsidRPr="001973CA">
        <w:rPr>
          <w:rFonts w:hint="cs"/>
          <w:rtl/>
        </w:rPr>
        <w:t xml:space="preserve"> יכול</w:t>
      </w:r>
      <w:r>
        <w:rPr>
          <w:rFonts w:hint="cs"/>
          <w:rtl/>
        </w:rPr>
        <w:t>ים</w:t>
      </w:r>
      <w:r w:rsidRPr="001973CA">
        <w:rPr>
          <w:rFonts w:hint="cs"/>
          <w:rtl/>
        </w:rPr>
        <w:t xml:space="preserve"> לעלות לדוכן</w:t>
      </w:r>
      <w:r w:rsidRPr="006B1465">
        <w:rPr>
          <w:rFonts w:hint="cs"/>
          <w:rtl/>
        </w:rPr>
        <w:t>?</w:t>
      </w:r>
    </w:p>
    <w:p w:rsidR="00AD473B" w:rsidRPr="00AD473B" w:rsidRDefault="00AD473B" w:rsidP="00AD473B">
      <w:pPr>
        <w:pStyle w:val="4"/>
        <w:rPr>
          <w:rtl/>
        </w:rPr>
      </w:pPr>
      <w:bookmarkStart w:id="0" w:name="_Toc476746534"/>
      <w:bookmarkStart w:id="1" w:name="_Toc476746616"/>
      <w:bookmarkStart w:id="2" w:name="_Toc476746874"/>
      <w:bookmarkStart w:id="3" w:name="_Toc480277364"/>
      <w:bookmarkStart w:id="4" w:name="_Toc480277375"/>
      <w:r w:rsidRPr="00AD473B">
        <w:rPr>
          <w:rFonts w:hint="cs"/>
          <w:rtl/>
        </w:rPr>
        <w:t xml:space="preserve">א. </w:t>
      </w:r>
      <w:bookmarkEnd w:id="0"/>
      <w:bookmarkEnd w:id="1"/>
      <w:bookmarkEnd w:id="2"/>
      <w:r w:rsidRPr="00AD473B">
        <w:rPr>
          <w:rFonts w:hint="cs"/>
          <w:rtl/>
        </w:rPr>
        <w:t>האם בעל מום כשר לעלות לדוכן?</w:t>
      </w:r>
      <w:bookmarkEnd w:id="3"/>
      <w:bookmarkEnd w:id="4"/>
    </w:p>
    <w:p w:rsidR="00AD473B" w:rsidRDefault="00AD473B" w:rsidP="00AD473B">
      <w:pPr>
        <w:rPr>
          <w:rtl/>
        </w:rPr>
      </w:pPr>
      <w:r>
        <w:rPr>
          <w:rFonts w:hint="cs"/>
          <w:rtl/>
        </w:rPr>
        <w:t>המשנה במסכת מגילה (כד,ב) אומרת:</w:t>
      </w:r>
    </w:p>
    <w:p w:rsidR="00AD473B" w:rsidRDefault="00AD473B" w:rsidP="00AD473B">
      <w:pPr>
        <w:pStyle w:val="afe"/>
        <w:rPr>
          <w:rtl/>
        </w:rPr>
      </w:pPr>
      <w:r>
        <w:rPr>
          <w:rtl/>
        </w:rPr>
        <w:t>כהן שיש בידיו מומין לא ישא את כפיו</w:t>
      </w:r>
      <w:r>
        <w:rPr>
          <w:rFonts w:hint="cs"/>
          <w:rtl/>
        </w:rPr>
        <w:t>...</w:t>
      </w:r>
      <w:r>
        <w:rPr>
          <w:rtl/>
        </w:rPr>
        <w:t xml:space="preserve"> מפני שהעם מסתכלין בו. </w:t>
      </w:r>
    </w:p>
    <w:p w:rsidR="00AD473B" w:rsidRDefault="00AD473B" w:rsidP="00AD473B">
      <w:pPr>
        <w:rPr>
          <w:rtl/>
        </w:rPr>
      </w:pPr>
      <w:r>
        <w:rPr>
          <w:rFonts w:hint="cs"/>
          <w:rtl/>
        </w:rPr>
        <w:t>הברייתא שם בגמרא מפרטת:</w:t>
      </w:r>
    </w:p>
    <w:p w:rsidR="00AD473B" w:rsidRDefault="00AD473B" w:rsidP="00AD473B">
      <w:pPr>
        <w:pStyle w:val="afe"/>
        <w:rPr>
          <w:rtl/>
        </w:rPr>
      </w:pPr>
      <w:r>
        <w:rPr>
          <w:rtl/>
        </w:rPr>
        <w:t>תנא: מומין שאמרו - בפניו, ידיו ורגליו</w:t>
      </w:r>
      <w:r>
        <w:rPr>
          <w:rFonts w:hint="cs"/>
          <w:rtl/>
        </w:rPr>
        <w:t xml:space="preserve"> [</w:t>
      </w:r>
      <w:r w:rsidRPr="00AA7560">
        <w:rPr>
          <w:rFonts w:hint="cs"/>
          <w:sz w:val="18"/>
          <w:szCs w:val="21"/>
          <w:rtl/>
        </w:rPr>
        <w:t xml:space="preserve">רש"י: </w:t>
      </w:r>
      <w:r w:rsidRPr="00AA7560">
        <w:rPr>
          <w:sz w:val="18"/>
          <w:szCs w:val="21"/>
          <w:rtl/>
        </w:rPr>
        <w:t>הנושא את כפיו חולץ מנעליו, כדתניא (סוטה מ,א), ואם יש בו מום יסתכלו בו, ומתוך כך רואין את ידיו</w:t>
      </w:r>
      <w:r w:rsidRPr="00AA7560">
        <w:rPr>
          <w:rFonts w:hint="cs"/>
          <w:sz w:val="18"/>
          <w:szCs w:val="21"/>
          <w:rtl/>
        </w:rPr>
        <w:t>]</w:t>
      </w:r>
      <w:r>
        <w:rPr>
          <w:rFonts w:hint="cs"/>
          <w:rtl/>
        </w:rPr>
        <w:t>..</w:t>
      </w:r>
      <w:r>
        <w:rPr>
          <w:rtl/>
        </w:rPr>
        <w:t>. תניא נמי הכי: ידיו בוהקניות</w:t>
      </w:r>
      <w:r>
        <w:rPr>
          <w:rFonts w:hint="cs"/>
          <w:rtl/>
        </w:rPr>
        <w:t xml:space="preserve"> [</w:t>
      </w:r>
      <w:r w:rsidRPr="00AD473B">
        <w:rPr>
          <w:rFonts w:hint="cs"/>
          <w:sz w:val="18"/>
          <w:szCs w:val="21"/>
          <w:rtl/>
        </w:rPr>
        <w:t xml:space="preserve">רש"י: </w:t>
      </w:r>
      <w:r w:rsidRPr="00AD473B">
        <w:rPr>
          <w:sz w:val="18"/>
          <w:szCs w:val="21"/>
          <w:rtl/>
        </w:rPr>
        <w:t>מי שיש בו כתמים לבנים</w:t>
      </w:r>
      <w:r>
        <w:rPr>
          <w:rFonts w:hint="cs"/>
          <w:rtl/>
        </w:rPr>
        <w:t>]</w:t>
      </w:r>
      <w:r>
        <w:rPr>
          <w:rtl/>
        </w:rPr>
        <w:t>- לא ישא את כפיו. עקומות</w:t>
      </w:r>
      <w:r>
        <w:rPr>
          <w:rFonts w:hint="cs"/>
          <w:rtl/>
        </w:rPr>
        <w:t xml:space="preserve"> </w:t>
      </w:r>
      <w:r w:rsidRPr="002B0F1C">
        <w:rPr>
          <w:rFonts w:hint="cs"/>
          <w:sz w:val="18"/>
          <w:szCs w:val="21"/>
          <w:rtl/>
        </w:rPr>
        <w:t>[</w:t>
      </w:r>
      <w:r>
        <w:rPr>
          <w:rFonts w:hint="cs"/>
          <w:sz w:val="18"/>
          <w:szCs w:val="21"/>
          <w:rtl/>
        </w:rPr>
        <w:t>רש</w:t>
      </w:r>
      <w:r w:rsidRPr="002B0F1C">
        <w:rPr>
          <w:rFonts w:hint="cs"/>
          <w:sz w:val="18"/>
          <w:szCs w:val="21"/>
          <w:rtl/>
        </w:rPr>
        <w:t>"י</w:t>
      </w:r>
      <w:r>
        <w:rPr>
          <w:rFonts w:hint="cs"/>
          <w:sz w:val="18"/>
          <w:szCs w:val="21"/>
          <w:rtl/>
        </w:rPr>
        <w:t>: כפופות</w:t>
      </w:r>
      <w:r w:rsidRPr="002B0F1C">
        <w:rPr>
          <w:rFonts w:hint="cs"/>
          <w:sz w:val="18"/>
          <w:szCs w:val="21"/>
          <w:rtl/>
        </w:rPr>
        <w:t>]</w:t>
      </w:r>
      <w:r>
        <w:rPr>
          <w:rtl/>
        </w:rPr>
        <w:t>, עקושות</w:t>
      </w:r>
      <w:r>
        <w:rPr>
          <w:rFonts w:hint="cs"/>
          <w:rtl/>
        </w:rPr>
        <w:t xml:space="preserve"> </w:t>
      </w:r>
      <w:r>
        <w:rPr>
          <w:rtl/>
        </w:rPr>
        <w:t xml:space="preserve"> </w:t>
      </w:r>
      <w:r w:rsidRPr="002B0F1C">
        <w:rPr>
          <w:rFonts w:hint="cs"/>
          <w:sz w:val="18"/>
          <w:szCs w:val="21"/>
          <w:rtl/>
        </w:rPr>
        <w:t>[</w:t>
      </w:r>
      <w:r>
        <w:rPr>
          <w:rFonts w:hint="cs"/>
          <w:sz w:val="18"/>
          <w:szCs w:val="21"/>
          <w:rtl/>
        </w:rPr>
        <w:t>רש"י: לצדיהן</w:t>
      </w:r>
      <w:r w:rsidRPr="002B0F1C">
        <w:rPr>
          <w:rFonts w:hint="cs"/>
          <w:sz w:val="18"/>
          <w:szCs w:val="21"/>
          <w:rtl/>
        </w:rPr>
        <w:t>]</w:t>
      </w:r>
      <w:r>
        <w:rPr>
          <w:rFonts w:hint="cs"/>
          <w:rtl/>
        </w:rPr>
        <w:t xml:space="preserve"> -</w:t>
      </w:r>
      <w:r>
        <w:rPr>
          <w:rtl/>
        </w:rPr>
        <w:t xml:space="preserve"> לא ישא את כפיו.</w:t>
      </w:r>
    </w:p>
    <w:p w:rsidR="00AD473B" w:rsidRDefault="00AD473B" w:rsidP="00AD473B">
      <w:pPr>
        <w:rPr>
          <w:rtl/>
        </w:rPr>
      </w:pPr>
      <w:r>
        <w:rPr>
          <w:rFonts w:hint="cs"/>
          <w:rtl/>
        </w:rPr>
        <w:t>אולם הגמרא מיד מסייגת ומסבירה מתי יהיה מותר גם כהן בעל מום לעלות לדוכן:</w:t>
      </w:r>
    </w:p>
    <w:p w:rsidR="00AD473B" w:rsidRDefault="00AD473B" w:rsidP="00AD473B">
      <w:pPr>
        <w:pStyle w:val="afe"/>
        <w:rPr>
          <w:b/>
          <w:bCs/>
          <w:rtl/>
        </w:rPr>
      </w:pPr>
      <w:r>
        <w:rPr>
          <w:rtl/>
        </w:rPr>
        <w:t xml:space="preserve">אמר רב הונא: זבלגן </w:t>
      </w:r>
      <w:r w:rsidRPr="002B0F1C">
        <w:rPr>
          <w:rFonts w:hint="cs"/>
          <w:sz w:val="18"/>
          <w:szCs w:val="21"/>
          <w:rtl/>
        </w:rPr>
        <w:t>[</w:t>
      </w:r>
      <w:r w:rsidRPr="002B0F1C">
        <w:rPr>
          <w:sz w:val="18"/>
          <w:szCs w:val="21"/>
          <w:rtl/>
        </w:rPr>
        <w:t>עיניו זולפות דמע -</w:t>
      </w:r>
      <w:r w:rsidRPr="002B0F1C">
        <w:rPr>
          <w:rFonts w:hint="cs"/>
          <w:sz w:val="18"/>
          <w:szCs w:val="21"/>
          <w:rtl/>
        </w:rPr>
        <w:t xml:space="preserve"> רש"י]</w:t>
      </w:r>
      <w:r>
        <w:rPr>
          <w:rFonts w:hint="cs"/>
          <w:rtl/>
        </w:rPr>
        <w:t xml:space="preserve"> </w:t>
      </w:r>
      <w:r>
        <w:rPr>
          <w:rtl/>
        </w:rPr>
        <w:t>לא ישא את כפיו. והא ההוא דהוה בשיבבותיה</w:t>
      </w:r>
      <w:r>
        <w:rPr>
          <w:rFonts w:hint="cs"/>
          <w:rtl/>
        </w:rPr>
        <w:t xml:space="preserve"> </w:t>
      </w:r>
      <w:r w:rsidRPr="00AD473B">
        <w:rPr>
          <w:rFonts w:hint="cs"/>
          <w:sz w:val="18"/>
          <w:szCs w:val="21"/>
          <w:rtl/>
        </w:rPr>
        <w:t>[בשכנותו]</w:t>
      </w:r>
      <w:r w:rsidRPr="00AD473B">
        <w:rPr>
          <w:sz w:val="18"/>
          <w:szCs w:val="21"/>
          <w:rtl/>
        </w:rPr>
        <w:t xml:space="preserve"> </w:t>
      </w:r>
      <w:r>
        <w:rPr>
          <w:rtl/>
        </w:rPr>
        <w:t xml:space="preserve">דרב הונא, והוה פריס ידיה! </w:t>
      </w:r>
      <w:r w:rsidRPr="00B6065B">
        <w:rPr>
          <w:b/>
          <w:bCs/>
          <w:rtl/>
        </w:rPr>
        <w:t>ההוא דש בעירו הוה</w:t>
      </w:r>
      <w:r>
        <w:rPr>
          <w:rtl/>
        </w:rPr>
        <w:t>.</w:t>
      </w:r>
      <w:r>
        <w:rPr>
          <w:rFonts w:hint="cs"/>
          <w:rtl/>
        </w:rPr>
        <w:t xml:space="preserve"> </w:t>
      </w:r>
      <w:r>
        <w:rPr>
          <w:rtl/>
        </w:rPr>
        <w:t xml:space="preserve">תניא נמי הכי: זבלגן לא ישא את כפיו, ואם היה </w:t>
      </w:r>
      <w:r w:rsidRPr="00B6065B">
        <w:rPr>
          <w:b/>
          <w:bCs/>
          <w:rtl/>
        </w:rPr>
        <w:t>דש בעירו - מותר</w:t>
      </w:r>
      <w:r>
        <w:rPr>
          <w:rtl/>
        </w:rPr>
        <w:t xml:space="preserve">. אמר רבי יוחנן: סומא באחת מעיניו לא ישא את כפיו. והא ההוא דהוה בשיבבותיה דרבי יוחנן, דהוה פריס ידיה! </w:t>
      </w:r>
      <w:r w:rsidRPr="00B6065B">
        <w:rPr>
          <w:b/>
          <w:bCs/>
          <w:rtl/>
        </w:rPr>
        <w:t>ההוא דש בעירו הוה</w:t>
      </w:r>
      <w:r>
        <w:rPr>
          <w:rtl/>
        </w:rPr>
        <w:t>. תנ</w:t>
      </w:r>
      <w:r>
        <w:rPr>
          <w:rFonts w:hint="cs"/>
          <w:rtl/>
        </w:rPr>
        <w:t>יא נמי הכי</w:t>
      </w:r>
      <w:r>
        <w:rPr>
          <w:rtl/>
        </w:rPr>
        <w:t>: סומא באחת מעיניו לא ישא את כפיו</w:t>
      </w:r>
      <w:r w:rsidRPr="00B6065B">
        <w:rPr>
          <w:b/>
          <w:bCs/>
          <w:rtl/>
        </w:rPr>
        <w:t>, ואם היה דש בעירו</w:t>
      </w:r>
      <w:r>
        <w:rPr>
          <w:rtl/>
        </w:rPr>
        <w:t xml:space="preserve"> - מותר. רבי יהודה אומר מי שהיו ידיו צבועות לא ישא את כפיו, תנא: </w:t>
      </w:r>
      <w:r w:rsidRPr="00B6065B">
        <w:rPr>
          <w:b/>
          <w:bCs/>
          <w:rtl/>
        </w:rPr>
        <w:t>אם רוב אנשי העיר מלאכתן בכך - מותר.</w:t>
      </w:r>
    </w:p>
    <w:p w:rsidR="00AD473B" w:rsidRDefault="00AD473B" w:rsidP="00AD473B">
      <w:pPr>
        <w:rPr>
          <w:rtl/>
        </w:rPr>
      </w:pPr>
      <w:r>
        <w:rPr>
          <w:rFonts w:hint="cs"/>
          <w:rtl/>
        </w:rPr>
        <w:t>למדנו מדברי הגמרא שבכל המומים, אם אנשי העיר התרגלו לראות את הכהן עם המום שיש לו וזה אינו מחזה חדש בעבורם, יכול לשאת את כפיו. כמו כן אם הדבר הוא נורמה מקובלת בבעיר, מותר הכהן לישא את כפיו.</w:t>
      </w:r>
    </w:p>
    <w:p w:rsidR="00AD473B" w:rsidRDefault="00AD473B" w:rsidP="00AD473B">
      <w:pPr>
        <w:rPr>
          <w:rtl/>
        </w:rPr>
      </w:pPr>
      <w:r>
        <w:rPr>
          <w:rFonts w:hint="cs"/>
          <w:rtl/>
        </w:rPr>
        <w:t>כך פסק להלכה השו</w:t>
      </w:r>
      <w:r>
        <w:rPr>
          <w:rtl/>
        </w:rPr>
        <w:t>"</w:t>
      </w:r>
      <w:r>
        <w:rPr>
          <w:rFonts w:hint="cs"/>
          <w:rtl/>
        </w:rPr>
        <w:t>ע (או"ח,ל), וגם הגדיר מי נקרא אדם שדש בעירו:</w:t>
      </w:r>
    </w:p>
    <w:p w:rsidR="00AD473B" w:rsidRDefault="00AD473B" w:rsidP="00AD473B">
      <w:pPr>
        <w:pStyle w:val="afe"/>
        <w:rPr>
          <w:rtl/>
        </w:rPr>
      </w:pPr>
      <w:r w:rsidRPr="0017330A">
        <w:rPr>
          <w:rtl/>
        </w:rPr>
        <w:t xml:space="preserve">ואם היה דש בעירו, דהיינו שהם רגילים בו ומכירים הכל שיש בו אותו מום, ישא כפיו ואפי' הוא סומא בשתי עיניו. </w:t>
      </w:r>
      <w:r>
        <w:rPr>
          <w:rFonts w:hint="cs"/>
          <w:rtl/>
        </w:rPr>
        <w:t xml:space="preserve"> </w:t>
      </w:r>
      <w:r w:rsidRPr="0062106A">
        <w:rPr>
          <w:rtl/>
        </w:rPr>
        <w:t>כל ששהה בעיר ל' יום, מקרי דש בעירו</w:t>
      </w:r>
      <w:r w:rsidRPr="0017330A">
        <w:rPr>
          <w:rtl/>
        </w:rPr>
        <w:t xml:space="preserve">; ודוקא </w:t>
      </w:r>
      <w:r w:rsidRPr="0017330A">
        <w:rPr>
          <w:rtl/>
        </w:rPr>
        <w:lastRenderedPageBreak/>
        <w:t xml:space="preserve">בעירו, אבל </w:t>
      </w:r>
      <w:r w:rsidRPr="0062106A">
        <w:rPr>
          <w:rtl/>
        </w:rPr>
        <w:t>אם הולך באקראי לעיר אחרת, ושהה שם ל' יום, לא</w:t>
      </w:r>
      <w:r>
        <w:rPr>
          <w:rFonts w:hint="cs"/>
          <w:rtl/>
        </w:rPr>
        <w:t>.</w:t>
      </w:r>
      <w:r>
        <w:rPr>
          <w:rStyle w:val="ac"/>
          <w:b/>
          <w:bCs/>
          <w:rtl/>
        </w:rPr>
        <w:footnoteReference w:id="1"/>
      </w:r>
      <w:r w:rsidRPr="0017330A">
        <w:rPr>
          <w:rtl/>
        </w:rPr>
        <w:t xml:space="preserve"> ואפילו לא ב</w:t>
      </w:r>
      <w:r>
        <w:rPr>
          <w:rtl/>
        </w:rPr>
        <w:t>א לדור שם להיות מבני העיר,</w:t>
      </w:r>
      <w:r w:rsidRPr="0017330A">
        <w:rPr>
          <w:rtl/>
        </w:rPr>
        <w:t xml:space="preserve"> אלא </w:t>
      </w:r>
      <w:r w:rsidRPr="00D51DA9">
        <w:rPr>
          <w:rtl/>
        </w:rPr>
        <w:t>בא להיות שם מלמד או סופר או משרת שנה או חצי שנה, חשוב דש בעירו בל' יום</w:t>
      </w:r>
      <w:r w:rsidRPr="0017330A">
        <w:rPr>
          <w:rtl/>
        </w:rPr>
        <w:t>.</w:t>
      </w:r>
    </w:p>
    <w:p w:rsidR="00AD473B" w:rsidRDefault="00AD473B" w:rsidP="00AD473B">
      <w:pPr>
        <w:rPr>
          <w:rtl/>
        </w:rPr>
      </w:pPr>
      <w:r>
        <w:rPr>
          <w:rFonts w:hint="cs"/>
          <w:rtl/>
        </w:rPr>
        <w:t>הסיבה לכך שכהן בעל מום לא יעלה היא, כדברי המשנה: "</w:t>
      </w:r>
      <w:r>
        <w:rPr>
          <w:rtl/>
        </w:rPr>
        <w:t>מפני שהעם מסתכלין בו</w:t>
      </w:r>
      <w:r>
        <w:rPr>
          <w:rFonts w:hint="cs"/>
          <w:rtl/>
        </w:rPr>
        <w:t>", ודבר זה אסור, כדברי הגמ' בחגיגה טז,א:</w:t>
      </w:r>
    </w:p>
    <w:p w:rsidR="00AD473B" w:rsidRDefault="00AD473B" w:rsidP="00AD473B">
      <w:pPr>
        <w:pStyle w:val="afe"/>
        <w:rPr>
          <w:rtl/>
        </w:rPr>
      </w:pPr>
      <w:r w:rsidRPr="004D34DF">
        <w:rPr>
          <w:rStyle w:val="apple-style-span"/>
          <w:rFonts w:ascii="Arial" w:hAnsi="Arial"/>
          <w:color w:val="000000"/>
          <w:rtl/>
        </w:rPr>
        <w:t>דרש רבי יהודה ברבי נחמני, מתורגמניה דריש לקיש: כל המסתכל בשלשה דברים עיניו כהות: בקשת , ובנשיא, ובכהנים</w:t>
      </w:r>
      <w:r>
        <w:rPr>
          <w:rFonts w:hint="cs"/>
          <w:rtl/>
        </w:rPr>
        <w:t xml:space="preserve">... </w:t>
      </w:r>
      <w:r>
        <w:rPr>
          <w:rtl/>
        </w:rPr>
        <w:t>המסתכל בכהנים בזמן שבית המקדש קיים, שהיו עומדין על דוכנן ומברכין את ישראל בשם המפורש.</w:t>
      </w:r>
    </w:p>
    <w:p w:rsidR="00AD473B" w:rsidRDefault="00AD473B" w:rsidP="00AD473B">
      <w:pPr>
        <w:rPr>
          <w:rtl/>
        </w:rPr>
      </w:pPr>
      <w:r>
        <w:rPr>
          <w:rFonts w:hint="cs"/>
          <w:rtl/>
        </w:rPr>
        <w:t>לכן פוסק השו"ע שבמקום שבו מבחינה מציאותית לא יראו את הפגם רשאי לעלות:</w:t>
      </w:r>
    </w:p>
    <w:p w:rsidR="00AD473B" w:rsidRDefault="00AD473B" w:rsidP="00AD473B">
      <w:pPr>
        <w:pStyle w:val="afe"/>
        <w:rPr>
          <w:rtl/>
        </w:rPr>
      </w:pPr>
      <w:r>
        <w:rPr>
          <w:rtl/>
        </w:rPr>
        <w:t>אם מנהג המקום לשלשל הכהנים טלית על פניהם, אפילו יש בפניו ובידיו כמה מומין, ישא את כפיו</w:t>
      </w:r>
      <w:r>
        <w:rPr>
          <w:rFonts w:hint="cs"/>
          <w:rtl/>
        </w:rPr>
        <w:t xml:space="preserve">. </w:t>
      </w:r>
    </w:p>
    <w:p w:rsidR="00AD473B" w:rsidRDefault="00AD473B" w:rsidP="00AD473B">
      <w:pPr>
        <w:rPr>
          <w:rtl/>
        </w:rPr>
      </w:pPr>
      <w:r>
        <w:rPr>
          <w:rFonts w:hint="cs"/>
          <w:rtl/>
        </w:rPr>
        <w:t>למדנו מכאן שבעל מום אינו פסול באופן מהותי לנשיאת כפים. רק במקרים שבהם עובדה זו עלולה לגרום לכך שהעם יסתכלו בו, אז אין הוא רשאי לעלות.</w:t>
      </w:r>
    </w:p>
    <w:p w:rsidR="00AD473B" w:rsidRDefault="00AD473B" w:rsidP="00AD473B">
      <w:pPr>
        <w:rPr>
          <w:rtl/>
        </w:rPr>
      </w:pPr>
      <w:r>
        <w:rPr>
          <w:rFonts w:hint="cs"/>
          <w:rtl/>
        </w:rPr>
        <w:t>הט"ז הקשה על כך, מדוע באמת לא יהיה הכהן בעל המום פסול בעצם, אף אם דש בעירו, והלא מצאנו היקש בין ברכת כוהנים לעבודת המקדש:</w:t>
      </w:r>
    </w:p>
    <w:p w:rsidR="00AD473B" w:rsidRDefault="00AD473B" w:rsidP="00AD473B">
      <w:pPr>
        <w:pStyle w:val="afe"/>
        <w:rPr>
          <w:rtl/>
        </w:rPr>
      </w:pPr>
      <w:r>
        <w:rPr>
          <w:rFonts w:hint="cs"/>
          <w:rtl/>
        </w:rPr>
        <w:t>...</w:t>
      </w:r>
      <w:r>
        <w:rPr>
          <w:rtl/>
        </w:rPr>
        <w:t xml:space="preserve">ותימה לי </w:t>
      </w:r>
      <w:r w:rsidRPr="00D91E25">
        <w:rPr>
          <w:b/>
          <w:bCs/>
          <w:rtl/>
        </w:rPr>
        <w:t>אמאי לא יהיה פסול משום דאיתקש לעבוד</w:t>
      </w:r>
      <w:r w:rsidRPr="00D91E25">
        <w:rPr>
          <w:rFonts w:hint="cs"/>
          <w:b/>
          <w:bCs/>
          <w:rtl/>
        </w:rPr>
        <w:t>ה</w:t>
      </w:r>
      <w:r>
        <w:rPr>
          <w:rtl/>
        </w:rPr>
        <w:t xml:space="preserve"> דכתיב</w:t>
      </w:r>
      <w:r>
        <w:rPr>
          <w:rFonts w:hint="cs"/>
          <w:rtl/>
        </w:rPr>
        <w:t>:</w:t>
      </w:r>
      <w:r>
        <w:rPr>
          <w:rtl/>
        </w:rPr>
        <w:t xml:space="preserve"> </w:t>
      </w:r>
      <w:r>
        <w:rPr>
          <w:rFonts w:hint="cs"/>
          <w:rtl/>
        </w:rPr>
        <w:t>"</w:t>
      </w:r>
      <w:r>
        <w:rPr>
          <w:rtl/>
        </w:rPr>
        <w:t>לשרתו ולברך בשמו</w:t>
      </w:r>
      <w:r>
        <w:rPr>
          <w:rFonts w:hint="cs"/>
          <w:rtl/>
        </w:rPr>
        <w:t>".</w:t>
      </w:r>
      <w:r>
        <w:rPr>
          <w:rtl/>
        </w:rPr>
        <w:t xml:space="preserve"> </w:t>
      </w:r>
    </w:p>
    <w:p w:rsidR="00AD473B" w:rsidRDefault="00AD473B" w:rsidP="00AD473B">
      <w:pPr>
        <w:rPr>
          <w:rtl/>
        </w:rPr>
      </w:pPr>
      <w:r>
        <w:rPr>
          <w:rFonts w:hint="cs"/>
          <w:rtl/>
        </w:rPr>
        <w:t>תשובתו של הט"ז היא שיש לחלק בין שני סוגי פסולים:</w:t>
      </w:r>
    </w:p>
    <w:p w:rsidR="00AD473B" w:rsidRDefault="00AD473B" w:rsidP="00AD473B">
      <w:pPr>
        <w:pStyle w:val="afe"/>
        <w:rPr>
          <w:rtl/>
        </w:rPr>
      </w:pPr>
      <w:r>
        <w:rPr>
          <w:rtl/>
        </w:rPr>
        <w:t xml:space="preserve">ונראה לתרץ </w:t>
      </w:r>
      <w:r w:rsidRPr="004070EF">
        <w:rPr>
          <w:szCs w:val="20"/>
          <w:rtl/>
        </w:rPr>
        <w:t>דמדכתיב</w:t>
      </w:r>
      <w:r>
        <w:rPr>
          <w:rtl/>
        </w:rPr>
        <w:t xml:space="preserve"> בברכת כהנים</w:t>
      </w:r>
      <w:r>
        <w:rPr>
          <w:rFonts w:hint="cs"/>
          <w:rtl/>
        </w:rPr>
        <w:t>:</w:t>
      </w:r>
      <w:r>
        <w:rPr>
          <w:rtl/>
        </w:rPr>
        <w:t xml:space="preserve"> </w:t>
      </w:r>
      <w:r w:rsidRPr="00F16DF7">
        <w:rPr>
          <w:rFonts w:hint="cs"/>
          <w:b/>
          <w:bCs/>
          <w:rtl/>
        </w:rPr>
        <w:t>"</w:t>
      </w:r>
      <w:r w:rsidRPr="00F16DF7">
        <w:rPr>
          <w:b/>
          <w:bCs/>
          <w:rtl/>
        </w:rPr>
        <w:t>דבר אל אהרן ואל בניו</w:t>
      </w:r>
      <w:r w:rsidRPr="00F16DF7">
        <w:rPr>
          <w:rFonts w:hint="cs"/>
          <w:b/>
          <w:bCs/>
          <w:rtl/>
        </w:rPr>
        <w:t>"</w:t>
      </w:r>
      <w:r w:rsidRPr="00F16DF7">
        <w:rPr>
          <w:b/>
          <w:bCs/>
          <w:rtl/>
        </w:rPr>
        <w:t xml:space="preserve"> משמע אף בעלי מומין</w:t>
      </w:r>
      <w:r w:rsidRPr="00F16DF7">
        <w:rPr>
          <w:rFonts w:hint="cs"/>
          <w:b/>
          <w:bCs/>
          <w:rtl/>
        </w:rPr>
        <w:t>,</w:t>
      </w:r>
      <w:r>
        <w:rPr>
          <w:rtl/>
        </w:rPr>
        <w:t xml:space="preserve"> כמ</w:t>
      </w:r>
      <w:r>
        <w:rPr>
          <w:rFonts w:hint="cs"/>
          <w:rtl/>
        </w:rPr>
        <w:t>ו שכתב</w:t>
      </w:r>
      <w:r>
        <w:rPr>
          <w:rtl/>
        </w:rPr>
        <w:t xml:space="preserve"> רש"י בפ' אמור בני אהרן אף בעלי מומין במשמע</w:t>
      </w:r>
      <w:r>
        <w:rPr>
          <w:rFonts w:hint="cs"/>
          <w:rtl/>
        </w:rPr>
        <w:t>.</w:t>
      </w:r>
      <w:r>
        <w:rPr>
          <w:rtl/>
        </w:rPr>
        <w:t xml:space="preserve"> </w:t>
      </w:r>
      <w:r>
        <w:rPr>
          <w:rFonts w:hint="cs"/>
          <w:rtl/>
        </w:rPr>
        <w:t xml:space="preserve"> </w:t>
      </w:r>
      <w:r w:rsidRPr="00F16DF7">
        <w:rPr>
          <w:rtl/>
        </w:rPr>
        <w:t>ויש כאן ב' פסולים</w:t>
      </w:r>
      <w:r w:rsidRPr="00F16DF7">
        <w:rPr>
          <w:rFonts w:hint="cs"/>
          <w:rtl/>
        </w:rPr>
        <w:t>:</w:t>
      </w:r>
      <w:r>
        <w:rPr>
          <w:rFonts w:hint="cs"/>
          <w:rtl/>
        </w:rPr>
        <w:t xml:space="preserve"> </w:t>
      </w:r>
      <w:r>
        <w:rPr>
          <w:rtl/>
        </w:rPr>
        <w:t>הא</w:t>
      </w:r>
      <w:r>
        <w:rPr>
          <w:rFonts w:hint="cs"/>
          <w:rtl/>
        </w:rPr>
        <w:t>חד</w:t>
      </w:r>
      <w:r w:rsidRPr="00CA36D7">
        <w:rPr>
          <w:rtl/>
        </w:rPr>
        <w:t xml:space="preserve"> מצד שינוי הבריאה</w:t>
      </w:r>
      <w:r>
        <w:rPr>
          <w:rtl/>
        </w:rPr>
        <w:t xml:space="preserve"> שהוא </w:t>
      </w:r>
      <w:r w:rsidRPr="00CA36D7">
        <w:rPr>
          <w:rtl/>
        </w:rPr>
        <w:t>בעל מום</w:t>
      </w:r>
      <w:r>
        <w:rPr>
          <w:rtl/>
        </w:rPr>
        <w:t xml:space="preserve"> וזה אתרבי במלת בניו</w:t>
      </w:r>
      <w:r>
        <w:rPr>
          <w:rFonts w:hint="cs"/>
          <w:rtl/>
        </w:rPr>
        <w:t xml:space="preserve">. </w:t>
      </w:r>
      <w:r w:rsidRPr="00CA36D7">
        <w:rPr>
          <w:b/>
          <w:bCs/>
          <w:rtl/>
        </w:rPr>
        <w:t>ופסול שני</w:t>
      </w:r>
      <w:r>
        <w:rPr>
          <w:rtl/>
        </w:rPr>
        <w:t xml:space="preserve"> מחמת </w:t>
      </w:r>
      <w:r w:rsidRPr="00CA36D7">
        <w:rPr>
          <w:b/>
          <w:bCs/>
          <w:rtl/>
        </w:rPr>
        <w:t xml:space="preserve">מעשה האדם </w:t>
      </w:r>
      <w:r>
        <w:rPr>
          <w:rtl/>
        </w:rPr>
        <w:t>וזה לא שייך למלת בניו דקאי על התולדה דמ"מ הוא בניו של אהרן בתולדה</w:t>
      </w:r>
      <w:r>
        <w:rPr>
          <w:rFonts w:hint="cs"/>
          <w:rtl/>
        </w:rPr>
        <w:t>.</w:t>
      </w:r>
      <w:r>
        <w:rPr>
          <w:rFonts w:hint="cs"/>
          <w:b/>
          <w:bCs/>
          <w:rtl/>
        </w:rPr>
        <w:t xml:space="preserve"> </w:t>
      </w:r>
      <w:r w:rsidRPr="00AB496D">
        <w:rPr>
          <w:b/>
          <w:bCs/>
          <w:rtl/>
        </w:rPr>
        <w:t>ולא בא ההיקש דברכה לשירות אלא בדבר שהוא ביד האדם לתקן</w:t>
      </w:r>
      <w:r>
        <w:rPr>
          <w:rtl/>
        </w:rPr>
        <w:t xml:space="preserve"> כגון יושב שהרי יכול לעמוד ובשתוי יין יש לו להזהר שלא לשתות</w:t>
      </w:r>
      <w:r>
        <w:rPr>
          <w:rFonts w:hint="cs"/>
          <w:rtl/>
        </w:rPr>
        <w:t xml:space="preserve">. </w:t>
      </w:r>
      <w:r>
        <w:rPr>
          <w:rtl/>
        </w:rPr>
        <w:t>מ</w:t>
      </w:r>
      <w:r>
        <w:rPr>
          <w:rFonts w:hint="cs"/>
          <w:rtl/>
        </w:rPr>
        <w:t>ה שאין כן</w:t>
      </w:r>
      <w:r>
        <w:rPr>
          <w:rtl/>
        </w:rPr>
        <w:t xml:space="preserve"> מומין שאין בידו לתקן</w:t>
      </w:r>
      <w:r>
        <w:rPr>
          <w:rFonts w:hint="cs"/>
          <w:rtl/>
        </w:rPr>
        <w:t>,</w:t>
      </w:r>
      <w:r>
        <w:rPr>
          <w:rtl/>
        </w:rPr>
        <w:t xml:space="preserve"> שבקי</w:t>
      </w:r>
      <w:r>
        <w:rPr>
          <w:rFonts w:hint="cs"/>
          <w:rtl/>
        </w:rPr>
        <w:t>נן</w:t>
      </w:r>
      <w:r>
        <w:rPr>
          <w:rtl/>
        </w:rPr>
        <w:t xml:space="preserve"> לה אמשמעות דבני אהרן</w:t>
      </w:r>
      <w:r>
        <w:rPr>
          <w:rFonts w:hint="cs"/>
          <w:rtl/>
        </w:rPr>
        <w:t>.</w:t>
      </w:r>
    </w:p>
    <w:p w:rsidR="00AD473B" w:rsidRDefault="00AD473B" w:rsidP="00AD473B">
      <w:pPr>
        <w:rPr>
          <w:rtl/>
        </w:rPr>
      </w:pPr>
      <w:r>
        <w:rPr>
          <w:rFonts w:hint="cs"/>
          <w:rtl/>
        </w:rPr>
        <w:t>פסול שהוא חלק מהאדם עצמו, שכך הייתה בריאתו, במקרה כזה מכיוון שהוא חלק מזרעו של אהרן, נתרבה מהביטוי "אהרן ובניו". לעומת זאת, מום יזום על ידי האדם כמו ישיבה או שתייה, אינו נכלל בריבוי של "בני אהרן" ונפסל כתוצאה מההיקש.</w:t>
      </w:r>
    </w:p>
    <w:p w:rsidR="00AD473B" w:rsidRDefault="00AD473B" w:rsidP="00AD473B">
      <w:pPr>
        <w:rPr>
          <w:rtl/>
        </w:rPr>
      </w:pPr>
      <w:r>
        <w:rPr>
          <w:rFonts w:hint="cs"/>
          <w:rtl/>
        </w:rPr>
        <w:t>הט"ז (או"ח קכח ס"ק כז) חותם את דבריו במילים:</w:t>
      </w:r>
    </w:p>
    <w:p w:rsidR="00AD473B" w:rsidRDefault="00AD473B" w:rsidP="00AD473B">
      <w:pPr>
        <w:pStyle w:val="afe"/>
        <w:rPr>
          <w:rtl/>
        </w:rPr>
      </w:pPr>
      <w:r>
        <w:rPr>
          <w:rtl/>
        </w:rPr>
        <w:t>כ</w:t>
      </w:r>
      <w:r>
        <w:rPr>
          <w:rFonts w:hint="cs"/>
          <w:rtl/>
        </w:rPr>
        <w:t>ך נראה לי</w:t>
      </w:r>
      <w:r>
        <w:rPr>
          <w:rtl/>
        </w:rPr>
        <w:t xml:space="preserve"> בזה </w:t>
      </w:r>
      <w:r w:rsidRPr="00DC30B7">
        <w:rPr>
          <w:rtl/>
        </w:rPr>
        <w:t>ודבר חידוש הוא אשר לא מצאנו קושי</w:t>
      </w:r>
      <w:r w:rsidRPr="00DC30B7">
        <w:rPr>
          <w:rFonts w:hint="cs"/>
          <w:rtl/>
        </w:rPr>
        <w:t>ה</w:t>
      </w:r>
      <w:r w:rsidRPr="00DC30B7">
        <w:rPr>
          <w:rtl/>
        </w:rPr>
        <w:t xml:space="preserve"> זו ופירוק</w:t>
      </w:r>
      <w:r w:rsidRPr="00DC30B7">
        <w:rPr>
          <w:rFonts w:hint="cs"/>
          <w:rtl/>
        </w:rPr>
        <w:t>ה</w:t>
      </w:r>
      <w:r w:rsidRPr="00DC30B7">
        <w:rPr>
          <w:rtl/>
        </w:rPr>
        <w:t xml:space="preserve"> בשום מפרש קדמון ולא בתראי</w:t>
      </w:r>
      <w:r>
        <w:rPr>
          <w:rFonts w:hint="cs"/>
          <w:rtl/>
        </w:rPr>
        <w:t>.</w:t>
      </w:r>
    </w:p>
    <w:p w:rsidR="00AD473B" w:rsidRDefault="00AD473B" w:rsidP="00AD473B">
      <w:pPr>
        <w:rPr>
          <w:rtl/>
        </w:rPr>
      </w:pPr>
      <w:r>
        <w:rPr>
          <w:rFonts w:hint="cs"/>
          <w:rtl/>
        </w:rPr>
        <w:t>אמנם, קשה על הט"ז שלכאורה נתעלמה ממנו גמרא מפורשת (תענית כו,ב):</w:t>
      </w:r>
    </w:p>
    <w:p w:rsidR="00AD473B" w:rsidRDefault="00AD473B" w:rsidP="00AD473B">
      <w:pPr>
        <w:pStyle w:val="afe"/>
        <w:rPr>
          <w:rtl/>
        </w:rPr>
      </w:pPr>
      <w:r>
        <w:rPr>
          <w:rtl/>
        </w:rPr>
        <w:t xml:space="preserve">דכולי עלמא מיהת </w:t>
      </w:r>
      <w:r w:rsidRPr="00080943">
        <w:rPr>
          <w:rtl/>
        </w:rPr>
        <w:t>שכור אסור בנשיאת כפים</w:t>
      </w:r>
      <w:r>
        <w:rPr>
          <w:rFonts w:hint="cs"/>
          <w:rtl/>
        </w:rPr>
        <w:t xml:space="preserve">. </w:t>
      </w:r>
      <w:r>
        <w:rPr>
          <w:rtl/>
        </w:rPr>
        <w:t xml:space="preserve">מנהני מילי? אמר רבי יהושע בן לוי משום בר קפרא: למה נסמכה פרשת כהן מברך לפרשת נזיר? לומר: </w:t>
      </w:r>
      <w:r w:rsidRPr="00080943">
        <w:rPr>
          <w:b/>
          <w:bCs/>
          <w:rtl/>
        </w:rPr>
        <w:t xml:space="preserve">מה נזיר אסור ביין - אף כהן מברך אסור ביין. </w:t>
      </w:r>
      <w:r>
        <w:rPr>
          <w:rtl/>
        </w:rPr>
        <w:t xml:space="preserve">מתקיף לה אבוה דרבי זירא, ואמרי לה אושעיא בר זבדא: אי מה נזיר אסור בחרצן אף כהן מברך אסור בחרצן? </w:t>
      </w:r>
      <w:r>
        <w:rPr>
          <w:rFonts w:hint="cs"/>
          <w:rtl/>
        </w:rPr>
        <w:t xml:space="preserve"> </w:t>
      </w:r>
      <w:r>
        <w:rPr>
          <w:rtl/>
        </w:rPr>
        <w:t xml:space="preserve">אמר רבי יצחק </w:t>
      </w:r>
      <w:r w:rsidRPr="00080943">
        <w:rPr>
          <w:rtl/>
        </w:rPr>
        <w:t>אמר קרא לשרתו ולברך בשמו</w:t>
      </w:r>
      <w:r>
        <w:rPr>
          <w:rtl/>
        </w:rPr>
        <w:t xml:space="preserve"> מה </w:t>
      </w:r>
      <w:r w:rsidRPr="00080943">
        <w:rPr>
          <w:rtl/>
        </w:rPr>
        <w:t>משרת מותר בחרצן אף כהן מברך מותר בחרצן.</w:t>
      </w:r>
      <w:r>
        <w:rPr>
          <w:rFonts w:hint="cs"/>
          <w:rtl/>
        </w:rPr>
        <w:t xml:space="preserve"> </w:t>
      </w:r>
      <w:r>
        <w:rPr>
          <w:rtl/>
        </w:rPr>
        <w:lastRenderedPageBreak/>
        <w:t xml:space="preserve">אי מה </w:t>
      </w:r>
      <w:r w:rsidRPr="00080943">
        <w:rPr>
          <w:rtl/>
        </w:rPr>
        <w:t>משרת בעל מום לא</w:t>
      </w:r>
      <w:r>
        <w:rPr>
          <w:rtl/>
        </w:rPr>
        <w:t xml:space="preserve"> אף </w:t>
      </w:r>
      <w:r w:rsidRPr="00080943">
        <w:rPr>
          <w:rtl/>
        </w:rPr>
        <w:t>כהן מברך בעל מום לא</w:t>
      </w:r>
      <w:r>
        <w:rPr>
          <w:rtl/>
        </w:rPr>
        <w:t>!</w:t>
      </w:r>
      <w:r>
        <w:rPr>
          <w:rFonts w:hint="cs"/>
          <w:rtl/>
        </w:rPr>
        <w:t xml:space="preserve"> </w:t>
      </w:r>
      <w:r>
        <w:rPr>
          <w:rtl/>
        </w:rPr>
        <w:t>הא איתקש לנזיר.</w:t>
      </w:r>
      <w:r>
        <w:rPr>
          <w:rFonts w:hint="cs"/>
          <w:rtl/>
        </w:rPr>
        <w:t xml:space="preserve"> </w:t>
      </w:r>
      <w:r>
        <w:rPr>
          <w:rtl/>
        </w:rPr>
        <w:t xml:space="preserve">ומאי חזית דמקשת לקולא, </w:t>
      </w:r>
      <w:r w:rsidRPr="00330376">
        <w:rPr>
          <w:b/>
          <w:bCs/>
          <w:rtl/>
        </w:rPr>
        <w:t>אקיש לחומרא</w:t>
      </w:r>
      <w:r>
        <w:rPr>
          <w:rFonts w:hint="cs"/>
          <w:rtl/>
        </w:rPr>
        <w:t xml:space="preserve">  (תוס': "</w:t>
      </w:r>
      <w:r>
        <w:rPr>
          <w:rtl/>
        </w:rPr>
        <w:t xml:space="preserve">פירוש ונימא </w:t>
      </w:r>
      <w:r w:rsidRPr="00330376">
        <w:rPr>
          <w:b/>
          <w:bCs/>
          <w:rtl/>
        </w:rPr>
        <w:t xml:space="preserve">דכמו שנזיר </w:t>
      </w:r>
      <w:r w:rsidRPr="00330376">
        <w:rPr>
          <w:rtl/>
        </w:rPr>
        <w:t>אסור בחרצן</w:t>
      </w:r>
      <w:r w:rsidRPr="00330376">
        <w:rPr>
          <w:b/>
          <w:bCs/>
          <w:rtl/>
        </w:rPr>
        <w:t xml:space="preserve"> אף כהן אסור בחרצן</w:t>
      </w:r>
      <w:r>
        <w:rPr>
          <w:rtl/>
        </w:rPr>
        <w:t xml:space="preserve"> </w:t>
      </w:r>
      <w:r>
        <w:rPr>
          <w:rFonts w:hint="cs"/>
          <w:rtl/>
        </w:rPr>
        <w:t xml:space="preserve"> </w:t>
      </w:r>
      <w:r w:rsidRPr="00330376">
        <w:rPr>
          <w:rtl/>
        </w:rPr>
        <w:t>וכמו כהן</w:t>
      </w:r>
      <w:r>
        <w:rPr>
          <w:rtl/>
        </w:rPr>
        <w:t xml:space="preserve"> </w:t>
      </w:r>
      <w:r w:rsidRPr="00330376">
        <w:rPr>
          <w:rtl/>
        </w:rPr>
        <w:t>משרת</w:t>
      </w:r>
      <w:r>
        <w:rPr>
          <w:rtl/>
        </w:rPr>
        <w:t xml:space="preserve"> אסור בעל מום </w:t>
      </w:r>
      <w:r w:rsidRPr="00330376">
        <w:rPr>
          <w:rtl/>
        </w:rPr>
        <w:t>אף כהן מברך בעל מום אסור</w:t>
      </w:r>
      <w:r>
        <w:rPr>
          <w:rFonts w:hint="cs"/>
          <w:rtl/>
        </w:rPr>
        <w:t>")</w:t>
      </w:r>
      <w:r>
        <w:rPr>
          <w:rtl/>
        </w:rPr>
        <w:t>!</w:t>
      </w:r>
      <w:r>
        <w:rPr>
          <w:rFonts w:hint="cs"/>
          <w:rtl/>
        </w:rPr>
        <w:t xml:space="preserve"> </w:t>
      </w:r>
      <w:r w:rsidRPr="00330376">
        <w:rPr>
          <w:rtl/>
        </w:rPr>
        <w:t>אסמכתא נינהו מדרבנן</w:t>
      </w:r>
      <w:r>
        <w:rPr>
          <w:rtl/>
        </w:rPr>
        <w:t>, ולקולא.</w:t>
      </w:r>
    </w:p>
    <w:p w:rsidR="00AD473B" w:rsidRDefault="00AD473B" w:rsidP="00AD473B">
      <w:pPr>
        <w:rPr>
          <w:rtl/>
        </w:rPr>
      </w:pPr>
      <w:r>
        <w:rPr>
          <w:rFonts w:hint="cs"/>
          <w:rtl/>
        </w:rPr>
        <w:t>למדנו מדברי הגמרא, שההיקש שבין עבודה במקדש לבין ברכת כהנים הוא אסמכתא. וזו הסיבה שהתירו לכהן בעל מום לעלות לדוכן, אלא אם כן גורם הדבר להסתכלות בכוהנים המברכים.</w:t>
      </w:r>
    </w:p>
    <w:p w:rsidR="00AD473B" w:rsidRDefault="00AD473B" w:rsidP="00AD473B">
      <w:pPr>
        <w:rPr>
          <w:rtl/>
        </w:rPr>
      </w:pPr>
      <w:r>
        <w:rPr>
          <w:rFonts w:hint="cs"/>
          <w:rtl/>
        </w:rPr>
        <w:t>וכך אכן הסיקו תוס' (שם כז,א):</w:t>
      </w:r>
    </w:p>
    <w:p w:rsidR="00AD473B" w:rsidRDefault="00AD473B" w:rsidP="00AD473B">
      <w:pPr>
        <w:pStyle w:val="afe"/>
        <w:rPr>
          <w:rtl/>
        </w:rPr>
      </w:pPr>
      <w:r>
        <w:rPr>
          <w:rtl/>
        </w:rPr>
        <w:t xml:space="preserve">מכאן נראה </w:t>
      </w:r>
      <w:r w:rsidRPr="00980D4A">
        <w:rPr>
          <w:b/>
          <w:bCs/>
          <w:rtl/>
        </w:rPr>
        <w:t>דבעל מום מברך ברכת כהנים</w:t>
      </w:r>
      <w:r>
        <w:rPr>
          <w:rFonts w:hint="cs"/>
          <w:rtl/>
        </w:rPr>
        <w:t>.</w:t>
      </w:r>
      <w:r>
        <w:rPr>
          <w:rtl/>
        </w:rPr>
        <w:t xml:space="preserve"> מדקא חזינן דהש"ס רוצה ללמוד </w:t>
      </w:r>
      <w:r w:rsidRPr="00980D4A">
        <w:rPr>
          <w:rtl/>
        </w:rPr>
        <w:t>מברך</w:t>
      </w:r>
      <w:r>
        <w:rPr>
          <w:rtl/>
        </w:rPr>
        <w:t xml:space="preserve"> ממשרת ולבעל מום ודחינן ליה</w:t>
      </w:r>
      <w:r>
        <w:rPr>
          <w:rFonts w:hint="cs"/>
          <w:rtl/>
        </w:rPr>
        <w:t>.</w:t>
      </w:r>
      <w:r>
        <w:rPr>
          <w:rtl/>
        </w:rPr>
        <w:t xml:space="preserve"> אם כן נראה דלענין נשיאת כפים כהן בעל מום נושא כפיו</w:t>
      </w:r>
      <w:r>
        <w:rPr>
          <w:rFonts w:hint="cs"/>
          <w:rtl/>
        </w:rPr>
        <w:t>.</w:t>
      </w:r>
    </w:p>
    <w:p w:rsidR="00AD473B" w:rsidRDefault="00AD473B" w:rsidP="00AD473B">
      <w:pPr>
        <w:rPr>
          <w:rtl/>
        </w:rPr>
      </w:pPr>
      <w:r>
        <w:rPr>
          <w:rFonts w:hint="cs"/>
          <w:rtl/>
        </w:rPr>
        <w:t>למדנו מכך שההיקש בין ברכה לעבודה הוא מדרבנן וזוהי הסיבה שבעל מום כשר באופן עקרוני לעלות לדוכן. לבד ממקרה שבו העם מביטים בו, שרק אז נאסר עליו לעלות לדוכן. לאור זאת דברי הט"ז צ"ע.</w:t>
      </w:r>
      <w:r>
        <w:rPr>
          <w:rStyle w:val="ac"/>
          <w:rtl/>
        </w:rPr>
        <w:footnoteReference w:id="2"/>
      </w:r>
    </w:p>
    <w:p w:rsidR="00AD473B" w:rsidRDefault="00AD473B" w:rsidP="00AD473B">
      <w:pPr>
        <w:pStyle w:val="4"/>
        <w:rPr>
          <w:rtl/>
        </w:rPr>
      </w:pPr>
      <w:bookmarkStart w:id="5" w:name="_Toc476746535"/>
      <w:bookmarkStart w:id="6" w:name="_Toc476746617"/>
      <w:bookmarkStart w:id="7" w:name="_Toc476746875"/>
      <w:bookmarkStart w:id="8" w:name="_Toc480277365"/>
      <w:bookmarkStart w:id="9" w:name="_Toc480277376"/>
      <w:r>
        <w:rPr>
          <w:rFonts w:hint="cs"/>
          <w:rtl/>
        </w:rPr>
        <w:t>ב. הישענות על פרוטזה - עמידה או ישיבה?</w:t>
      </w:r>
      <w:bookmarkEnd w:id="5"/>
      <w:bookmarkEnd w:id="6"/>
      <w:bookmarkEnd w:id="7"/>
      <w:bookmarkEnd w:id="8"/>
      <w:bookmarkEnd w:id="9"/>
    </w:p>
    <w:p w:rsidR="00AD473B" w:rsidRDefault="00AD473B" w:rsidP="00AD473B">
      <w:pPr>
        <w:pStyle w:val="5"/>
        <w:rPr>
          <w:rtl/>
        </w:rPr>
      </w:pPr>
      <w:bookmarkStart w:id="10" w:name="_Toc476746536"/>
      <w:bookmarkStart w:id="11" w:name="_Toc476746618"/>
      <w:bookmarkStart w:id="12" w:name="_Toc476746876"/>
      <w:bookmarkStart w:id="13" w:name="_Toc480277366"/>
      <w:bookmarkStart w:id="14" w:name="_Toc480277377"/>
      <w:r>
        <w:rPr>
          <w:rFonts w:hint="cs"/>
          <w:rtl/>
        </w:rPr>
        <w:t>1. כהן בעל פרוטזה ברגל אחת</w:t>
      </w:r>
      <w:bookmarkEnd w:id="10"/>
      <w:bookmarkEnd w:id="11"/>
      <w:bookmarkEnd w:id="12"/>
      <w:bookmarkEnd w:id="13"/>
      <w:bookmarkEnd w:id="14"/>
    </w:p>
    <w:p w:rsidR="00AD473B" w:rsidRDefault="00AD473B" w:rsidP="00AD473B">
      <w:pPr>
        <w:rPr>
          <w:rtl/>
        </w:rPr>
      </w:pPr>
      <w:r>
        <w:rPr>
          <w:rFonts w:hint="cs"/>
          <w:rtl/>
        </w:rPr>
        <w:t xml:space="preserve">אמנם יש לדון מה יהיה דינו של כהן שאינו מסוגל לעמוד בברכת כוהנים </w:t>
      </w:r>
      <w:r w:rsidRPr="00AD473B">
        <w:rPr>
          <w:rFonts w:hint="cs"/>
          <w:rtl/>
        </w:rPr>
        <w:t>בכוחות עצמו, אלא רק בסיועה של פרוטזה</w:t>
      </w:r>
      <w:r>
        <w:rPr>
          <w:rFonts w:hint="cs"/>
          <w:rtl/>
        </w:rPr>
        <w:t>, שהרי כך פסק בשו</w:t>
      </w:r>
      <w:r>
        <w:rPr>
          <w:rtl/>
        </w:rPr>
        <w:t>"</w:t>
      </w:r>
      <w:r>
        <w:rPr>
          <w:rFonts w:hint="cs"/>
          <w:rtl/>
        </w:rPr>
        <w:t>ע (או"ח קכח,יד): "</w:t>
      </w:r>
      <w:r>
        <w:rPr>
          <w:rtl/>
        </w:rPr>
        <w:t xml:space="preserve">אין מברכין אלא בלשון הקודש; </w:t>
      </w:r>
      <w:r w:rsidRPr="004202B5">
        <w:rPr>
          <w:b/>
          <w:bCs/>
          <w:rtl/>
        </w:rPr>
        <w:t>ובעמידה</w:t>
      </w:r>
      <w:r>
        <w:rPr>
          <w:rtl/>
        </w:rPr>
        <w:t>; ובנשיאת כפים; ובקול רם</w:t>
      </w:r>
      <w:r>
        <w:rPr>
          <w:rFonts w:hint="cs"/>
          <w:rtl/>
        </w:rPr>
        <w:t>"</w:t>
      </w:r>
      <w:r>
        <w:rPr>
          <w:rtl/>
        </w:rPr>
        <w:t>.</w:t>
      </w:r>
      <w:r>
        <w:rPr>
          <w:rFonts w:hint="cs"/>
          <w:rtl/>
        </w:rPr>
        <w:t xml:space="preserve"> - האם עמידתו בעזרת הפרוטזה מתירה לו לעלות לדוכן?</w:t>
      </w:r>
    </w:p>
    <w:p w:rsidR="00AD473B" w:rsidRDefault="00AD473B" w:rsidP="00AD473B">
      <w:pPr>
        <w:rPr>
          <w:rtl/>
        </w:rPr>
      </w:pPr>
      <w:r>
        <w:rPr>
          <w:rFonts w:hint="cs"/>
          <w:rtl/>
        </w:rPr>
        <w:t>בשאלה זו דן בשו"ת אבן-ישראל (רי"י פישר; ח"ז סי' י):</w:t>
      </w:r>
    </w:p>
    <w:p w:rsidR="00AD473B" w:rsidRDefault="00AD473B" w:rsidP="00AD473B">
      <w:pPr>
        <w:pStyle w:val="afe"/>
        <w:rPr>
          <w:rtl/>
        </w:rPr>
      </w:pPr>
      <w:r>
        <w:rPr>
          <w:rFonts w:hint="cs"/>
          <w:rtl/>
        </w:rPr>
        <w:t>בעניין כהן אחד שעלה על מוקש</w:t>
      </w:r>
      <w:r>
        <w:rPr>
          <w:rtl/>
        </w:rPr>
        <w:t xml:space="preserve"> ועש</w:t>
      </w:r>
      <w:r w:rsidRPr="000F7C44">
        <w:rPr>
          <w:rtl/>
        </w:rPr>
        <w:t>ו לו</w:t>
      </w:r>
      <w:r w:rsidRPr="0032042E">
        <w:rPr>
          <w:b/>
          <w:bCs/>
          <w:rtl/>
        </w:rPr>
        <w:t xml:space="preserve"> כף רגל מגומי ומעץ להשלים</w:t>
      </w:r>
      <w:r w:rsidRPr="0032042E">
        <w:rPr>
          <w:rFonts w:hint="cs"/>
          <w:b/>
          <w:bCs/>
          <w:rtl/>
        </w:rPr>
        <w:t xml:space="preserve"> לו את הרגל,</w:t>
      </w:r>
      <w:r>
        <w:rPr>
          <w:rFonts w:hint="cs"/>
          <w:rtl/>
        </w:rPr>
        <w:t xml:space="preserve"> אי מותר לכהן הזה לעלות לדוכן בברכת כוהנים.</w:t>
      </w:r>
    </w:p>
    <w:p w:rsidR="00AD473B" w:rsidRDefault="00AD473B" w:rsidP="00AD473B">
      <w:pPr>
        <w:rPr>
          <w:rtl/>
        </w:rPr>
      </w:pPr>
      <w:r>
        <w:rPr>
          <w:rFonts w:hint="cs"/>
          <w:rtl/>
        </w:rPr>
        <w:t xml:space="preserve">מצד מום הגורם להסתכלות הציבור הוא מתיר </w:t>
      </w:r>
      <w:r w:rsidRPr="00BA3799">
        <w:rPr>
          <w:rFonts w:hint="cs"/>
          <w:b/>
          <w:bCs/>
          <w:rtl/>
        </w:rPr>
        <w:t>במכנסיים ארוכים</w:t>
      </w:r>
      <w:r>
        <w:rPr>
          <w:rFonts w:hint="cs"/>
          <w:rtl/>
        </w:rPr>
        <w:t>, מכיוון ש"כפי המנהג שלנו שהולכים במכנסים ארוכים שאין כאן חשש של הסתכלות ברגליו שרגל זו משונה מחברו. וכן הולכים באנפלאות בודאי מותר לישא כפיו".</w:t>
      </w:r>
    </w:p>
    <w:p w:rsidR="00AD473B" w:rsidRDefault="00AD473B" w:rsidP="00AD473B">
      <w:pPr>
        <w:rPr>
          <w:rtl/>
        </w:rPr>
      </w:pPr>
      <w:r>
        <w:rPr>
          <w:rFonts w:hint="cs"/>
          <w:rtl/>
        </w:rPr>
        <w:t>ומצד חובת עמידה הוא מתיר, מכיוון שחובת העמידה היא לזמן קצר בלבד:</w:t>
      </w:r>
    </w:p>
    <w:p w:rsidR="00AD473B" w:rsidRDefault="00AD473B" w:rsidP="00AD473B">
      <w:pPr>
        <w:pStyle w:val="afe"/>
        <w:rPr>
          <w:rtl/>
        </w:rPr>
      </w:pPr>
      <w:r>
        <w:rPr>
          <w:rFonts w:hint="cs"/>
          <w:rtl/>
        </w:rPr>
        <w:t xml:space="preserve">אלא </w:t>
      </w:r>
      <w:r w:rsidRPr="00BA3799">
        <w:rPr>
          <w:rFonts w:hint="cs"/>
          <w:rtl/>
        </w:rPr>
        <w:t>מה</w:t>
      </w:r>
      <w:r>
        <w:rPr>
          <w:rFonts w:hint="cs"/>
          <w:rtl/>
        </w:rPr>
        <w:t xml:space="preserve"> שיש לדון הוא מצד עמידה דמבואר דהוא מן התורה </w:t>
      </w:r>
      <w:r>
        <w:rPr>
          <w:rStyle w:val="ac"/>
          <w:rtl/>
        </w:rPr>
        <w:footnoteReference w:id="3"/>
      </w:r>
      <w:r>
        <w:rPr>
          <w:rFonts w:hint="cs"/>
          <w:rtl/>
        </w:rPr>
        <w:t xml:space="preserve"> והוא מעכב, אי מה שעומד ברגל האחת על חתיכת עץ ומגומי, אי זה מקרי עמידה דהרי הרגל אינה יכולה לעמוד בלי החתיכה והוי כעומד על ידי סמיכה שהחתיכה סומכת אותו שיוכל לעמוד. והרי בברכת כוהנים כל דין העמידה הוא בשעה שאומר הכהן יברכך, אבל בודאי בשעה שהחזן אומר אינו צריך לעמוד וכל שכן בשעה שהחזן מנגן. ועל רגע זו </w:t>
      </w:r>
      <w:r>
        <w:rPr>
          <w:rFonts w:hint="cs"/>
          <w:rtl/>
        </w:rPr>
        <w:lastRenderedPageBreak/>
        <w:t>של אמירת יברכך בודאי כל אדם יכול לעמוד ברגל אחת, והוה שפיר עמידה.</w:t>
      </w:r>
      <w:r w:rsidRPr="00BD091C">
        <w:rPr>
          <w:rFonts w:hint="cs"/>
          <w:b/>
          <w:bCs/>
          <w:rtl/>
        </w:rPr>
        <w:t xml:space="preserve"> ובודאי מותר לו לישא כפיו בלי שום פקפוק</w:t>
      </w:r>
      <w:r>
        <w:rPr>
          <w:rFonts w:hint="cs"/>
          <w:rtl/>
        </w:rPr>
        <w:t>.</w:t>
      </w:r>
    </w:p>
    <w:p w:rsidR="00AD473B" w:rsidRDefault="00AD473B" w:rsidP="00AD473B">
      <w:pPr>
        <w:rPr>
          <w:rtl/>
        </w:rPr>
      </w:pPr>
      <w:r>
        <w:rPr>
          <w:rFonts w:hint="cs"/>
          <w:rtl/>
        </w:rPr>
        <w:t xml:space="preserve"> ואם כך, מסקנתו שיהיה מותר לכהן כזה לעלות לדוכן, כיוון שדין עמידה הוא רק בברכות הנאמרות על ידי הכהן וזמן קצר כזה יכול הכהן לעמוד על רגלו האחת.</w:t>
      </w:r>
    </w:p>
    <w:p w:rsidR="00AD473B" w:rsidRDefault="00AD473B" w:rsidP="00AD473B">
      <w:pPr>
        <w:rPr>
          <w:rtl/>
        </w:rPr>
      </w:pPr>
      <w:r>
        <w:rPr>
          <w:rFonts w:hint="cs"/>
          <w:rtl/>
        </w:rPr>
        <w:t>יש להעיר שלבעלי פרוטזה קשה להוריד את הנעליים. אולם דבר זה לא יעכבם מלעלות לדוכן, וכך פסק כבר הרב עובדיה יוסף בשו"ת יחווה-דעת:</w:t>
      </w:r>
      <w:r>
        <w:rPr>
          <w:rStyle w:val="ac"/>
          <w:rtl/>
        </w:rPr>
        <w:footnoteReference w:id="4"/>
      </w:r>
    </w:p>
    <w:p w:rsidR="00AD473B" w:rsidRDefault="00AD473B" w:rsidP="00AD473B">
      <w:pPr>
        <w:pStyle w:val="afe"/>
        <w:rPr>
          <w:rtl/>
        </w:rPr>
      </w:pPr>
      <w:r>
        <w:rPr>
          <w:rtl/>
        </w:rPr>
        <w:t>ולכן נראה שהרוצה לסמוך על האחרונים המקילים כדי שלא יתבטל לגמרי ממצות נשיאות כפים לברך את ישראל, שהיא מצוה רבה וחשובה מאד, בודאי שאין מזניחים אותו. אבל המהדרים במצות גבורי כח עושי דברו, חולצים מנעליהם כתקנת חז"ל, ועולים לדוכן. וכזה ראה וקדש.</w:t>
      </w:r>
    </w:p>
    <w:p w:rsidR="00AD473B" w:rsidRDefault="00AD473B" w:rsidP="00AD473B">
      <w:pPr>
        <w:pStyle w:val="5"/>
        <w:rPr>
          <w:rtl/>
        </w:rPr>
      </w:pPr>
      <w:bookmarkStart w:id="15" w:name="_Toc476746537"/>
      <w:bookmarkStart w:id="16" w:name="_Toc476746619"/>
      <w:bookmarkStart w:id="17" w:name="_Toc476746877"/>
      <w:bookmarkStart w:id="18" w:name="_Toc480277367"/>
      <w:bookmarkStart w:id="19" w:name="_Toc480277378"/>
      <w:r>
        <w:rPr>
          <w:rFonts w:hint="cs"/>
          <w:rtl/>
        </w:rPr>
        <w:t>2. כהן בעל שתי פרוטזות</w:t>
      </w:r>
      <w:bookmarkEnd w:id="15"/>
      <w:bookmarkEnd w:id="16"/>
      <w:bookmarkEnd w:id="17"/>
      <w:bookmarkEnd w:id="18"/>
      <w:bookmarkEnd w:id="19"/>
    </w:p>
    <w:p w:rsidR="00AD473B" w:rsidRDefault="00AD473B" w:rsidP="00AD473B">
      <w:pPr>
        <w:rPr>
          <w:rtl/>
        </w:rPr>
      </w:pPr>
      <w:r>
        <w:rPr>
          <w:rFonts w:hint="cs"/>
          <w:rtl/>
        </w:rPr>
        <w:t>היתרו של בעל אבן-ישראל נסמך על 'רגל אחת', והיא ההנחה שאם יינטל החפץ המסייע יוכל האדם לעמוד על רגל אחת, במקרה זה שפיר נחשב האדם כעומד. לאור זאת עלינו לדון מה יהיה דינו של קטוע שתי רגליים ההולך בעזרת שתי פרוטזות, שהרי לגביו לא שייך ההיתר הנ"ל.</w:t>
      </w:r>
    </w:p>
    <w:p w:rsidR="00AD473B" w:rsidRDefault="00AD473B" w:rsidP="00AD473B">
      <w:pPr>
        <w:rPr>
          <w:rtl/>
        </w:rPr>
      </w:pPr>
      <w:r>
        <w:rPr>
          <w:rFonts w:hint="cs"/>
          <w:rtl/>
        </w:rPr>
        <w:t>נראה  שגם כהן כזה יוכל לשאת את כפיו. אמנם ראינו שברכת כוהנים צריכה להיות בעמידה, אך יש לדון בשאלה אם עמידתו של הכהן קטוע הרגליים על שתי הפרוטזות נחשבת כעמידה או לא. הברייתא (זבחים יט,ב) מביאה מחלוקת לגבי השאלה איך מקיימים את מצוות קידוש ידיים ורגלים:</w:t>
      </w:r>
    </w:p>
    <w:p w:rsidR="00AD473B" w:rsidRDefault="00AD473B" w:rsidP="00AD473B">
      <w:pPr>
        <w:pStyle w:val="afe"/>
        <w:rPr>
          <w:rtl/>
        </w:rPr>
      </w:pPr>
      <w:r>
        <w:rPr>
          <w:rtl/>
        </w:rPr>
        <w:t>ת</w:t>
      </w:r>
      <w:r>
        <w:rPr>
          <w:rFonts w:hint="cs"/>
          <w:rtl/>
        </w:rPr>
        <w:t xml:space="preserve">נו </w:t>
      </w:r>
      <w:r w:rsidRPr="0046137E">
        <w:rPr>
          <w:rFonts w:hint="cs"/>
          <w:rtl/>
        </w:rPr>
        <w:t>רבנן</w:t>
      </w:r>
      <w:r w:rsidRPr="0019326A">
        <w:rPr>
          <w:rtl/>
        </w:rPr>
        <w:t xml:space="preserve">: כיצד מצות קידוש? מניח </w:t>
      </w:r>
      <w:r w:rsidRPr="0046137E">
        <w:rPr>
          <w:rtl/>
        </w:rPr>
        <w:t>ידו</w:t>
      </w:r>
      <w:r w:rsidRPr="0019326A">
        <w:rPr>
          <w:rtl/>
        </w:rPr>
        <w:t xml:space="preserve"> הימנית על גבי רגלו הימנית וידו השמאלית על גבי רגלו השמאלית ומקדש; רבי יוסי ברבי יהודה אומר: מניח שתי ידיו זו על גב זו ועל גבי שתי רגליו זו על גבי זו ומקדש</w:t>
      </w:r>
      <w:r>
        <w:rPr>
          <w:rFonts w:hint="cs"/>
          <w:rtl/>
        </w:rPr>
        <w:t>.</w:t>
      </w:r>
      <w:r>
        <w:rPr>
          <w:rStyle w:val="ac"/>
          <w:rFonts w:ascii="David" w:hAnsi="David"/>
          <w:rtl/>
        </w:rPr>
        <w:footnoteReference w:id="5"/>
      </w:r>
      <w:r w:rsidRPr="0019326A">
        <w:rPr>
          <w:rtl/>
        </w:rPr>
        <w:t xml:space="preserve"> </w:t>
      </w:r>
    </w:p>
    <w:p w:rsidR="00AD473B" w:rsidRDefault="00AD473B" w:rsidP="00AD473B">
      <w:pPr>
        <w:rPr>
          <w:rtl/>
        </w:rPr>
      </w:pPr>
      <w:r>
        <w:rPr>
          <w:rFonts w:ascii="David" w:hAnsi="David" w:hint="cs"/>
          <w:rtl/>
        </w:rPr>
        <w:t xml:space="preserve">חכמים טוענים כלפי ר' יוסי שהצעתו אינה אפשרית (רש"י מבלי שייפול) </w:t>
      </w:r>
      <w:r>
        <w:rPr>
          <w:rFonts w:hint="cs"/>
          <w:rtl/>
        </w:rPr>
        <w:t xml:space="preserve">ועל טענתם </w:t>
      </w:r>
      <w:r>
        <w:rPr>
          <w:rFonts w:ascii="David" w:hAnsi="David" w:hint="cs"/>
          <w:rtl/>
        </w:rPr>
        <w:t>משיבה הגמרא:</w:t>
      </w:r>
      <w:r>
        <w:rPr>
          <w:rFonts w:hint="cs"/>
          <w:rtl/>
        </w:rPr>
        <w:t xml:space="preserve"> "</w:t>
      </w:r>
      <w:r>
        <w:rPr>
          <w:rtl/>
        </w:rPr>
        <w:t xml:space="preserve">אמר </w:t>
      </w:r>
      <w:r w:rsidRPr="002C7AE7">
        <w:rPr>
          <w:rtl/>
        </w:rPr>
        <w:t>רב</w:t>
      </w:r>
      <w:r>
        <w:rPr>
          <w:rtl/>
        </w:rPr>
        <w:t xml:space="preserve"> יוסף: וחב</w:t>
      </w:r>
      <w:r w:rsidRPr="0019326A">
        <w:rPr>
          <w:rtl/>
        </w:rPr>
        <w:t>רו מסייעו. מאי בינייהו</w:t>
      </w:r>
      <w:r>
        <w:rPr>
          <w:rFonts w:hint="cs"/>
          <w:rtl/>
        </w:rPr>
        <w:t>?</w:t>
      </w:r>
      <w:r>
        <w:rPr>
          <w:rStyle w:val="ac"/>
          <w:rFonts w:ascii="David" w:hAnsi="David"/>
          <w:rtl/>
        </w:rPr>
        <w:footnoteReference w:id="6"/>
      </w:r>
      <w:r w:rsidRPr="0019326A">
        <w:rPr>
          <w:rtl/>
        </w:rPr>
        <w:t xml:space="preserve"> אמר אביי: עמידה מן הצד איכא בינייהו</w:t>
      </w:r>
      <w:r>
        <w:rPr>
          <w:rFonts w:hint="cs"/>
          <w:rtl/>
        </w:rPr>
        <w:t>"</w:t>
      </w:r>
      <w:r w:rsidRPr="0019326A">
        <w:rPr>
          <w:rtl/>
        </w:rPr>
        <w:t>.</w:t>
      </w:r>
    </w:p>
    <w:p w:rsidR="00AD473B" w:rsidRDefault="00AD473B" w:rsidP="00AD473B">
      <w:pPr>
        <w:rPr>
          <w:rFonts w:ascii="David" w:hAnsi="David"/>
          <w:rtl/>
        </w:rPr>
      </w:pPr>
      <w:r>
        <w:rPr>
          <w:rFonts w:ascii="David" w:hAnsi="David" w:hint="cs"/>
          <w:rtl/>
        </w:rPr>
        <w:t>ר' יוסי וחכמים חולקים בשאלה אם עמידה שבה האדם נעזר לצורך עמידתו בחברו נחשבת לעמידה. לפי ר' יוסי נחשבת עמידה ולפי חכמים לא. הרמב"ם (ביאת מקדש ה,טז) פסק כחכמים:</w:t>
      </w:r>
    </w:p>
    <w:p w:rsidR="00AD473B" w:rsidRPr="0099039C" w:rsidRDefault="00AD473B" w:rsidP="00AD473B">
      <w:pPr>
        <w:pStyle w:val="afe"/>
        <w:rPr>
          <w:spacing w:val="-4"/>
          <w:rtl/>
        </w:rPr>
      </w:pPr>
      <w:r w:rsidRPr="0099039C">
        <w:rPr>
          <w:spacing w:val="-4"/>
          <w:rtl/>
        </w:rPr>
        <w:t xml:space="preserve">כיצד מצות קידוש, מניח ידו הימנית על גבי רגלו הימנית וידו השמאלית על גבי רגלו השמאלית ושוחה ומקדש, וכל החוצץ בטבילה חוצץ בקידוש ידים, ואינו מקדש כשהוא יושב מפני שהוא כעבודה, </w:t>
      </w:r>
      <w:r w:rsidRPr="0099039C">
        <w:rPr>
          <w:b/>
          <w:bCs/>
          <w:spacing w:val="-4"/>
          <w:rtl/>
        </w:rPr>
        <w:t>ואין עבודה אלא מעומד</w:t>
      </w:r>
      <w:r w:rsidRPr="0099039C">
        <w:rPr>
          <w:spacing w:val="-4"/>
          <w:rtl/>
        </w:rPr>
        <w:t xml:space="preserve"> שנאמר לעמוד לשרת.</w:t>
      </w:r>
    </w:p>
    <w:p w:rsidR="00AD473B" w:rsidRDefault="00AD473B" w:rsidP="00AD473B">
      <w:pPr>
        <w:rPr>
          <w:rFonts w:ascii="David" w:hAnsi="David"/>
          <w:rtl/>
        </w:rPr>
      </w:pPr>
      <w:r>
        <w:rPr>
          <w:rFonts w:ascii="David" w:hAnsi="David" w:hint="cs"/>
          <w:rtl/>
        </w:rPr>
        <w:t>וכך כתב במפורש הכסף-משנה (שם).</w:t>
      </w:r>
    </w:p>
    <w:p w:rsidR="00AD473B" w:rsidRDefault="00AD473B" w:rsidP="00AD473B">
      <w:pPr>
        <w:rPr>
          <w:rFonts w:ascii="David" w:hAnsi="David"/>
          <w:rtl/>
        </w:rPr>
      </w:pPr>
      <w:r>
        <w:rPr>
          <w:rFonts w:ascii="David" w:hAnsi="David" w:hint="cs"/>
          <w:rtl/>
        </w:rPr>
        <w:t>לאור זאת הסיקו התוס' שאם העומד נסמך על דבר מה, אינה עמידה:</w:t>
      </w:r>
    </w:p>
    <w:p w:rsidR="00AD473B" w:rsidRDefault="00AD473B" w:rsidP="00AD473B">
      <w:pPr>
        <w:pStyle w:val="afe"/>
        <w:rPr>
          <w:rtl/>
        </w:rPr>
      </w:pPr>
      <w:r w:rsidRPr="00E402FA">
        <w:rPr>
          <w:rtl/>
        </w:rPr>
        <w:lastRenderedPageBreak/>
        <w:t xml:space="preserve">ונראה כשקורין בתורה </w:t>
      </w:r>
      <w:r w:rsidRPr="00617938">
        <w:rPr>
          <w:b/>
          <w:bCs/>
          <w:rtl/>
        </w:rPr>
        <w:t>שלא לסמוך</w:t>
      </w:r>
      <w:r w:rsidRPr="00E402FA">
        <w:rPr>
          <w:rtl/>
        </w:rPr>
        <w:t xml:space="preserve"> משום דאמר (רבי) במגילה </w:t>
      </w:r>
      <w:r>
        <w:rPr>
          <w:rtl/>
        </w:rPr>
        <w:t>פרק הקורא את המגילה עומד (דף כא</w:t>
      </w:r>
      <w:r>
        <w:rPr>
          <w:rFonts w:hint="cs"/>
          <w:rtl/>
        </w:rPr>
        <w:t>,א</w:t>
      </w:r>
      <w:r w:rsidRPr="00E402FA">
        <w:rPr>
          <w:rtl/>
        </w:rPr>
        <w:t xml:space="preserve">) דבתורה </w:t>
      </w:r>
      <w:r w:rsidRPr="00617938">
        <w:rPr>
          <w:b/>
          <w:bCs/>
          <w:rtl/>
        </w:rPr>
        <w:t>בעי עמידה</w:t>
      </w:r>
      <w:r>
        <w:rPr>
          <w:rFonts w:hint="cs"/>
          <w:rtl/>
        </w:rPr>
        <w:t xml:space="preserve">. </w:t>
      </w:r>
      <w:r w:rsidRPr="00E402FA">
        <w:rPr>
          <w:rtl/>
        </w:rPr>
        <w:t>ובירושלמי נמי אמרינן דאסור לסמוך משום דכשם שניתנה באימה כך נוהגין אותה באימה</w:t>
      </w:r>
      <w:r>
        <w:rPr>
          <w:rFonts w:hint="cs"/>
          <w:rtl/>
        </w:rPr>
        <w:t xml:space="preserve"> (זבחים יט,ב)</w:t>
      </w:r>
      <w:r w:rsidRPr="00E402FA">
        <w:rPr>
          <w:rtl/>
        </w:rPr>
        <w:t>.</w:t>
      </w:r>
    </w:p>
    <w:p w:rsidR="00AD473B" w:rsidRDefault="00AD473B" w:rsidP="00AD473B">
      <w:pPr>
        <w:rPr>
          <w:rtl/>
        </w:rPr>
      </w:pPr>
      <w:r>
        <w:rPr>
          <w:rFonts w:hint="cs"/>
          <w:rtl/>
        </w:rPr>
        <w:t>אולם הדבר אינו כה פשוט. הגמרא המשיכה והקשתה על שיטת חכמים הסוברים שעמידה מן הצד אינה עמידה: "</w:t>
      </w:r>
      <w:r>
        <w:rPr>
          <w:rtl/>
        </w:rPr>
        <w:t>א</w:t>
      </w:r>
      <w:r>
        <w:rPr>
          <w:rFonts w:hint="cs"/>
          <w:rtl/>
        </w:rPr>
        <w:t>מר לי</w:t>
      </w:r>
      <w:r>
        <w:rPr>
          <w:rtl/>
        </w:rPr>
        <w:t xml:space="preserve"> רב סמא בריה דרב אשי לרבינא: וליתיב מיתב ולקדש!</w:t>
      </w:r>
      <w:r>
        <w:rPr>
          <w:rFonts w:hint="cs"/>
          <w:rtl/>
        </w:rPr>
        <w:t>" והיא משיבה: "</w:t>
      </w:r>
      <w:r>
        <w:rPr>
          <w:rtl/>
        </w:rPr>
        <w:t>אמר קרא: לשרת, ושירות מעומד הוא</w:t>
      </w:r>
      <w:r>
        <w:rPr>
          <w:rFonts w:hint="cs"/>
          <w:rtl/>
        </w:rPr>
        <w:t>"</w:t>
      </w:r>
      <w:r>
        <w:rPr>
          <w:rtl/>
        </w:rPr>
        <w:t>.</w:t>
      </w:r>
    </w:p>
    <w:p w:rsidR="00AD473B" w:rsidRDefault="00AD473B" w:rsidP="00AD473B">
      <w:pPr>
        <w:rPr>
          <w:rtl/>
        </w:rPr>
      </w:pPr>
      <w:r>
        <w:rPr>
          <w:rFonts w:hint="cs"/>
          <w:rtl/>
        </w:rPr>
        <w:t>בפשטות, שאלת הגמרא היא שאף אם עמידה מן הצד אינה עמידה, אלא ישיבה, מה אכפת לנו, מדוע שלא ישב?! על כך משיבה הגמרא שדין תורה הוא ששירות יהיה בעמידה.</w:t>
      </w:r>
    </w:p>
    <w:p w:rsidR="00AD473B" w:rsidRDefault="00AD473B" w:rsidP="00AD473B">
      <w:pPr>
        <w:rPr>
          <w:rtl/>
        </w:rPr>
      </w:pPr>
      <w:r>
        <w:rPr>
          <w:rFonts w:hint="cs"/>
          <w:rtl/>
        </w:rPr>
        <w:t>אולם התוס' (שם ד"ה וליתיב מיתיב</w:t>
      </w:r>
      <w:r w:rsidRPr="00496630">
        <w:rPr>
          <w:rFonts w:hint="cs"/>
          <w:rtl/>
        </w:rPr>
        <w:t xml:space="preserve"> וליקדש</w:t>
      </w:r>
      <w:r>
        <w:rPr>
          <w:rStyle w:val="ac"/>
          <w:rtl/>
        </w:rPr>
        <w:t xml:space="preserve"> </w:t>
      </w:r>
      <w:r>
        <w:rPr>
          <w:rFonts w:hint="cs"/>
          <w:rtl/>
        </w:rPr>
        <w:t>) הקשו איך ייתכן שהגמרא סברה שניתן לשבת והלא אין ישיבה בעזרה?! לכן מסבירים תוס': "</w:t>
      </w:r>
      <w:r>
        <w:rPr>
          <w:rtl/>
        </w:rPr>
        <w:t>לאו ישיבה ממש קאמר דאין ישיבה בעזרה אלא סמיכה</w:t>
      </w:r>
      <w:r>
        <w:rPr>
          <w:rFonts w:hint="cs"/>
          <w:rtl/>
        </w:rPr>
        <w:t>"</w:t>
      </w:r>
      <w:r>
        <w:rPr>
          <w:rtl/>
        </w:rPr>
        <w:t>.</w:t>
      </w:r>
      <w:r>
        <w:rPr>
          <w:rFonts w:hint="cs"/>
          <w:rtl/>
        </w:rPr>
        <w:t xml:space="preserve"> הרי ששאלת הגמרא היא, גם אם נחלקו ר' יוסי וחכמים בעמידה מן הצד, שחכמים סוברים שאינה נקראת עמידה, מדוע לא ישתמשו בדרך אחרת והיא על ידי סמיכה (הישענות) על דבר אחר. ועל כך משיבה הגמרא שלומדים מפסוק שאין זו עמידה.</w:t>
      </w:r>
    </w:p>
    <w:p w:rsidR="00AD473B" w:rsidRDefault="00AD473B" w:rsidP="00AD473B">
      <w:pPr>
        <w:rPr>
          <w:rtl/>
        </w:rPr>
      </w:pPr>
      <w:r>
        <w:rPr>
          <w:rFonts w:hint="cs"/>
          <w:rtl/>
        </w:rPr>
        <w:t>מכך שמדברים כאן על שני דברים שונים מסיק הקרן-אורה את המסקנה הבאה:</w:t>
      </w:r>
    </w:p>
    <w:p w:rsidR="00AD473B" w:rsidRDefault="00AD473B" w:rsidP="00AD473B">
      <w:pPr>
        <w:pStyle w:val="afe"/>
        <w:rPr>
          <w:rtl/>
        </w:rPr>
      </w:pPr>
      <w:r w:rsidRPr="006D0ACB">
        <w:rPr>
          <w:rtl/>
        </w:rPr>
        <w:t>משמע</w:t>
      </w:r>
      <w:r w:rsidRPr="00A33E94">
        <w:rPr>
          <w:rtl/>
        </w:rPr>
        <w:t xml:space="preserve"> מדבריהם דעמידה ע"י סמיכה לכ"ע לא הוי עמידה אפילו לר"י בר"י, וצריך לחלק בין עמידה מן הצד לעמידה ע"י סמיכה.</w:t>
      </w:r>
    </w:p>
    <w:p w:rsidR="00AD473B" w:rsidRDefault="00AD473B" w:rsidP="00AD473B">
      <w:pPr>
        <w:rPr>
          <w:rtl/>
        </w:rPr>
      </w:pPr>
      <w:r>
        <w:rPr>
          <w:rFonts w:hint="cs"/>
          <w:rtl/>
        </w:rPr>
        <w:t xml:space="preserve">אם כן יש לחלק בין שני מושגים: עמידה מן הצד </w:t>
      </w:r>
      <w:r>
        <w:rPr>
          <w:rtl/>
        </w:rPr>
        <w:t>-</w:t>
      </w:r>
      <w:r>
        <w:rPr>
          <w:rFonts w:hint="cs"/>
          <w:rtl/>
        </w:rPr>
        <w:t xml:space="preserve"> שבה ר' יוסי מתיר וחכמים אוסרים, וסמיכה שבה לכו"ע לא חשיב עמידה.</w:t>
      </w:r>
    </w:p>
    <w:p w:rsidR="00AD473B" w:rsidRDefault="00AD473B" w:rsidP="00AD473B">
      <w:pPr>
        <w:rPr>
          <w:rtl/>
        </w:rPr>
      </w:pPr>
      <w:r>
        <w:rPr>
          <w:rFonts w:hint="cs"/>
          <w:rtl/>
        </w:rPr>
        <w:t>והשאלה היא מה הסברה. מדוע סמיכה אינה נחשבת עמידה יותר מעמידה מן הצד, הלא בסמיכה אין אדם נעזר בעזרת אדם אחר?!</w:t>
      </w:r>
    </w:p>
    <w:p w:rsidR="00AD473B" w:rsidRDefault="00AD473B" w:rsidP="00AD473B">
      <w:pPr>
        <w:rPr>
          <w:rtl/>
        </w:rPr>
      </w:pPr>
      <w:r>
        <w:rPr>
          <w:rFonts w:hint="cs"/>
          <w:rtl/>
        </w:rPr>
        <w:t>ונראה שיסוד ההבדל הוא זה: עמידה מן הצד נראית כעמידה. האדם ניצב באותו אופן שבו עומד אדם רגיל. הוא רק נזקק לעזרה כדי שלא ייפול. לעומת זאת בסמיכה האדם נשען על משהו ובצורה כזאת אין זה כדרך העומדים. ולכן "עמידה" כזאת גרועה יותר.</w:t>
      </w:r>
      <w:r>
        <w:rPr>
          <w:rStyle w:val="ac"/>
          <w:rtl/>
        </w:rPr>
        <w:footnoteReference w:id="7"/>
      </w:r>
    </w:p>
    <w:p w:rsidR="00AD473B" w:rsidRDefault="00AD473B" w:rsidP="00AD473B">
      <w:pPr>
        <w:rPr>
          <w:rtl/>
        </w:rPr>
      </w:pPr>
      <w:r>
        <w:rPr>
          <w:rFonts w:hint="cs"/>
          <w:rtl/>
        </w:rPr>
        <w:t>במובן הזה המהלך על גבי פרוטזות דומה לעמידה מן הצד ולא לסמיכה, כיוון שהוא הולך כדרך ההולכים כאשר הוא נזקק לעזרת מכשיריו ואינו הולך עצמי. זאת בשונה מנסמך שאינו עומד כדרך העומדים.</w:t>
      </w:r>
    </w:p>
    <w:p w:rsidR="00AD473B" w:rsidRDefault="00AD473B" w:rsidP="00AD473B">
      <w:pPr>
        <w:rPr>
          <w:rtl/>
        </w:rPr>
      </w:pPr>
      <w:r>
        <w:rPr>
          <w:rFonts w:hint="cs"/>
          <w:rtl/>
        </w:rPr>
        <w:t>אולם בהנמקה זו אין די, שהרי להלכה נפסק כחכמים שגם עמידה מן הצד אינה עמידה. ולכן יש לצרף נימוק נוסף.</w:t>
      </w:r>
    </w:p>
    <w:p w:rsidR="00AD473B" w:rsidRDefault="00AD473B" w:rsidP="00AD473B">
      <w:pPr>
        <w:rPr>
          <w:rtl/>
        </w:rPr>
      </w:pPr>
      <w:r>
        <w:rPr>
          <w:rFonts w:hint="cs"/>
          <w:rtl/>
        </w:rPr>
        <w:t>המרדכי  (ברכות פ"א רמז טו) הביא בשם הירושלמי את הדין הבא:</w:t>
      </w:r>
    </w:p>
    <w:p w:rsidR="00AD473B" w:rsidRDefault="00AD473B" w:rsidP="00AD473B">
      <w:pPr>
        <w:pStyle w:val="afe"/>
        <w:rPr>
          <w:rtl/>
        </w:rPr>
      </w:pPr>
      <w:r>
        <w:rPr>
          <w:rtl/>
        </w:rPr>
        <w:lastRenderedPageBreak/>
        <w:t xml:space="preserve">אסור לקרות בתורה בסמיכה כדאמרינן בירושלמי </w:t>
      </w:r>
      <w:r>
        <w:rPr>
          <w:rFonts w:hint="cs"/>
          <w:rtl/>
        </w:rPr>
        <w:t>(</w:t>
      </w:r>
      <w:r>
        <w:rPr>
          <w:rtl/>
        </w:rPr>
        <w:t>בסוטה</w:t>
      </w:r>
      <w:r>
        <w:rPr>
          <w:rFonts w:hint="cs"/>
          <w:rtl/>
        </w:rPr>
        <w:t>)</w:t>
      </w:r>
      <w:r>
        <w:rPr>
          <w:rtl/>
        </w:rPr>
        <w:t xml:space="preserve"> רבי יוחנן איקלע לההוא אתרא חזא גברא דהוה קרי בסמיכה אמר ליה אסור לך שנאמר ואתה פה עמוד עמדי אמר ליה </w:t>
      </w:r>
      <w:r w:rsidRPr="00C80A43">
        <w:rPr>
          <w:b/>
          <w:bCs/>
          <w:rtl/>
        </w:rPr>
        <w:t>בעל בשר אני והתיר לו</w:t>
      </w:r>
      <w:r>
        <w:rPr>
          <w:rtl/>
        </w:rPr>
        <w:t xml:space="preserve"> אבל שאר אדם אסור וכ"ש בתפלה שנאמר לעמוד לשרת.</w:t>
      </w:r>
    </w:p>
    <w:p w:rsidR="00AD473B" w:rsidRDefault="00AD473B" w:rsidP="00AD473B">
      <w:pPr>
        <w:rPr>
          <w:rtl/>
        </w:rPr>
      </w:pPr>
      <w:r>
        <w:rPr>
          <w:rFonts w:hint="cs"/>
          <w:rtl/>
        </w:rPr>
        <w:t>כך פסק גם השו</w:t>
      </w:r>
      <w:r>
        <w:rPr>
          <w:rtl/>
        </w:rPr>
        <w:t>"</w:t>
      </w:r>
      <w:r>
        <w:rPr>
          <w:rFonts w:hint="cs"/>
          <w:rtl/>
        </w:rPr>
        <w:t>ע (או"ח קמא,א):</w:t>
      </w:r>
    </w:p>
    <w:p w:rsidR="00AD473B" w:rsidRDefault="00AD473B" w:rsidP="00AD473B">
      <w:pPr>
        <w:pStyle w:val="afe"/>
        <w:rPr>
          <w:rtl/>
        </w:rPr>
      </w:pPr>
      <w:r>
        <w:rPr>
          <w:rtl/>
        </w:rPr>
        <w:t xml:space="preserve"> צריך לקרות מעומד, ואפילו לסמוך עצמו לכותל או לעמוד, אסור אלא אם כן הוא בעל בשר.</w:t>
      </w:r>
    </w:p>
    <w:p w:rsidR="00AD473B" w:rsidRDefault="00AD473B" w:rsidP="00AD473B">
      <w:pPr>
        <w:rPr>
          <w:rtl/>
        </w:rPr>
      </w:pPr>
      <w:r>
        <w:rPr>
          <w:rFonts w:hint="cs"/>
          <w:rtl/>
        </w:rPr>
        <w:t>הרי שאדם בעל בשר, שאינו מסוגל לעמוד ללא הישענות, רשאי לקרוא בצורה כזו. ואם כך, קטוע רגליו שאינו מסוגל לעמוד ללא שימוש ברגליו התותבות, ייחשב כעומד במצב זה.</w:t>
      </w:r>
    </w:p>
    <w:p w:rsidR="00AD473B" w:rsidRDefault="00AD473B" w:rsidP="00AD473B">
      <w:pPr>
        <w:rPr>
          <w:rtl/>
        </w:rPr>
      </w:pPr>
      <w:r>
        <w:rPr>
          <w:rFonts w:hint="cs"/>
          <w:rtl/>
        </w:rPr>
        <w:t>גם המשנה-ברורה (שם ס"ק ד) התיר, גם אם במקום הצורך:</w:t>
      </w:r>
    </w:p>
    <w:p w:rsidR="00AD473B" w:rsidRDefault="00AD473B" w:rsidP="00AD473B">
      <w:pPr>
        <w:pStyle w:val="afe"/>
        <w:rPr>
          <w:rtl/>
        </w:rPr>
      </w:pPr>
      <w:r>
        <w:rPr>
          <w:rtl/>
        </w:rPr>
        <w:t>אך יזהר שיסמוך קצת ולא יסמוך כ"כ עד שאם ינטל אותו דבר יפול</w:t>
      </w:r>
      <w:r>
        <w:rPr>
          <w:rFonts w:hint="cs"/>
          <w:rtl/>
        </w:rPr>
        <w:t xml:space="preserve">. </w:t>
      </w:r>
      <w:r>
        <w:rPr>
          <w:rtl/>
        </w:rPr>
        <w:t>ואם א"א לו לסמוך כ"א בענין זה והוא צריך סעד לתומכו מותר גם בזה</w:t>
      </w:r>
      <w:r>
        <w:rPr>
          <w:rFonts w:hint="cs"/>
          <w:rtl/>
        </w:rPr>
        <w:t>.</w:t>
      </w:r>
      <w:r>
        <w:rPr>
          <w:rtl/>
        </w:rPr>
        <w:t xml:space="preserve"> </w:t>
      </w:r>
    </w:p>
    <w:p w:rsidR="00AD473B" w:rsidRPr="006B1465" w:rsidRDefault="00AD473B" w:rsidP="00AD473B">
      <w:pPr>
        <w:rPr>
          <w:rtl/>
        </w:rPr>
      </w:pPr>
      <w:r>
        <w:rPr>
          <w:rFonts w:hint="cs"/>
          <w:rtl/>
        </w:rPr>
        <w:t xml:space="preserve">וכמו שכתב הנצי"ב </w:t>
      </w:r>
      <w:r w:rsidRPr="006B1465">
        <w:rPr>
          <w:rFonts w:hint="cs"/>
          <w:rtl/>
        </w:rPr>
        <w:t>(מרומי-שדה, זבחים יט,ב ד"ה שם)</w:t>
      </w:r>
      <w:r>
        <w:rPr>
          <w:rFonts w:hint="cs"/>
          <w:rtl/>
        </w:rPr>
        <w:t>:</w:t>
      </w:r>
    </w:p>
    <w:p w:rsidR="00AD473B" w:rsidRDefault="00AD473B" w:rsidP="00AD473B">
      <w:pPr>
        <w:pStyle w:val="afe"/>
        <w:rPr>
          <w:rtl/>
        </w:rPr>
      </w:pPr>
      <w:r w:rsidRPr="00A33E94">
        <w:rPr>
          <w:rtl/>
        </w:rPr>
        <w:t>ולי נראה, דאפילו אם סמיכה אינה כעמידה, מכ"מ בעל בשר שאינו יכול לעמוד סמיכתו היינו עמידתו.</w:t>
      </w:r>
    </w:p>
    <w:p w:rsidR="00AD473B" w:rsidRDefault="00AD473B" w:rsidP="00AD473B">
      <w:pPr>
        <w:rPr>
          <w:rtl/>
        </w:rPr>
      </w:pPr>
      <w:r>
        <w:rPr>
          <w:rFonts w:hint="cs"/>
          <w:rtl/>
        </w:rPr>
        <w:t>אדם המסוגל לעמוד באופן עצמאי ובכל זאת נשען, אין זו עמידה. לעומתו אדם שאינו מסוגל לעמוד בלי שהוא נשען, זוהי בעבורו דרך עמידה</w:t>
      </w:r>
    </w:p>
    <w:p w:rsidR="00AD473B" w:rsidRDefault="00AD473B" w:rsidP="00AD473B">
      <w:pPr>
        <w:rPr>
          <w:rtl/>
        </w:rPr>
      </w:pPr>
      <w:r>
        <w:rPr>
          <w:rFonts w:hint="cs"/>
          <w:rtl/>
        </w:rPr>
        <w:t>לאור הנ"ל נראה להתיר לקטוע שתי רגליים לעלות לדוכן ושפיר מקרי עומד.</w:t>
      </w:r>
    </w:p>
    <w:p w:rsidR="00AD473B" w:rsidRDefault="00AD473B" w:rsidP="00AD473B">
      <w:pPr>
        <w:numPr>
          <w:ilvl w:val="0"/>
          <w:numId w:val="16"/>
        </w:numPr>
        <w:tabs>
          <w:tab w:val="clear" w:pos="284"/>
        </w:tabs>
        <w:spacing w:after="0" w:line="240" w:lineRule="auto"/>
      </w:pPr>
      <w:r>
        <w:rPr>
          <w:rFonts w:hint="cs"/>
          <w:rtl/>
        </w:rPr>
        <w:t>עמידתו היא בצורה ניצבת כדרך העומדים.</w:t>
      </w:r>
    </w:p>
    <w:p w:rsidR="00AD473B" w:rsidRDefault="00AD473B" w:rsidP="00AD473B">
      <w:pPr>
        <w:numPr>
          <w:ilvl w:val="0"/>
          <w:numId w:val="16"/>
        </w:numPr>
        <w:tabs>
          <w:tab w:val="clear" w:pos="284"/>
        </w:tabs>
        <w:spacing w:after="0" w:line="240" w:lineRule="auto"/>
        <w:rPr>
          <w:rtl/>
        </w:rPr>
      </w:pPr>
      <w:r>
        <w:rPr>
          <w:rFonts w:hint="cs"/>
          <w:rtl/>
        </w:rPr>
        <w:t>גם אם הוא נעזר לצורך העמידה ברגליו התותבות, שפיר נחשב עומד כיוון שאינו יכול לעמוד בדרך אחרת.</w:t>
      </w:r>
    </w:p>
    <w:p w:rsidR="00AD473B" w:rsidRDefault="00AD473B" w:rsidP="00AD473B">
      <w:pPr>
        <w:pStyle w:val="4"/>
        <w:rPr>
          <w:rtl/>
        </w:rPr>
      </w:pPr>
      <w:bookmarkStart w:id="20" w:name="_Toc476746878"/>
      <w:bookmarkStart w:id="21" w:name="_Toc480277368"/>
      <w:bookmarkStart w:id="22" w:name="_Toc480277379"/>
      <w:r>
        <w:rPr>
          <w:rFonts w:hint="cs"/>
          <w:rtl/>
        </w:rPr>
        <w:t>ג. ברכת כהנים בישיבה על כיסא גלגלים</w:t>
      </w:r>
      <w:bookmarkEnd w:id="20"/>
      <w:bookmarkEnd w:id="21"/>
      <w:bookmarkEnd w:id="22"/>
    </w:p>
    <w:p w:rsidR="00AD473B" w:rsidRDefault="00AD473B" w:rsidP="00AD473B">
      <w:pPr>
        <w:rPr>
          <w:rtl/>
        </w:rPr>
      </w:pPr>
      <w:r>
        <w:rPr>
          <w:rFonts w:hint="cs"/>
          <w:rtl/>
        </w:rPr>
        <w:t>השאלה היא מה יהיה דינו של כהן היושב על כיסא גלגלים ואינו מסוגל לעמוד כלל.</w:t>
      </w:r>
    </w:p>
    <w:p w:rsidR="00AD473B" w:rsidRDefault="00AD473B" w:rsidP="00AD473B">
      <w:pPr>
        <w:rPr>
          <w:rtl/>
        </w:rPr>
      </w:pPr>
      <w:r>
        <w:rPr>
          <w:rFonts w:hint="cs"/>
          <w:rtl/>
        </w:rPr>
        <w:t>בשאלה זו דן ב</w:t>
      </w:r>
      <w:r>
        <w:rPr>
          <w:rtl/>
        </w:rPr>
        <w:t>שו"ת שבות</w:t>
      </w:r>
      <w:r>
        <w:rPr>
          <w:rFonts w:hint="cs"/>
          <w:rtl/>
        </w:rPr>
        <w:t>-</w:t>
      </w:r>
      <w:r>
        <w:rPr>
          <w:rtl/>
        </w:rPr>
        <w:t>יעקב</w:t>
      </w:r>
      <w:r>
        <w:rPr>
          <w:rFonts w:hint="cs"/>
          <w:rtl/>
        </w:rPr>
        <w:t xml:space="preserve"> (ח"ב סי' א):</w:t>
      </w:r>
    </w:p>
    <w:p w:rsidR="00AD473B" w:rsidRDefault="00AD473B" w:rsidP="00AD473B">
      <w:pPr>
        <w:pStyle w:val="afe"/>
        <w:rPr>
          <w:rtl/>
        </w:rPr>
      </w:pPr>
      <w:r w:rsidRPr="00E921B2">
        <w:rPr>
          <w:rtl/>
        </w:rPr>
        <w:t>מכהן אחד חרד וירא את ה' שהוא זקן ושבע ימים קרוב לשמונים ומכח חולשת זקנו אינו יכול לעמוד</w:t>
      </w:r>
      <w:r>
        <w:rPr>
          <w:rtl/>
        </w:rPr>
        <w:t xml:space="preserve"> כשנושא כפיו </w:t>
      </w:r>
      <w:r w:rsidRPr="00E921B2">
        <w:rPr>
          <w:rtl/>
        </w:rPr>
        <w:t>אי יכול לישא כפיו</w:t>
      </w:r>
      <w:r>
        <w:rPr>
          <w:rtl/>
        </w:rPr>
        <w:t xml:space="preserve"> כשהוא יושב או סמוך או לא. </w:t>
      </w:r>
    </w:p>
    <w:p w:rsidR="00AD473B" w:rsidRDefault="00AD473B" w:rsidP="00AD473B">
      <w:pPr>
        <w:rPr>
          <w:rtl/>
        </w:rPr>
      </w:pPr>
      <w:r>
        <w:rPr>
          <w:rFonts w:hint="cs"/>
          <w:rtl/>
        </w:rPr>
        <w:t>ובתחילה כתב שלכאורה נראה שלא יישא את כפיו שהלא הגמרא (סוטה לח,א) לומדת מגזרה שווה שברכת כוהנים צריכה להיות בעמידה:</w:t>
      </w:r>
    </w:p>
    <w:p w:rsidR="00AD473B" w:rsidRDefault="00AD473B" w:rsidP="00AD473B">
      <w:pPr>
        <w:pStyle w:val="afe"/>
        <w:rPr>
          <w:rtl/>
        </w:rPr>
      </w:pPr>
      <w:r>
        <w:rPr>
          <w:rtl/>
        </w:rPr>
        <w:t xml:space="preserve">תניא אידך: כה תברכו - </w:t>
      </w:r>
      <w:r w:rsidRPr="00D706D6">
        <w:rPr>
          <w:b/>
          <w:bCs/>
          <w:rtl/>
        </w:rPr>
        <w:t>בעמידה</w:t>
      </w:r>
      <w:r>
        <w:rPr>
          <w:rtl/>
        </w:rPr>
        <w:t xml:space="preserve">, אתה אומר: בעמידה, או אינו אלא אפי' בישיבה? נאמר כאן כה תברכו ונאמר להלן אלה יעמדו לברך, מה להלן בעמידה אף כאן בעמידה; ר' נתן אומר: אינו צריך, הרי הוא אומר: </w:t>
      </w:r>
      <w:r>
        <w:rPr>
          <w:rFonts w:hint="cs"/>
          <w:rtl/>
        </w:rPr>
        <w:t>(</w:t>
      </w:r>
      <w:r>
        <w:rPr>
          <w:rtl/>
        </w:rPr>
        <w:t>דברים י</w:t>
      </w:r>
      <w:r>
        <w:rPr>
          <w:rFonts w:hint="cs"/>
          <w:rtl/>
        </w:rPr>
        <w:t>)</w:t>
      </w:r>
      <w:r>
        <w:rPr>
          <w:rtl/>
        </w:rPr>
        <w:t xml:space="preserve"> </w:t>
      </w:r>
      <w:r w:rsidRPr="005E125E">
        <w:rPr>
          <w:b/>
          <w:bCs/>
          <w:rtl/>
        </w:rPr>
        <w:t>ל</w:t>
      </w:r>
      <w:r>
        <w:rPr>
          <w:b/>
          <w:bCs/>
          <w:rtl/>
        </w:rPr>
        <w:t>שרתו ולברך בשמו, מה משרת בעמידה</w:t>
      </w:r>
      <w:r w:rsidRPr="005E125E">
        <w:rPr>
          <w:b/>
          <w:bCs/>
          <w:rtl/>
        </w:rPr>
        <w:t xml:space="preserve"> אף מברך בעמידה.</w:t>
      </w:r>
      <w:r>
        <w:rPr>
          <w:rtl/>
        </w:rPr>
        <w:t xml:space="preserve"> ומשרת גופיה מנלן? דכתיב: </w:t>
      </w:r>
      <w:r>
        <w:rPr>
          <w:rFonts w:hint="cs"/>
          <w:rtl/>
        </w:rPr>
        <w:t>(</w:t>
      </w:r>
      <w:r>
        <w:rPr>
          <w:rtl/>
        </w:rPr>
        <w:t>דברים יח</w:t>
      </w:r>
      <w:r>
        <w:rPr>
          <w:rFonts w:hint="cs"/>
          <w:rtl/>
        </w:rPr>
        <w:t>)</w:t>
      </w:r>
      <w:r>
        <w:rPr>
          <w:rtl/>
        </w:rPr>
        <w:t xml:space="preserve"> לעמוד לשרת.</w:t>
      </w:r>
    </w:p>
    <w:p w:rsidR="00AD473B" w:rsidRDefault="00AD473B" w:rsidP="00AD473B">
      <w:pPr>
        <w:rPr>
          <w:rtl/>
        </w:rPr>
      </w:pPr>
      <w:r>
        <w:rPr>
          <w:rFonts w:hint="cs"/>
          <w:rtl/>
        </w:rPr>
        <w:t>וכך כתבו בהדיא שם התוס' ד"ה הרי הוא אומר:</w:t>
      </w:r>
    </w:p>
    <w:p w:rsidR="00AD473B" w:rsidRDefault="00AD473B" w:rsidP="00AD473B">
      <w:pPr>
        <w:pStyle w:val="afe"/>
        <w:rPr>
          <w:rtl/>
        </w:rPr>
      </w:pPr>
      <w:r>
        <w:rPr>
          <w:rtl/>
        </w:rPr>
        <w:lastRenderedPageBreak/>
        <w:t xml:space="preserve">ונראה לר"י כהן </w:t>
      </w:r>
      <w:r w:rsidRPr="00760F91">
        <w:rPr>
          <w:b/>
          <w:bCs/>
          <w:rtl/>
        </w:rPr>
        <w:t>שבירך ברכת כהנים בישיבה לא עשה ולא כלום</w:t>
      </w:r>
      <w:r>
        <w:rPr>
          <w:rtl/>
        </w:rPr>
        <w:t xml:space="preserve"> הואיל ואיתקוש ברכה לשירות וגבי שירות אמר בפ"ב דזבחים (דף כג</w:t>
      </w:r>
      <w:r>
        <w:rPr>
          <w:rFonts w:hint="cs"/>
          <w:rtl/>
        </w:rPr>
        <w:t>,ב</w:t>
      </w:r>
      <w:r>
        <w:rPr>
          <w:rtl/>
        </w:rPr>
        <w:t>) דיושב מחלל עבודה הילכך אף כאן צריך לחזור ולברך מעומד.</w:t>
      </w:r>
    </w:p>
    <w:p w:rsidR="00AD473B" w:rsidRDefault="00AD473B" w:rsidP="00AD473B">
      <w:pPr>
        <w:rPr>
          <w:rtl/>
        </w:rPr>
      </w:pPr>
      <w:r>
        <w:rPr>
          <w:rFonts w:hint="cs"/>
          <w:rtl/>
        </w:rPr>
        <w:t>אמנם לא כך משמע מהרמב"ם. שכן מלשונו של הרמב"ם (תפילה ונשיאת כפים יד,יא) משמע שדין זה לעיכובא הוא רק במקדש ולא בגבולין:</w:t>
      </w:r>
    </w:p>
    <w:p w:rsidR="00AD473B" w:rsidRDefault="00AD473B" w:rsidP="00AD473B">
      <w:pPr>
        <w:pStyle w:val="afe"/>
        <w:rPr>
          <w:b/>
          <w:bCs/>
          <w:rtl/>
        </w:rPr>
      </w:pPr>
      <w:r>
        <w:rPr>
          <w:rtl/>
        </w:rPr>
        <w:t xml:space="preserve">אין ברכת כהנים נאמרת בכל מקום אלא בלשון הקדש שנאמר כה תברכו את בני ישראל, </w:t>
      </w:r>
      <w:r w:rsidRPr="009B33C9">
        <w:rPr>
          <w:b/>
          <w:bCs/>
          <w:rtl/>
        </w:rPr>
        <w:t>כך למדו מפי הש</w:t>
      </w:r>
      <w:r>
        <w:rPr>
          <w:b/>
          <w:bCs/>
          <w:rtl/>
        </w:rPr>
        <w:t>מועה ממשה רבינו ע"ה</w:t>
      </w:r>
      <w:r w:rsidRPr="009B33C9">
        <w:rPr>
          <w:b/>
          <w:bCs/>
          <w:rtl/>
        </w:rPr>
        <w:t xml:space="preserve"> כה תברכו בעמידה,</w:t>
      </w:r>
      <w:r>
        <w:rPr>
          <w:rtl/>
        </w:rPr>
        <w:t xml:space="preserve"> כה תברכו בנשיאת כפים, כה תברכו בלשון הקדש, כה תברכו פנים כנגד פנים, כה תברכו בקול רם, כה תברכו בשם המפורש, </w:t>
      </w:r>
      <w:r w:rsidRPr="00D0152D">
        <w:rPr>
          <w:b/>
          <w:bCs/>
          <w:rtl/>
        </w:rPr>
        <w:t>והוא שיהיה במקדש כמו שאמרנו.</w:t>
      </w:r>
    </w:p>
    <w:p w:rsidR="00AD473B" w:rsidRDefault="00AD473B" w:rsidP="00AD473B">
      <w:pPr>
        <w:rPr>
          <w:rtl/>
        </w:rPr>
      </w:pPr>
      <w:r>
        <w:rPr>
          <w:rFonts w:hint="cs"/>
          <w:rtl/>
        </w:rPr>
        <w:t>וזאת מכיוון שהלימוד הוא אסמכתא בלבד, כמו שהגמרא מביאה בתענית כז,א.</w:t>
      </w:r>
    </w:p>
    <w:p w:rsidR="00AD473B" w:rsidRDefault="00AD473B" w:rsidP="00AD473B">
      <w:pPr>
        <w:rPr>
          <w:rtl/>
        </w:rPr>
      </w:pPr>
      <w:r>
        <w:rPr>
          <w:rFonts w:hint="cs"/>
          <w:rtl/>
        </w:rPr>
        <w:t>ולכן בעל השבות-יעקב חותם להקל:</w:t>
      </w:r>
    </w:p>
    <w:p w:rsidR="00AD473B" w:rsidRDefault="00AD473B" w:rsidP="00AD473B">
      <w:pPr>
        <w:pStyle w:val="-4"/>
        <w:rPr>
          <w:rtl/>
        </w:rPr>
      </w:pPr>
      <w:r>
        <w:rPr>
          <w:rtl/>
        </w:rPr>
        <w:t xml:space="preserve">ה"ה לענין המברך אם הוא זקן או חולה שאינו יכול לעמוד יושב ומברך </w:t>
      </w:r>
      <w:r w:rsidRPr="00BF7051">
        <w:rPr>
          <w:b/>
          <w:bCs/>
          <w:rtl/>
        </w:rPr>
        <w:t>דהולכין להקל כיון שהוא רק אסמכתא ומדרבנן להקל</w:t>
      </w:r>
      <w:r>
        <w:rPr>
          <w:rtl/>
        </w:rPr>
        <w:t xml:space="preserve"> שומעין</w:t>
      </w:r>
      <w:r>
        <w:rPr>
          <w:rFonts w:hint="cs"/>
          <w:rtl/>
        </w:rPr>
        <w:t xml:space="preserve">. </w:t>
      </w:r>
      <w:r>
        <w:rPr>
          <w:rtl/>
        </w:rPr>
        <w:t xml:space="preserve">ואל יתמה המתמה לומר </w:t>
      </w:r>
      <w:r w:rsidRPr="00BF7051">
        <w:rPr>
          <w:b/>
          <w:bCs/>
          <w:rtl/>
        </w:rPr>
        <w:t>איך אשמע להקל דבר דלא נראה בהדיא בדברי אחד מן הראשוני' והאחרוני'</w:t>
      </w:r>
      <w:r>
        <w:rPr>
          <w:rtl/>
        </w:rPr>
        <w:t xml:space="preserve"> זה אינו דהא מלשון הט"ז שם סס"ק כ"ז משמע קצת כן שכתב וז"ל כגון יושב </w:t>
      </w:r>
      <w:r w:rsidRPr="00BF7051">
        <w:rPr>
          <w:b/>
          <w:bCs/>
          <w:rtl/>
        </w:rPr>
        <w:t>שיכול לעמוד</w:t>
      </w:r>
      <w:r>
        <w:rPr>
          <w:rtl/>
        </w:rPr>
        <w:t xml:space="preserve"> עכ"ל משמע </w:t>
      </w:r>
      <w:r w:rsidRPr="00BF7051">
        <w:rPr>
          <w:b/>
          <w:bCs/>
          <w:rtl/>
        </w:rPr>
        <w:t xml:space="preserve">הא אין יכול לעמוד כגון זקן או חולה </w:t>
      </w:r>
      <w:r>
        <w:rPr>
          <w:rtl/>
        </w:rPr>
        <w:t>וכה"ג מודה</w:t>
      </w:r>
      <w:r>
        <w:rPr>
          <w:rFonts w:hint="cs"/>
          <w:rtl/>
        </w:rPr>
        <w:t xml:space="preserve">. </w:t>
      </w:r>
      <w:r>
        <w:rPr>
          <w:rtl/>
        </w:rPr>
        <w:t xml:space="preserve">וכן מבואר לענין תפלת י"ח כמבואר בסימן צ"ד בא"ח אף דתפל' היא במקום עבודה דקרבנות </w:t>
      </w:r>
      <w:r w:rsidRPr="00595676">
        <w:rPr>
          <w:b/>
          <w:bCs/>
          <w:rtl/>
        </w:rPr>
        <w:t>ומ"מ אם אפשר לו לעמוד על ידי סמיכה ודאי דעדיף מיושב גמור</w:t>
      </w:r>
      <w:r>
        <w:rPr>
          <w:rtl/>
        </w:rPr>
        <w:t xml:space="preserve"> ועיין בח"מ סימן י"ז ובאורח חיים סימן קמ"א ובמ"א שם ס"ק ב' </w:t>
      </w:r>
      <w:r w:rsidRPr="00595676">
        <w:rPr>
          <w:b/>
          <w:bCs/>
          <w:rtl/>
        </w:rPr>
        <w:t xml:space="preserve">אבל לבטלו מנשיא' כפים לגמרי חלילה דהוא חומרא דאתי לידי קולא </w:t>
      </w:r>
      <w:r>
        <w:rPr>
          <w:rtl/>
        </w:rPr>
        <w:t>לבטלו מנשיאת כפים דעובר בשלש עשה</w:t>
      </w:r>
      <w:r>
        <w:rPr>
          <w:rFonts w:hint="cs"/>
          <w:rtl/>
        </w:rPr>
        <w:t>.</w:t>
      </w:r>
    </w:p>
    <w:p w:rsidR="00AD473B" w:rsidRDefault="00AD473B" w:rsidP="00AD473B">
      <w:pPr>
        <w:pStyle w:val="afe"/>
        <w:rPr>
          <w:rtl/>
        </w:rPr>
      </w:pPr>
      <w:r>
        <w:rPr>
          <w:rtl/>
        </w:rPr>
        <w:t xml:space="preserve">לכן </w:t>
      </w:r>
      <w:r w:rsidRPr="00595676">
        <w:rPr>
          <w:b/>
          <w:bCs/>
          <w:rtl/>
        </w:rPr>
        <w:t>נ"ל פשוט דנושא כפיו בסמיכה או מיושב אם אי אפשר בענין אחר</w:t>
      </w:r>
      <w:r>
        <w:rPr>
          <w:rtl/>
        </w:rPr>
        <w:t xml:space="preserve"> ואע"פ שאין ראיה לדבר זכר לדבר מיעקב כדכ</w:t>
      </w:r>
      <w:r>
        <w:rPr>
          <w:rFonts w:hint="cs"/>
          <w:rtl/>
        </w:rPr>
        <w:t>'</w:t>
      </w:r>
      <w:r>
        <w:rPr>
          <w:rtl/>
        </w:rPr>
        <w:t xml:space="preserve"> ויתחזק ישראל וישב על המטה וגומר לברך את בניו </w:t>
      </w:r>
      <w:r w:rsidRPr="00595676">
        <w:rPr>
          <w:b/>
          <w:bCs/>
          <w:rtl/>
        </w:rPr>
        <w:t>ואין דנין אפשר משאי אפשר</w:t>
      </w:r>
      <w:r>
        <w:rPr>
          <w:rtl/>
        </w:rPr>
        <w:t xml:space="preserve"> ויש' ברכה מאת ה' כנ"ל הק' יעקב.</w:t>
      </w:r>
    </w:p>
    <w:p w:rsidR="00AD473B" w:rsidRDefault="00AD473B" w:rsidP="00AD473B">
      <w:pPr>
        <w:rPr>
          <w:rtl/>
        </w:rPr>
      </w:pPr>
      <w:r>
        <w:rPr>
          <w:rFonts w:hint="cs"/>
          <w:rtl/>
        </w:rPr>
        <w:t>ואמנם המשנה-ברורה פסק להחמיר: "וכ</w:t>
      </w:r>
      <w:bookmarkStart w:id="23" w:name="_GoBack"/>
      <w:bookmarkEnd w:id="23"/>
      <w:r>
        <w:rPr>
          <w:rFonts w:hint="cs"/>
          <w:rtl/>
        </w:rPr>
        <w:t>הן שהוא חלוש ואינו יכול לעמוד אלא על ידי סמיכה, לא ישא כפיו דהוא כישיבה".</w:t>
      </w:r>
    </w:p>
    <w:p w:rsidR="00AD473B" w:rsidRDefault="00AD473B" w:rsidP="00AD473B">
      <w:pPr>
        <w:rPr>
          <w:rtl/>
        </w:rPr>
      </w:pPr>
      <w:r>
        <w:rPr>
          <w:rFonts w:hint="cs"/>
          <w:rtl/>
        </w:rPr>
        <w:t>אולם נראה שכדי לזכות את הכהן במצווה יקרה זו של ברכת כוהנים, ניתן לסמוך על השבות-יעקב ולהתיר לו לברך. אולם לעניין ברכה נראה להחמיר שכן ספק ברכות להקל.</w:t>
      </w:r>
    </w:p>
    <w:p w:rsidR="00AD473B" w:rsidRPr="00730088" w:rsidRDefault="00AD473B" w:rsidP="00AD473B">
      <w:pPr>
        <w:pStyle w:val="4"/>
        <w:rPr>
          <w:rtl/>
        </w:rPr>
      </w:pPr>
      <w:bookmarkStart w:id="24" w:name="_Toc476746538"/>
      <w:bookmarkStart w:id="25" w:name="_Toc476746620"/>
      <w:bookmarkStart w:id="26" w:name="_Toc476746879"/>
      <w:bookmarkStart w:id="27" w:name="_Toc480277369"/>
      <w:bookmarkStart w:id="28" w:name="_Toc480277380"/>
      <w:r>
        <w:rPr>
          <w:rFonts w:hint="cs"/>
          <w:rtl/>
        </w:rPr>
        <w:t>ד. סיכומם של דברים</w:t>
      </w:r>
      <w:bookmarkEnd w:id="24"/>
      <w:bookmarkEnd w:id="25"/>
      <w:bookmarkEnd w:id="26"/>
      <w:bookmarkEnd w:id="27"/>
      <w:bookmarkEnd w:id="28"/>
    </w:p>
    <w:p w:rsidR="00AD473B" w:rsidRDefault="00AD473B" w:rsidP="00AD473B">
      <w:pPr>
        <w:pStyle w:val="7"/>
        <w:rPr>
          <w:rtl/>
        </w:rPr>
      </w:pPr>
      <w:r>
        <w:rPr>
          <w:rFonts w:hint="cs"/>
          <w:rtl/>
        </w:rPr>
        <w:t>1.</w:t>
      </w:r>
      <w:r>
        <w:rPr>
          <w:rFonts w:hint="cs"/>
          <w:rtl/>
        </w:rPr>
        <w:tab/>
        <w:t>ברכת כוהנים צריכה להיות לכתחילה בעמידה.</w:t>
      </w:r>
    </w:p>
    <w:p w:rsidR="00AD473B" w:rsidRDefault="00AD473B" w:rsidP="00AD473B">
      <w:pPr>
        <w:pStyle w:val="7"/>
      </w:pPr>
      <w:r>
        <w:rPr>
          <w:rFonts w:hint="cs"/>
          <w:rtl/>
        </w:rPr>
        <w:t>2.</w:t>
      </w:r>
      <w:r>
        <w:rPr>
          <w:rFonts w:hint="cs"/>
          <w:rtl/>
        </w:rPr>
        <w:tab/>
        <w:t>כהן שיש לו פרוטזה רשאי לעלות לדוכן. ובזמן אמירת המילים (יברכך, ה' וכו') יעביר את המשקל לרגלו ה'אמיתית'.</w:t>
      </w:r>
    </w:p>
    <w:p w:rsidR="00AD473B" w:rsidRDefault="00AD473B" w:rsidP="00AD473B">
      <w:pPr>
        <w:pStyle w:val="7"/>
      </w:pPr>
      <w:r>
        <w:rPr>
          <w:rFonts w:hint="cs"/>
          <w:rtl/>
        </w:rPr>
        <w:t>3.</w:t>
      </w:r>
      <w:r>
        <w:rPr>
          <w:rFonts w:hint="cs"/>
          <w:rtl/>
        </w:rPr>
        <w:tab/>
        <w:t>אם יכול להוריד את נעליו רצוי. ולא, רשאי לברך גם ללא הורדת הנעליים.</w:t>
      </w:r>
    </w:p>
    <w:p w:rsidR="00AD473B" w:rsidRDefault="00AD473B" w:rsidP="00AD473B">
      <w:pPr>
        <w:pStyle w:val="7"/>
      </w:pPr>
      <w:r>
        <w:rPr>
          <w:rFonts w:hint="cs"/>
          <w:rtl/>
        </w:rPr>
        <w:t>4.</w:t>
      </w:r>
      <w:r>
        <w:rPr>
          <w:rFonts w:hint="cs"/>
          <w:rtl/>
        </w:rPr>
        <w:tab/>
        <w:t>כהן קטוע שתי רגליים, ההולך בעזרת שתי פרוטזות, רשאי לעלות לדוכן והדבר נחשב לו כמברך בעמידה.</w:t>
      </w:r>
    </w:p>
    <w:p w:rsidR="00AD473B" w:rsidRDefault="00AD473B" w:rsidP="00AD473B">
      <w:pPr>
        <w:pStyle w:val="7"/>
      </w:pPr>
      <w:r>
        <w:rPr>
          <w:rFonts w:hint="cs"/>
          <w:rtl/>
        </w:rPr>
        <w:t>5.</w:t>
      </w:r>
      <w:r>
        <w:rPr>
          <w:rFonts w:hint="cs"/>
          <w:rtl/>
        </w:rPr>
        <w:tab/>
        <w:t>כהן היושב בכיסא גלגלים רשאי לעלות לדוכן. אם מסוגל לעמוד בזמן הברכה (יברכך וכו') יעמוד על רגליו. אם אינו יכול, רשאי לשאת כפים בישיבה ויש לסמוך בזה על שיטת בעל השבות -יעקב שהצורך בעמידה הוא אסמכתא ואינו מעכב כשאי אפשר.</w:t>
      </w:r>
    </w:p>
    <w:p w:rsidR="00AD473B" w:rsidRDefault="00AD473B" w:rsidP="00AD473B">
      <w:pPr>
        <w:pStyle w:val="7"/>
      </w:pPr>
      <w:r>
        <w:rPr>
          <w:rFonts w:hint="cs"/>
          <w:rtl/>
        </w:rPr>
        <w:lastRenderedPageBreak/>
        <w:t>6.</w:t>
      </w:r>
      <w:r>
        <w:rPr>
          <w:rFonts w:hint="cs"/>
          <w:rtl/>
        </w:rPr>
        <w:tab/>
        <w:t>לעניין הברכה (אקב"ו לברך את עמו ישראל באהבה), יש לחוש לשיטת הפוסקים שאם אינו עומד אינו מקיים את המצווה, לכן יאמר את פסוקי הברכה, אך לא יברך.</w:t>
      </w:r>
    </w:p>
    <w:p w:rsidR="00AD473B" w:rsidRDefault="00AD473B" w:rsidP="00AD473B">
      <w:pPr>
        <w:pStyle w:val="7"/>
        <w:rPr>
          <w:rStyle w:val="af2"/>
          <w:rFonts w:cs="Miriam"/>
          <w:color w:val="auto"/>
          <w:sz w:val="24"/>
          <w:szCs w:val="40"/>
        </w:rPr>
      </w:pPr>
      <w:r>
        <w:rPr>
          <w:rFonts w:hint="cs"/>
          <w:rtl/>
        </w:rPr>
        <w:t>7.</w:t>
      </w:r>
      <w:r>
        <w:rPr>
          <w:rFonts w:hint="cs"/>
          <w:rtl/>
        </w:rPr>
        <w:tab/>
        <w:t>ריבונו של עולם יברך באהבה את כל חולי ישראל ואת כלל ישראל כולו. אמן.</w:t>
      </w:r>
    </w:p>
    <w:sectPr w:rsidR="00AD473B" w:rsidSect="00773322">
      <w:headerReference w:type="even" r:id="rId7"/>
      <w:headerReference w:type="default" r:id="rId8"/>
      <w:headerReference w:type="first" r:id="rId9"/>
      <w:footnotePr>
        <w:numRestart w:val="eachSect"/>
      </w:footnotePr>
      <w:pgSz w:w="11907" w:h="16840" w:code="9"/>
      <w:pgMar w:top="1531" w:right="2381" w:bottom="4706" w:left="2381" w:header="907" w:footer="720" w:gutter="0"/>
      <w:pgNumType w:start="476"/>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F5A" w:rsidRDefault="004C3F5A">
      <w:r>
        <w:separator/>
      </w:r>
    </w:p>
  </w:endnote>
  <w:endnote w:type="continuationSeparator" w:id="0">
    <w:p w:rsidR="004C3F5A" w:rsidRDefault="004C3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F5A" w:rsidRDefault="004C3F5A">
      <w:pPr>
        <w:pStyle w:val="af0"/>
      </w:pPr>
    </w:p>
  </w:footnote>
  <w:footnote w:type="continuationSeparator" w:id="0">
    <w:p w:rsidR="004C3F5A" w:rsidRDefault="004C3F5A">
      <w:pPr>
        <w:pStyle w:val="af0"/>
      </w:pPr>
    </w:p>
  </w:footnote>
  <w:footnote w:id="1">
    <w:p w:rsidR="00AD473B" w:rsidRPr="00496630" w:rsidRDefault="00AD473B" w:rsidP="00AD473B">
      <w:pPr>
        <w:pStyle w:val="-8"/>
        <w:rPr>
          <w:rtl/>
        </w:rPr>
      </w:pPr>
      <w:r w:rsidRPr="00496630">
        <w:rPr>
          <w:rStyle w:val="ac"/>
          <w:vertAlign w:val="baseline"/>
          <w:rtl/>
        </w:rPr>
        <w:footnoteRef/>
      </w:r>
      <w:r>
        <w:rPr>
          <w:rStyle w:val="ac"/>
          <w:vertAlign w:val="baseline"/>
          <w:rtl/>
        </w:rPr>
        <w:t>.</w:t>
      </w:r>
      <w:r>
        <w:rPr>
          <w:rStyle w:val="ac"/>
          <w:vertAlign w:val="baseline"/>
          <w:rtl/>
        </w:rPr>
        <w:tab/>
      </w:r>
      <w:r w:rsidRPr="00496630">
        <w:rPr>
          <w:rFonts w:hint="cs"/>
          <w:rtl/>
        </w:rPr>
        <w:t>"</w:t>
      </w:r>
      <w:r w:rsidRPr="00496630">
        <w:rPr>
          <w:rtl/>
        </w:rPr>
        <w:t>דלא רגילי אינשי לישא וליתן עמו ואינם מורגלים במומו</w:t>
      </w:r>
      <w:r w:rsidRPr="00496630">
        <w:rPr>
          <w:rFonts w:hint="cs"/>
          <w:rtl/>
        </w:rPr>
        <w:t>"</w:t>
      </w:r>
      <w:r w:rsidRPr="00496630">
        <w:rPr>
          <w:rtl/>
        </w:rPr>
        <w:t xml:space="preserve"> </w:t>
      </w:r>
      <w:r w:rsidRPr="00496630">
        <w:rPr>
          <w:rFonts w:hint="cs"/>
          <w:rtl/>
        </w:rPr>
        <w:t>(</w:t>
      </w:r>
      <w:r>
        <w:rPr>
          <w:rtl/>
        </w:rPr>
        <w:t>משנה</w:t>
      </w:r>
      <w:r>
        <w:rPr>
          <w:rFonts w:hint="cs"/>
          <w:rtl/>
        </w:rPr>
        <w:t>-</w:t>
      </w:r>
      <w:r w:rsidRPr="00496630">
        <w:rPr>
          <w:rtl/>
        </w:rPr>
        <w:t xml:space="preserve">ברורה </w:t>
      </w:r>
      <w:r w:rsidRPr="00496630">
        <w:rPr>
          <w:rFonts w:hint="cs"/>
          <w:rtl/>
        </w:rPr>
        <w:t>שם</w:t>
      </w:r>
      <w:r>
        <w:rPr>
          <w:rFonts w:hint="cs"/>
          <w:rtl/>
        </w:rPr>
        <w:t>,</w:t>
      </w:r>
      <w:r w:rsidRPr="00496630">
        <w:rPr>
          <w:rtl/>
        </w:rPr>
        <w:t xml:space="preserve"> ס"ק קיב</w:t>
      </w:r>
      <w:r w:rsidRPr="00496630">
        <w:rPr>
          <w:rFonts w:hint="cs"/>
          <w:rtl/>
        </w:rPr>
        <w:t xml:space="preserve">). </w:t>
      </w:r>
    </w:p>
  </w:footnote>
  <w:footnote w:id="2">
    <w:p w:rsidR="00AD473B" w:rsidRPr="00496630" w:rsidRDefault="00AD473B" w:rsidP="00AD473B">
      <w:pPr>
        <w:pStyle w:val="-8"/>
        <w:rPr>
          <w:rtl/>
        </w:rPr>
      </w:pPr>
      <w:r w:rsidRPr="00496630">
        <w:rPr>
          <w:rStyle w:val="ac"/>
          <w:vertAlign w:val="baseline"/>
          <w:rtl/>
        </w:rPr>
        <w:footnoteRef/>
      </w:r>
      <w:r>
        <w:rPr>
          <w:rStyle w:val="ac"/>
          <w:vertAlign w:val="baseline"/>
          <w:rtl/>
        </w:rPr>
        <w:t>.</w:t>
      </w:r>
      <w:r>
        <w:rPr>
          <w:rStyle w:val="ac"/>
          <w:vertAlign w:val="baseline"/>
          <w:rtl/>
        </w:rPr>
        <w:tab/>
      </w:r>
      <w:r>
        <w:rPr>
          <w:rFonts w:hint="cs"/>
          <w:rtl/>
        </w:rPr>
        <w:t>וכך הקשה בעל שו"ת שבות-</w:t>
      </w:r>
      <w:r w:rsidRPr="00496630">
        <w:rPr>
          <w:rFonts w:hint="cs"/>
          <w:rtl/>
        </w:rPr>
        <w:t>יעקב: "...</w:t>
      </w:r>
      <w:r w:rsidRPr="00496630">
        <w:rPr>
          <w:rtl/>
        </w:rPr>
        <w:t>וע"פ זה מיושב מה שמקשה הט"ז בסי' קכ"ח ס"ק כ"ז על הא דפסק שם דהטעם שמום פוסל בו משום שהעם מסתכלין בו ואם דש בעירו מותר תיפוק ליה דיהי' פסול משום דאיתקוש לעבוד' ע"ש אשתמטי' ליה סוגיא זו דתענית דאיתקש לנזיר לקולא דבעל מו' מותר כיון דאין לאסור מצד הסברא אם לא שהעם מסתכלין בו דאז יש לאסור מצד הסברא</w:t>
      </w:r>
      <w:r w:rsidRPr="00496630">
        <w:rPr>
          <w:rFonts w:hint="cs"/>
          <w:rtl/>
        </w:rPr>
        <w:t>". ועי' בהמשך דברינו.</w:t>
      </w:r>
    </w:p>
  </w:footnote>
  <w:footnote w:id="3">
    <w:p w:rsidR="00AD473B" w:rsidRPr="00496630" w:rsidRDefault="00AD473B" w:rsidP="00AD473B">
      <w:pPr>
        <w:pStyle w:val="-8"/>
        <w:rPr>
          <w:rtl/>
        </w:rPr>
      </w:pPr>
      <w:r w:rsidRPr="00496630">
        <w:rPr>
          <w:rStyle w:val="ac"/>
          <w:vertAlign w:val="baseline"/>
          <w:rtl/>
        </w:rPr>
        <w:footnoteRef/>
      </w:r>
      <w:r>
        <w:rPr>
          <w:rStyle w:val="ac"/>
          <w:vertAlign w:val="baseline"/>
          <w:rtl/>
        </w:rPr>
        <w:t>.</w:t>
      </w:r>
      <w:r>
        <w:rPr>
          <w:rStyle w:val="ac"/>
          <w:vertAlign w:val="baseline"/>
          <w:rtl/>
        </w:rPr>
        <w:tab/>
      </w:r>
      <w:r w:rsidRPr="00496630">
        <w:rPr>
          <w:rFonts w:hint="cs"/>
          <w:rtl/>
        </w:rPr>
        <w:t>בהמשך נראה שיש לדון בקביעה זו.</w:t>
      </w:r>
    </w:p>
  </w:footnote>
  <w:footnote w:id="4">
    <w:p w:rsidR="00AD473B" w:rsidRPr="00496630" w:rsidRDefault="00AD473B" w:rsidP="00AD473B">
      <w:pPr>
        <w:pStyle w:val="-8"/>
        <w:rPr>
          <w:rtl/>
        </w:rPr>
      </w:pPr>
      <w:r w:rsidRPr="00496630">
        <w:rPr>
          <w:rStyle w:val="ac"/>
          <w:vertAlign w:val="baseline"/>
          <w:rtl/>
        </w:rPr>
        <w:footnoteRef/>
      </w:r>
      <w:r>
        <w:rPr>
          <w:rStyle w:val="ac"/>
          <w:vertAlign w:val="baseline"/>
          <w:rtl/>
        </w:rPr>
        <w:t>.</w:t>
      </w:r>
      <w:r>
        <w:rPr>
          <w:rStyle w:val="ac"/>
          <w:vertAlign w:val="baseline"/>
          <w:rtl/>
        </w:rPr>
        <w:tab/>
      </w:r>
      <w:r>
        <w:rPr>
          <w:rFonts w:hint="cs"/>
          <w:rtl/>
        </w:rPr>
        <w:t>ח"ב סי' יג. וכן פסק להקל בשו"ת ציץ-אליעזר חי"ד ס</w:t>
      </w:r>
      <w:r w:rsidRPr="00496630">
        <w:rPr>
          <w:rFonts w:hint="cs"/>
          <w:rtl/>
        </w:rPr>
        <w:t>י</w:t>
      </w:r>
      <w:r>
        <w:rPr>
          <w:rFonts w:hint="cs"/>
          <w:rtl/>
        </w:rPr>
        <w:t>' יא וח"כ סי' כ</w:t>
      </w:r>
      <w:r w:rsidRPr="00496630">
        <w:rPr>
          <w:rFonts w:hint="cs"/>
          <w:rtl/>
        </w:rPr>
        <w:t>ו.</w:t>
      </w:r>
    </w:p>
  </w:footnote>
  <w:footnote w:id="5">
    <w:p w:rsidR="00AD473B" w:rsidRPr="00496630" w:rsidRDefault="00AD473B" w:rsidP="00AD473B">
      <w:pPr>
        <w:pStyle w:val="-8"/>
        <w:rPr>
          <w:rtl/>
        </w:rPr>
      </w:pPr>
      <w:r w:rsidRPr="00496630">
        <w:rPr>
          <w:rStyle w:val="ac"/>
          <w:vertAlign w:val="baseline"/>
          <w:rtl/>
        </w:rPr>
        <w:footnoteRef/>
      </w:r>
      <w:r>
        <w:rPr>
          <w:rStyle w:val="ac"/>
          <w:vertAlign w:val="baseline"/>
          <w:rtl/>
        </w:rPr>
        <w:t>.</w:t>
      </w:r>
      <w:r>
        <w:rPr>
          <w:rStyle w:val="ac"/>
          <w:vertAlign w:val="baseline"/>
          <w:rtl/>
        </w:rPr>
        <w:tab/>
      </w:r>
      <w:r w:rsidRPr="00496630">
        <w:rPr>
          <w:rFonts w:ascii="David" w:hAnsi="David"/>
          <w:rtl/>
        </w:rPr>
        <w:t>דבעינן ידיו ורגליו כאחד ירחצו כדכתיב קרא</w:t>
      </w:r>
      <w:r w:rsidRPr="00496630">
        <w:rPr>
          <w:rFonts w:hint="cs"/>
          <w:rtl/>
        </w:rPr>
        <w:t xml:space="preserve"> (רש"י).</w:t>
      </w:r>
    </w:p>
  </w:footnote>
  <w:footnote w:id="6">
    <w:p w:rsidR="00AD473B" w:rsidRPr="00496630" w:rsidRDefault="00AD473B" w:rsidP="00AD473B">
      <w:pPr>
        <w:pStyle w:val="-8"/>
        <w:rPr>
          <w:rtl/>
        </w:rPr>
      </w:pPr>
      <w:r w:rsidRPr="00496630">
        <w:rPr>
          <w:rStyle w:val="ac"/>
          <w:vertAlign w:val="baseline"/>
          <w:rtl/>
        </w:rPr>
        <w:footnoteRef/>
      </w:r>
      <w:r>
        <w:rPr>
          <w:rStyle w:val="ac"/>
          <w:vertAlign w:val="baseline"/>
          <w:rtl/>
        </w:rPr>
        <w:t>.</w:t>
      </w:r>
      <w:r>
        <w:rPr>
          <w:rStyle w:val="ac"/>
          <w:vertAlign w:val="baseline"/>
          <w:rtl/>
        </w:rPr>
        <w:tab/>
      </w:r>
      <w:r>
        <w:rPr>
          <w:rFonts w:hint="cs"/>
          <w:rtl/>
        </w:rPr>
        <w:t>רש"י רוצה להדגיש שאף</w:t>
      </w:r>
      <w:r w:rsidRPr="00496630">
        <w:rPr>
          <w:rFonts w:hint="cs"/>
          <w:rtl/>
        </w:rPr>
        <w:t xml:space="preserve"> שמשמעו</w:t>
      </w:r>
      <w:r>
        <w:rPr>
          <w:rFonts w:hint="cs"/>
          <w:rtl/>
        </w:rPr>
        <w:t>ת ביטוי זה בדרך כלל היא: מה ההבד</w:t>
      </w:r>
      <w:r w:rsidRPr="00496630">
        <w:rPr>
          <w:rFonts w:hint="cs"/>
          <w:rtl/>
        </w:rPr>
        <w:t>ל המעשי בין שתי השיטות, כאן הכוונה היא מה שורש מחלוקתם.</w:t>
      </w:r>
    </w:p>
  </w:footnote>
  <w:footnote w:id="7">
    <w:p w:rsidR="00AD473B" w:rsidRPr="00496630" w:rsidRDefault="00AD473B" w:rsidP="00AD473B">
      <w:pPr>
        <w:pStyle w:val="-8"/>
        <w:rPr>
          <w:rtl/>
        </w:rPr>
      </w:pPr>
      <w:r w:rsidRPr="00496630">
        <w:rPr>
          <w:rStyle w:val="ac"/>
          <w:vertAlign w:val="baseline"/>
          <w:rtl/>
        </w:rPr>
        <w:footnoteRef/>
      </w:r>
      <w:r>
        <w:rPr>
          <w:rStyle w:val="ac"/>
          <w:vertAlign w:val="baseline"/>
          <w:rtl/>
        </w:rPr>
        <w:t>.</w:t>
      </w:r>
      <w:r>
        <w:rPr>
          <w:rStyle w:val="ac"/>
          <w:vertAlign w:val="baseline"/>
          <w:rtl/>
        </w:rPr>
        <w:tab/>
      </w:r>
      <w:r w:rsidRPr="00496630">
        <w:rPr>
          <w:rFonts w:hint="cs"/>
          <w:rtl/>
        </w:rPr>
        <w:t>מעין ההבדל שמצאנו בדיני שבת בין טלטול מן הצד (שהותר רק לצורך דבר המותר), לבין טלטול בגופו שהותר גם לצורך הדבר האסור. וה</w:t>
      </w:r>
      <w:r>
        <w:rPr>
          <w:rFonts w:hint="cs"/>
          <w:rtl/>
        </w:rPr>
        <w:t>חילוק דומה (כמו גם ההגדרה!):</w:t>
      </w:r>
      <w:r w:rsidRPr="00496630">
        <w:rPr>
          <w:rFonts w:hint="cs"/>
          <w:rtl/>
        </w:rPr>
        <w:t xml:space="preserve"> טלטול מן הצד הוא טלטול המתבצע בעזרת דבר חיצוני. לעומת זאת טלטול בגופו אינו בכלל כדרך המטלטלים.</w:t>
      </w:r>
    </w:p>
    <w:p w:rsidR="00AD473B" w:rsidRPr="00496630" w:rsidRDefault="00AD473B" w:rsidP="00AD473B">
      <w:pPr>
        <w:pStyle w:val="-8"/>
        <w:rPr>
          <w:rtl/>
        </w:rPr>
      </w:pPr>
      <w:r>
        <w:rPr>
          <w:rtl/>
        </w:rPr>
        <w:tab/>
      </w:r>
      <w:r w:rsidRPr="00496630">
        <w:rPr>
          <w:rFonts w:hint="cs"/>
          <w:rtl/>
        </w:rPr>
        <w:t>אמנם יש להעיר ש</w:t>
      </w:r>
      <w:r>
        <w:rPr>
          <w:rFonts w:hint="cs"/>
          <w:rtl/>
        </w:rPr>
        <w:t>התוס' ביומא כה,א ד"ה אין ישיבה</w:t>
      </w:r>
      <w:r w:rsidRPr="00496630">
        <w:rPr>
          <w:rFonts w:hint="cs"/>
          <w:rtl/>
        </w:rPr>
        <w:t xml:space="preserve"> חולק</w:t>
      </w:r>
      <w:r>
        <w:rPr>
          <w:rFonts w:hint="cs"/>
          <w:rtl/>
        </w:rPr>
        <w:t>ים</w:t>
      </w:r>
      <w:r w:rsidRPr="00496630">
        <w:rPr>
          <w:rFonts w:hint="cs"/>
          <w:rtl/>
        </w:rPr>
        <w:t xml:space="preserve"> על תוס' דידן וסובר</w:t>
      </w:r>
      <w:r>
        <w:rPr>
          <w:rFonts w:hint="cs"/>
          <w:rtl/>
        </w:rPr>
        <w:t>ים</w:t>
      </w:r>
      <w:r w:rsidRPr="00496630">
        <w:rPr>
          <w:rFonts w:hint="cs"/>
          <w:rtl/>
        </w:rPr>
        <w:t xml:space="preserve"> שקושיית הגמרא היא אכן שישב, ומה הבעיה בישיבה. ומה ששאל</w:t>
      </w:r>
      <w:r>
        <w:rPr>
          <w:rFonts w:hint="cs"/>
          <w:rtl/>
        </w:rPr>
        <w:t>ו</w:t>
      </w:r>
      <w:r w:rsidRPr="00496630">
        <w:rPr>
          <w:rFonts w:hint="cs"/>
          <w:rtl/>
        </w:rPr>
        <w:t xml:space="preserve"> </w:t>
      </w:r>
      <w:r>
        <w:rPr>
          <w:rFonts w:hint="cs"/>
          <w:rtl/>
        </w:rPr>
        <w:t>ה</w:t>
      </w:r>
      <w:r w:rsidRPr="00496630">
        <w:rPr>
          <w:rFonts w:hint="cs"/>
          <w:rtl/>
        </w:rPr>
        <w:t>תוס' הרי אין ישיבה בעזרה, משיב</w:t>
      </w:r>
      <w:r>
        <w:rPr>
          <w:rFonts w:hint="cs"/>
          <w:rtl/>
        </w:rPr>
        <w:t>ים</w:t>
      </w:r>
      <w:r w:rsidRPr="00496630">
        <w:rPr>
          <w:rFonts w:hint="cs"/>
          <w:rtl/>
        </w:rPr>
        <w:t xml:space="preserve"> </w:t>
      </w:r>
      <w:r>
        <w:rPr>
          <w:rFonts w:hint="cs"/>
          <w:rtl/>
        </w:rPr>
        <w:t>ה</w:t>
      </w:r>
      <w:r w:rsidRPr="00496630">
        <w:rPr>
          <w:rFonts w:hint="cs"/>
          <w:rtl/>
        </w:rPr>
        <w:t>תוס' ביומא שישיבה שהיא לצורך עבודה מותרת בעזרה. לפי הסבר זה הגמרא לא ד</w:t>
      </w:r>
      <w:r>
        <w:rPr>
          <w:rFonts w:hint="cs"/>
          <w:rtl/>
        </w:rPr>
        <w:t>י</w:t>
      </w:r>
      <w:r w:rsidRPr="00496630">
        <w:rPr>
          <w:rFonts w:hint="cs"/>
          <w:rtl/>
        </w:rPr>
        <w:t>ברה על סמיכה ואין הבדל בין עמידה מן הצד לסמיכה.</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BB3" w:rsidRDefault="00C50A6B">
    <w:pPr>
      <w:pStyle w:val="ad"/>
      <w:framePr w:wrap="around" w:vAnchor="text" w:hAnchor="margin" w:xAlign="inside" w:y="1"/>
      <w:rPr>
        <w:rStyle w:val="af"/>
      </w:rPr>
    </w:pPr>
    <w:r>
      <w:rPr>
        <w:rStyle w:val="af"/>
      </w:rPr>
      <w:fldChar w:fldCharType="begin"/>
    </w:r>
    <w:r w:rsidR="00937BB3">
      <w:rPr>
        <w:rStyle w:val="af"/>
      </w:rPr>
      <w:instrText xml:space="preserve">PAGE  </w:instrText>
    </w:r>
    <w:r>
      <w:rPr>
        <w:rStyle w:val="af"/>
      </w:rPr>
      <w:fldChar w:fldCharType="separate"/>
    </w:r>
    <w:r w:rsidR="00310854">
      <w:rPr>
        <w:rStyle w:val="af"/>
        <w:noProof/>
        <w:rtl/>
      </w:rPr>
      <w:t>482</w:t>
    </w:r>
    <w:r>
      <w:rPr>
        <w:rStyle w:val="af"/>
      </w:rPr>
      <w:fldChar w:fldCharType="end"/>
    </w:r>
  </w:p>
  <w:p w:rsidR="00937BB3" w:rsidRPr="00B53C99" w:rsidRDefault="00C50A6B">
    <w:pPr>
      <w:pStyle w:val="ad"/>
      <w:ind w:right="360" w:firstLine="360"/>
      <w:rPr>
        <w:rtl/>
      </w:rPr>
    </w:pPr>
    <w:r w:rsidRPr="00B53C99">
      <w:rPr>
        <w:rtl/>
      </w:rPr>
      <w:fldChar w:fldCharType="begin"/>
    </w:r>
    <w:r w:rsidR="00937BB3" w:rsidRPr="00B53C99">
      <w:rPr>
        <w:rtl/>
      </w:rPr>
      <w:instrText xml:space="preserve"> </w:instrText>
    </w:r>
    <w:r w:rsidR="00937BB3" w:rsidRPr="00B53C99">
      <w:instrText>STYLEREF</w:instrText>
    </w:r>
    <w:r w:rsidR="00937BB3" w:rsidRPr="00B53C99">
      <w:rPr>
        <w:rtl/>
      </w:rPr>
      <w:instrText xml:space="preserve">  "כותרת 1"  \* </w:instrText>
    </w:r>
    <w:r w:rsidR="00937BB3" w:rsidRPr="00B53C99">
      <w:instrText>MERGEFORMAT</w:instrText>
    </w:r>
    <w:r w:rsidR="00937BB3" w:rsidRPr="00B53C99">
      <w:rPr>
        <w:rtl/>
      </w:rPr>
      <w:instrText xml:space="preserve"> </w:instrText>
    </w:r>
    <w:r w:rsidRPr="00B53C99">
      <w:rPr>
        <w:rtl/>
      </w:rPr>
      <w:fldChar w:fldCharType="separate"/>
    </w:r>
    <w:r w:rsidR="00310854">
      <w:rPr>
        <w:noProof/>
        <w:rtl/>
      </w:rPr>
      <w:t>הרב אביחי קצין</w:t>
    </w:r>
    <w:r w:rsidRPr="00B53C99">
      <w:rPr>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BB3" w:rsidRDefault="00C50A6B">
    <w:pPr>
      <w:pStyle w:val="ad"/>
      <w:framePr w:wrap="around" w:vAnchor="text" w:hAnchor="margin" w:xAlign="inside" w:y="1"/>
      <w:rPr>
        <w:rStyle w:val="af"/>
      </w:rPr>
    </w:pPr>
    <w:r>
      <w:rPr>
        <w:rStyle w:val="af"/>
      </w:rPr>
      <w:fldChar w:fldCharType="begin"/>
    </w:r>
    <w:r w:rsidR="00937BB3">
      <w:rPr>
        <w:rStyle w:val="af"/>
      </w:rPr>
      <w:instrText xml:space="preserve">PAGE  </w:instrText>
    </w:r>
    <w:r>
      <w:rPr>
        <w:rStyle w:val="af"/>
      </w:rPr>
      <w:fldChar w:fldCharType="separate"/>
    </w:r>
    <w:r w:rsidR="00310854">
      <w:rPr>
        <w:rStyle w:val="af"/>
        <w:noProof/>
        <w:rtl/>
      </w:rPr>
      <w:t>481</w:t>
    </w:r>
    <w:r>
      <w:rPr>
        <w:rStyle w:val="af"/>
      </w:rPr>
      <w:fldChar w:fldCharType="end"/>
    </w:r>
  </w:p>
  <w:p w:rsidR="00937BB3" w:rsidRPr="00906281" w:rsidRDefault="00C50A6B">
    <w:pPr>
      <w:pStyle w:val="ad"/>
      <w:ind w:right="360" w:firstLine="360"/>
      <w:rPr>
        <w:rtl/>
      </w:rPr>
    </w:pPr>
    <w:r w:rsidRPr="00906281">
      <w:rPr>
        <w:rtl/>
      </w:rPr>
      <w:fldChar w:fldCharType="begin"/>
    </w:r>
    <w:r w:rsidR="00937BB3" w:rsidRPr="00906281">
      <w:rPr>
        <w:rtl/>
      </w:rPr>
      <w:instrText xml:space="preserve"> </w:instrText>
    </w:r>
    <w:r w:rsidR="00937BB3" w:rsidRPr="00906281">
      <w:instrText>STYLEREF</w:instrText>
    </w:r>
    <w:r w:rsidR="00937BB3" w:rsidRPr="00906281">
      <w:rPr>
        <w:rtl/>
      </w:rPr>
      <w:instrText xml:space="preserve">  "כותרת 2"  \* </w:instrText>
    </w:r>
    <w:r w:rsidR="00937BB3" w:rsidRPr="00906281">
      <w:instrText>MERGEFORMAT</w:instrText>
    </w:r>
    <w:r w:rsidR="00937BB3" w:rsidRPr="00906281">
      <w:rPr>
        <w:rtl/>
      </w:rPr>
      <w:instrText xml:space="preserve"> </w:instrText>
    </w:r>
    <w:r w:rsidRPr="00906281">
      <w:rPr>
        <w:rtl/>
      </w:rPr>
      <w:fldChar w:fldCharType="separate"/>
    </w:r>
    <w:r w:rsidR="00310854">
      <w:rPr>
        <w:noProof/>
        <w:rtl/>
      </w:rPr>
      <w:t>ברכת כהנים בעמידה על פרוטזה ובישיבה על כיסא גלגלים</w:t>
    </w:r>
    <w:r w:rsidRPr="00906281">
      <w:rPr>
        <w:rtl/>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BB3" w:rsidRDefault="00937BB3" w:rsidP="009A6752">
    <w:pPr>
      <w:pStyle w:val="ad"/>
    </w:pPr>
    <w:r>
      <w:rPr>
        <w:rFonts w:hint="cs"/>
        <w:rtl/>
      </w:rPr>
      <w:t>תחומין ל</w:t>
    </w:r>
    <w:r w:rsidR="009A6752">
      <w:rPr>
        <w:rFonts w:hint="cs"/>
        <w:rtl/>
      </w:rPr>
      <w:t>ז</w:t>
    </w:r>
    <w:r>
      <w:rPr>
        <w:rFonts w:hint="cs"/>
        <w:rtl/>
      </w:rPr>
      <w:t xml:space="preserve"> (תשע"</w:t>
    </w:r>
    <w:r w:rsidR="009A6752">
      <w:rPr>
        <w:rFonts w:hint="cs"/>
        <w:rtl/>
      </w:rPr>
      <w:t>ז</w:t>
    </w:r>
    <w:r>
      <w:rPr>
        <w:rFonts w:hint="cs"/>
        <w:rt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B7F54"/>
    <w:multiLevelType w:val="hybridMultilevel"/>
    <w:tmpl w:val="6A70E576"/>
    <w:lvl w:ilvl="0" w:tplc="84D2FDF2">
      <w:start w:val="1"/>
      <w:numFmt w:val="hebrew1"/>
      <w:lvlText w:val="%1."/>
      <w:lvlJc w:val="center"/>
      <w:pPr>
        <w:ind w:left="720" w:hanging="360"/>
      </w:pPr>
      <w:rPr>
        <w:rFonts w:cs="Times New Roman" w:hint="default"/>
        <w:b/>
        <w:bCs/>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C293ABC"/>
    <w:multiLevelType w:val="hybridMultilevel"/>
    <w:tmpl w:val="6A70E576"/>
    <w:lvl w:ilvl="0" w:tplc="84D2FDF2">
      <w:start w:val="1"/>
      <w:numFmt w:val="hebrew1"/>
      <w:lvlText w:val="%1."/>
      <w:lvlJc w:val="center"/>
      <w:pPr>
        <w:ind w:left="720" w:hanging="360"/>
      </w:pPr>
      <w:rPr>
        <w:rFonts w:cs="Times New Roman" w:hint="default"/>
        <w:b/>
        <w:bCs/>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46C6ADE"/>
    <w:multiLevelType w:val="hybridMultilevel"/>
    <w:tmpl w:val="6D943718"/>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9B40B4F"/>
    <w:multiLevelType w:val="hybridMultilevel"/>
    <w:tmpl w:val="F9A0FAF4"/>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30573AB"/>
    <w:multiLevelType w:val="hybridMultilevel"/>
    <w:tmpl w:val="6840F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4B67F1"/>
    <w:multiLevelType w:val="hybridMultilevel"/>
    <w:tmpl w:val="6D943718"/>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7F27B89"/>
    <w:multiLevelType w:val="hybridMultilevel"/>
    <w:tmpl w:val="5CB04316"/>
    <w:lvl w:ilvl="0" w:tplc="FC142E0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E1AD0"/>
    <w:multiLevelType w:val="hybridMultilevel"/>
    <w:tmpl w:val="8CE48BE0"/>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09964AF"/>
    <w:multiLevelType w:val="hybridMultilevel"/>
    <w:tmpl w:val="6D943718"/>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225364A"/>
    <w:multiLevelType w:val="hybridMultilevel"/>
    <w:tmpl w:val="6D943718"/>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43765683"/>
    <w:multiLevelType w:val="hybridMultilevel"/>
    <w:tmpl w:val="4FD8715E"/>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5DA96898"/>
    <w:multiLevelType w:val="hybridMultilevel"/>
    <w:tmpl w:val="993406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605F681F"/>
    <w:multiLevelType w:val="hybridMultilevel"/>
    <w:tmpl w:val="67D6F074"/>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621D4D34"/>
    <w:multiLevelType w:val="hybridMultilevel"/>
    <w:tmpl w:val="6D943718"/>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6C2511B7"/>
    <w:multiLevelType w:val="hybridMultilevel"/>
    <w:tmpl w:val="9D8453DA"/>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6FDB0209"/>
    <w:multiLevelType w:val="hybridMultilevel"/>
    <w:tmpl w:val="80F6F306"/>
    <w:lvl w:ilvl="0" w:tplc="04090013">
      <w:start w:val="1"/>
      <w:numFmt w:val="hebrew1"/>
      <w:lvlText w:val="%1."/>
      <w:lvlJc w:val="center"/>
      <w:pPr>
        <w:ind w:left="720" w:hanging="360"/>
      </w:pPr>
      <w:rPr>
        <w:rFonts w:cs="Times New Roman"/>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8"/>
  </w:num>
  <w:num w:numId="2">
    <w:abstractNumId w:val="1"/>
  </w:num>
  <w:num w:numId="3">
    <w:abstractNumId w:val="13"/>
  </w:num>
  <w:num w:numId="4">
    <w:abstractNumId w:val="5"/>
  </w:num>
  <w:num w:numId="5">
    <w:abstractNumId w:val="9"/>
  </w:num>
  <w:num w:numId="6">
    <w:abstractNumId w:val="2"/>
  </w:num>
  <w:num w:numId="7">
    <w:abstractNumId w:val="12"/>
  </w:num>
  <w:num w:numId="8">
    <w:abstractNumId w:val="3"/>
  </w:num>
  <w:num w:numId="9">
    <w:abstractNumId w:val="10"/>
  </w:num>
  <w:num w:numId="10">
    <w:abstractNumId w:val="7"/>
  </w:num>
  <w:num w:numId="11">
    <w:abstractNumId w:val="15"/>
  </w:num>
  <w:num w:numId="12">
    <w:abstractNumId w:val="14"/>
  </w:num>
  <w:num w:numId="13">
    <w:abstractNumId w:val="0"/>
  </w:num>
  <w:num w:numId="14">
    <w:abstractNumId w:val="11"/>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227"/>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73B"/>
    <w:rsid w:val="00017F47"/>
    <w:rsid w:val="00021C81"/>
    <w:rsid w:val="0005262F"/>
    <w:rsid w:val="00062760"/>
    <w:rsid w:val="00074077"/>
    <w:rsid w:val="000B3539"/>
    <w:rsid w:val="0014454B"/>
    <w:rsid w:val="0015474C"/>
    <w:rsid w:val="0016180D"/>
    <w:rsid w:val="001760B1"/>
    <w:rsid w:val="001A3EA4"/>
    <w:rsid w:val="001B3610"/>
    <w:rsid w:val="001D101E"/>
    <w:rsid w:val="0021744A"/>
    <w:rsid w:val="0022567B"/>
    <w:rsid w:val="0023497B"/>
    <w:rsid w:val="00277A2C"/>
    <w:rsid w:val="00284571"/>
    <w:rsid w:val="002C2378"/>
    <w:rsid w:val="002D06FA"/>
    <w:rsid w:val="002E0409"/>
    <w:rsid w:val="002E4063"/>
    <w:rsid w:val="002E5D2F"/>
    <w:rsid w:val="003025A3"/>
    <w:rsid w:val="0030665F"/>
    <w:rsid w:val="00310854"/>
    <w:rsid w:val="00320B3E"/>
    <w:rsid w:val="00326E86"/>
    <w:rsid w:val="0033248C"/>
    <w:rsid w:val="00340F31"/>
    <w:rsid w:val="00374154"/>
    <w:rsid w:val="003810BD"/>
    <w:rsid w:val="003A5925"/>
    <w:rsid w:val="003A6266"/>
    <w:rsid w:val="003C2C78"/>
    <w:rsid w:val="003C3241"/>
    <w:rsid w:val="003D3DCC"/>
    <w:rsid w:val="003D53AD"/>
    <w:rsid w:val="003E0722"/>
    <w:rsid w:val="0043015E"/>
    <w:rsid w:val="00440880"/>
    <w:rsid w:val="0047716C"/>
    <w:rsid w:val="00481382"/>
    <w:rsid w:val="004C3F5A"/>
    <w:rsid w:val="004E5124"/>
    <w:rsid w:val="004F2035"/>
    <w:rsid w:val="004F74E0"/>
    <w:rsid w:val="005840EC"/>
    <w:rsid w:val="005A1D13"/>
    <w:rsid w:val="005B2CE0"/>
    <w:rsid w:val="005B39CC"/>
    <w:rsid w:val="005C4CA6"/>
    <w:rsid w:val="005E0848"/>
    <w:rsid w:val="005E6E6F"/>
    <w:rsid w:val="00632DC4"/>
    <w:rsid w:val="006550BD"/>
    <w:rsid w:val="00690781"/>
    <w:rsid w:val="006A345A"/>
    <w:rsid w:val="006C0C95"/>
    <w:rsid w:val="006C6C76"/>
    <w:rsid w:val="006D50C0"/>
    <w:rsid w:val="006F1FF4"/>
    <w:rsid w:val="00702BF1"/>
    <w:rsid w:val="00773322"/>
    <w:rsid w:val="00787398"/>
    <w:rsid w:val="007A4CC0"/>
    <w:rsid w:val="007D0F1A"/>
    <w:rsid w:val="007D5F97"/>
    <w:rsid w:val="007F2DC4"/>
    <w:rsid w:val="00800037"/>
    <w:rsid w:val="00800247"/>
    <w:rsid w:val="00830AB8"/>
    <w:rsid w:val="00833EE2"/>
    <w:rsid w:val="00855F77"/>
    <w:rsid w:val="00890B75"/>
    <w:rsid w:val="00891424"/>
    <w:rsid w:val="008959E4"/>
    <w:rsid w:val="008C0FFE"/>
    <w:rsid w:val="008E1A5E"/>
    <w:rsid w:val="008E4CC4"/>
    <w:rsid w:val="008F254F"/>
    <w:rsid w:val="00906281"/>
    <w:rsid w:val="00937BB3"/>
    <w:rsid w:val="00946D94"/>
    <w:rsid w:val="009A6752"/>
    <w:rsid w:val="009F60D0"/>
    <w:rsid w:val="00A00645"/>
    <w:rsid w:val="00A02B20"/>
    <w:rsid w:val="00A16CE3"/>
    <w:rsid w:val="00A227F6"/>
    <w:rsid w:val="00A37748"/>
    <w:rsid w:val="00A618A4"/>
    <w:rsid w:val="00A75D34"/>
    <w:rsid w:val="00A96B72"/>
    <w:rsid w:val="00AB52F3"/>
    <w:rsid w:val="00AD473B"/>
    <w:rsid w:val="00B032C6"/>
    <w:rsid w:val="00B13284"/>
    <w:rsid w:val="00B311A8"/>
    <w:rsid w:val="00B42AB4"/>
    <w:rsid w:val="00B46E3C"/>
    <w:rsid w:val="00B53C99"/>
    <w:rsid w:val="00B57342"/>
    <w:rsid w:val="00BB45C4"/>
    <w:rsid w:val="00BC3389"/>
    <w:rsid w:val="00BF1EFA"/>
    <w:rsid w:val="00C0232B"/>
    <w:rsid w:val="00C204BD"/>
    <w:rsid w:val="00C4332D"/>
    <w:rsid w:val="00C50A6B"/>
    <w:rsid w:val="00CA272C"/>
    <w:rsid w:val="00CB2F77"/>
    <w:rsid w:val="00CF7C68"/>
    <w:rsid w:val="00D010C9"/>
    <w:rsid w:val="00D041EE"/>
    <w:rsid w:val="00D30E2A"/>
    <w:rsid w:val="00D4729F"/>
    <w:rsid w:val="00D817E5"/>
    <w:rsid w:val="00DC3885"/>
    <w:rsid w:val="00DE0AAF"/>
    <w:rsid w:val="00DF4E6C"/>
    <w:rsid w:val="00E13DF9"/>
    <w:rsid w:val="00E25BFC"/>
    <w:rsid w:val="00E647C1"/>
    <w:rsid w:val="00E655E5"/>
    <w:rsid w:val="00E72D58"/>
    <w:rsid w:val="00E82FA4"/>
    <w:rsid w:val="00EA223D"/>
    <w:rsid w:val="00EA2FE3"/>
    <w:rsid w:val="00EB0DC8"/>
    <w:rsid w:val="00ED27B2"/>
    <w:rsid w:val="00EF4E7C"/>
    <w:rsid w:val="00F12A4C"/>
    <w:rsid w:val="00F1478F"/>
    <w:rsid w:val="00F17F48"/>
    <w:rsid w:val="00F5259A"/>
    <w:rsid w:val="00F86D85"/>
    <w:rsid w:val="00FA422C"/>
    <w:rsid w:val="00FD763D"/>
    <w:rsid w:val="00FF4E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7555D1-0293-4FBF-A44B-B5C490C1A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David"/>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254F"/>
    <w:pPr>
      <w:tabs>
        <w:tab w:val="left" w:pos="284"/>
      </w:tabs>
      <w:bidi/>
      <w:spacing w:after="80" w:line="240" w:lineRule="exact"/>
      <w:ind w:firstLine="284"/>
      <w:jc w:val="both"/>
    </w:pPr>
    <w:rPr>
      <w:szCs w:val="23"/>
    </w:rPr>
  </w:style>
  <w:style w:type="paragraph" w:styleId="1">
    <w:name w:val="heading 1"/>
    <w:aliases w:val="1מחבר"/>
    <w:basedOn w:val="a"/>
    <w:next w:val="2"/>
    <w:qFormat/>
    <w:rsid w:val="00CA272C"/>
    <w:pPr>
      <w:keepNext/>
      <w:pageBreakBefore/>
      <w:spacing w:after="397"/>
      <w:ind w:firstLine="0"/>
      <w:jc w:val="left"/>
      <w:outlineLvl w:val="0"/>
    </w:pPr>
    <w:rPr>
      <w:spacing w:val="22"/>
      <w:szCs w:val="24"/>
    </w:rPr>
  </w:style>
  <w:style w:type="paragraph" w:styleId="2">
    <w:name w:val="heading 2"/>
    <w:aliases w:val="2מאמר"/>
    <w:basedOn w:val="a"/>
    <w:next w:val="a"/>
    <w:qFormat/>
    <w:rsid w:val="00CA272C"/>
    <w:pPr>
      <w:keepNext/>
      <w:spacing w:after="397"/>
      <w:ind w:firstLine="0"/>
      <w:jc w:val="center"/>
      <w:outlineLvl w:val="1"/>
    </w:pPr>
    <w:rPr>
      <w:b/>
      <w:bCs/>
      <w:sz w:val="26"/>
      <w:szCs w:val="28"/>
    </w:rPr>
  </w:style>
  <w:style w:type="paragraph" w:styleId="3">
    <w:name w:val="heading 3"/>
    <w:aliases w:val="הערות"/>
    <w:basedOn w:val="a"/>
    <w:next w:val="a"/>
    <w:unhideWhenUsed/>
    <w:rsid w:val="003E0722"/>
    <w:pPr>
      <w:keepNext/>
      <w:spacing w:before="120"/>
      <w:ind w:firstLine="0"/>
      <w:jc w:val="center"/>
      <w:outlineLvl w:val="2"/>
    </w:pPr>
    <w:rPr>
      <w:b/>
      <w:bCs/>
      <w:sz w:val="24"/>
      <w:szCs w:val="26"/>
    </w:rPr>
  </w:style>
  <w:style w:type="paragraph" w:styleId="4">
    <w:name w:val="heading 4"/>
    <w:aliases w:val="4פרק"/>
    <w:basedOn w:val="a"/>
    <w:next w:val="a"/>
    <w:qFormat/>
    <w:rsid w:val="00CA272C"/>
    <w:pPr>
      <w:keepNext/>
      <w:tabs>
        <w:tab w:val="clear" w:pos="284"/>
        <w:tab w:val="left" w:pos="227"/>
      </w:tabs>
      <w:spacing w:before="120"/>
      <w:ind w:firstLine="0"/>
      <w:jc w:val="center"/>
      <w:outlineLvl w:val="3"/>
    </w:pPr>
    <w:rPr>
      <w:b/>
      <w:bCs/>
      <w:szCs w:val="24"/>
    </w:rPr>
  </w:style>
  <w:style w:type="paragraph" w:styleId="5">
    <w:name w:val="heading 5"/>
    <w:aliases w:val="5תת"/>
    <w:basedOn w:val="a"/>
    <w:next w:val="a"/>
    <w:qFormat/>
    <w:rsid w:val="00CA272C"/>
    <w:pPr>
      <w:keepNext/>
      <w:tabs>
        <w:tab w:val="clear" w:pos="284"/>
        <w:tab w:val="left" w:pos="227"/>
      </w:tabs>
      <w:spacing w:before="80"/>
      <w:ind w:firstLine="0"/>
      <w:jc w:val="left"/>
      <w:outlineLvl w:val="4"/>
    </w:pPr>
    <w:rPr>
      <w:sz w:val="16"/>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nhideWhenUsed/>
    <w:rsid w:val="003E0722"/>
    <w:pPr>
      <w:framePr w:w="5040" w:h="1980" w:hRule="exact" w:hSpace="180" w:wrap="auto" w:vAnchor="page" w:hAnchor="page" w:x="1441" w:y="2161"/>
      <w:ind w:right="2880"/>
      <w:jc w:val="left"/>
    </w:pPr>
    <w:rPr>
      <w:sz w:val="24"/>
      <w:szCs w:val="28"/>
    </w:rPr>
  </w:style>
  <w:style w:type="paragraph" w:customStyle="1" w:styleId="a4">
    <w:name w:val="בולטראש"/>
    <w:basedOn w:val="a"/>
    <w:unhideWhenUsed/>
    <w:rsid w:val="003E0722"/>
    <w:pPr>
      <w:ind w:left="284" w:hanging="284"/>
    </w:pPr>
  </w:style>
  <w:style w:type="paragraph" w:customStyle="1" w:styleId="a5">
    <w:name w:val="פסקאצפוף"/>
    <w:basedOn w:val="a"/>
    <w:unhideWhenUsed/>
    <w:rsid w:val="003E0722"/>
    <w:pPr>
      <w:spacing w:after="0"/>
    </w:pPr>
  </w:style>
  <w:style w:type="paragraph" w:customStyle="1" w:styleId="20">
    <w:name w:val="בולט2"/>
    <w:basedOn w:val="a4"/>
    <w:unhideWhenUsed/>
    <w:rsid w:val="003E0722"/>
    <w:pPr>
      <w:spacing w:after="0"/>
      <w:ind w:left="567" w:hanging="567"/>
    </w:pPr>
  </w:style>
  <w:style w:type="paragraph" w:styleId="a6">
    <w:name w:val="envelope return"/>
    <w:basedOn w:val="a"/>
    <w:unhideWhenUsed/>
    <w:rsid w:val="003E0722"/>
    <w:rPr>
      <w:szCs w:val="20"/>
    </w:rPr>
  </w:style>
  <w:style w:type="paragraph" w:customStyle="1" w:styleId="a7">
    <w:name w:val="כניסהצפוף"/>
    <w:basedOn w:val="a"/>
    <w:next w:val="a"/>
    <w:unhideWhenUsed/>
    <w:rsid w:val="003E0722"/>
    <w:pPr>
      <w:spacing w:after="0"/>
      <w:ind w:left="794" w:firstLine="0"/>
    </w:pPr>
  </w:style>
  <w:style w:type="paragraph" w:styleId="a8">
    <w:name w:val="footnote text"/>
    <w:basedOn w:val="a"/>
    <w:link w:val="a9"/>
    <w:semiHidden/>
    <w:rsid w:val="00EA223D"/>
    <w:pPr>
      <w:spacing w:after="0" w:line="288" w:lineRule="auto"/>
      <w:ind w:left="284" w:hanging="284"/>
    </w:pPr>
    <w:rPr>
      <w:rFonts w:cs="Times New Roman"/>
      <w:color w:val="000000"/>
      <w:sz w:val="16"/>
      <w:szCs w:val="18"/>
      <w:lang w:val="x-none" w:eastAsia="he-IL"/>
    </w:rPr>
  </w:style>
  <w:style w:type="character" w:customStyle="1" w:styleId="a9">
    <w:name w:val="טקסט הערת שוליים תו"/>
    <w:link w:val="a8"/>
    <w:semiHidden/>
    <w:locked/>
    <w:rsid w:val="00EA223D"/>
    <w:rPr>
      <w:rFonts w:cs="David"/>
      <w:color w:val="000000"/>
      <w:sz w:val="16"/>
      <w:szCs w:val="18"/>
      <w:lang w:eastAsia="he-IL"/>
    </w:rPr>
  </w:style>
  <w:style w:type="paragraph" w:customStyle="1" w:styleId="aa">
    <w:name w:val="הערהפיסקא"/>
    <w:basedOn w:val="a8"/>
    <w:unhideWhenUsed/>
    <w:rsid w:val="003E0722"/>
    <w:pPr>
      <w:ind w:firstLine="0"/>
    </w:pPr>
  </w:style>
  <w:style w:type="paragraph" w:customStyle="1" w:styleId="ab">
    <w:name w:val="ראשיפרקים"/>
    <w:basedOn w:val="a"/>
    <w:rsid w:val="00EA223D"/>
    <w:pPr>
      <w:spacing w:after="240"/>
      <w:ind w:firstLine="0"/>
      <w:jc w:val="center"/>
    </w:pPr>
    <w:rPr>
      <w:szCs w:val="18"/>
    </w:rPr>
  </w:style>
  <w:style w:type="character" w:styleId="ac">
    <w:name w:val="footnote reference"/>
    <w:semiHidden/>
    <w:rsid w:val="00EA223D"/>
    <w:rPr>
      <w:vertAlign w:val="superscript"/>
    </w:rPr>
  </w:style>
  <w:style w:type="paragraph" w:styleId="TOC1">
    <w:name w:val="toc 1"/>
    <w:basedOn w:val="a"/>
    <w:next w:val="a"/>
    <w:semiHidden/>
    <w:rsid w:val="00EA223D"/>
    <w:pPr>
      <w:ind w:firstLine="0"/>
      <w:jc w:val="left"/>
    </w:pPr>
    <w:rPr>
      <w:szCs w:val="18"/>
    </w:rPr>
  </w:style>
  <w:style w:type="paragraph" w:styleId="ad">
    <w:name w:val="header"/>
    <w:basedOn w:val="a"/>
    <w:link w:val="ae"/>
    <w:uiPriority w:val="99"/>
    <w:rsid w:val="00EA223D"/>
    <w:pPr>
      <w:spacing w:after="0"/>
      <w:ind w:firstLine="0"/>
      <w:jc w:val="center"/>
    </w:pPr>
    <w:rPr>
      <w:rFonts w:cs="Times New Roman"/>
      <w:color w:val="000000"/>
      <w:sz w:val="16"/>
      <w:szCs w:val="18"/>
      <w:lang w:val="x-none" w:eastAsia="he-IL"/>
    </w:rPr>
  </w:style>
  <w:style w:type="character" w:styleId="af">
    <w:name w:val="page number"/>
    <w:unhideWhenUsed/>
    <w:rsid w:val="003E0722"/>
    <w:rPr>
      <w:rFonts w:ascii="Times New Roman" w:hAnsi="Times New Roman" w:cs="David"/>
      <w:color w:val="000000"/>
      <w:sz w:val="24"/>
      <w:szCs w:val="24"/>
    </w:rPr>
  </w:style>
  <w:style w:type="paragraph" w:styleId="af0">
    <w:name w:val="footer"/>
    <w:basedOn w:val="a"/>
    <w:link w:val="af1"/>
    <w:uiPriority w:val="99"/>
    <w:rsid w:val="00EA223D"/>
    <w:pPr>
      <w:tabs>
        <w:tab w:val="center" w:pos="4153"/>
        <w:tab w:val="right" w:pos="8306"/>
      </w:tabs>
    </w:pPr>
    <w:rPr>
      <w:rFonts w:cs="Times New Roman"/>
      <w:color w:val="000000"/>
      <w:sz w:val="16"/>
      <w:lang w:val="x-none" w:eastAsia="he-IL"/>
    </w:rPr>
  </w:style>
  <w:style w:type="paragraph" w:styleId="TOC2">
    <w:name w:val="toc 2"/>
    <w:basedOn w:val="a"/>
    <w:next w:val="a"/>
    <w:semiHidden/>
    <w:rsid w:val="00EA223D"/>
    <w:pPr>
      <w:ind w:firstLine="0"/>
      <w:jc w:val="left"/>
    </w:pPr>
    <w:rPr>
      <w:szCs w:val="18"/>
    </w:rPr>
  </w:style>
  <w:style w:type="paragraph" w:styleId="TOC3">
    <w:name w:val="toc 3"/>
    <w:basedOn w:val="a"/>
    <w:next w:val="a"/>
    <w:semiHidden/>
    <w:rsid w:val="00EA223D"/>
    <w:pPr>
      <w:tabs>
        <w:tab w:val="clear" w:pos="284"/>
      </w:tabs>
      <w:spacing w:after="0"/>
      <w:ind w:firstLine="0"/>
      <w:jc w:val="left"/>
    </w:pPr>
    <w:rPr>
      <w:szCs w:val="18"/>
    </w:rPr>
  </w:style>
  <w:style w:type="paragraph" w:styleId="TOC4">
    <w:name w:val="toc 4"/>
    <w:basedOn w:val="a"/>
    <w:next w:val="a"/>
    <w:uiPriority w:val="39"/>
    <w:unhideWhenUsed/>
    <w:rsid w:val="003E0722"/>
    <w:pPr>
      <w:tabs>
        <w:tab w:val="clear" w:pos="284"/>
      </w:tabs>
      <w:spacing w:after="0"/>
      <w:ind w:firstLine="0"/>
      <w:jc w:val="left"/>
    </w:pPr>
    <w:rPr>
      <w:szCs w:val="18"/>
    </w:rPr>
  </w:style>
  <w:style w:type="paragraph" w:styleId="TOC5">
    <w:name w:val="toc 5"/>
    <w:basedOn w:val="a"/>
    <w:next w:val="a"/>
    <w:uiPriority w:val="39"/>
    <w:unhideWhenUsed/>
    <w:rsid w:val="003E0722"/>
    <w:pPr>
      <w:tabs>
        <w:tab w:val="clear" w:pos="284"/>
      </w:tabs>
      <w:spacing w:after="0"/>
      <w:ind w:firstLine="227"/>
      <w:jc w:val="left"/>
    </w:pPr>
    <w:rPr>
      <w:szCs w:val="18"/>
    </w:rPr>
  </w:style>
  <w:style w:type="character" w:customStyle="1" w:styleId="af2">
    <w:name w:val="תוכן"/>
    <w:rsid w:val="00EA223D"/>
    <w:rPr>
      <w:rFonts w:ascii="Times New Roman" w:hAnsi="Times New Roman" w:cs="David"/>
      <w:color w:val="0000FF"/>
      <w:sz w:val="16"/>
      <w:szCs w:val="18"/>
    </w:rPr>
  </w:style>
  <w:style w:type="paragraph" w:customStyle="1" w:styleId="af3">
    <w:name w:val="כניסהרווח"/>
    <w:basedOn w:val="a7"/>
    <w:rsid w:val="00EA223D"/>
    <w:pPr>
      <w:spacing w:after="80"/>
    </w:pPr>
  </w:style>
  <w:style w:type="paragraph" w:customStyle="1" w:styleId="normal">
    <w:name w:val="normalללא"/>
    <w:basedOn w:val="a"/>
    <w:unhideWhenUsed/>
    <w:rsid w:val="003E0722"/>
    <w:pPr>
      <w:ind w:firstLine="0"/>
    </w:pPr>
  </w:style>
  <w:style w:type="paragraph" w:customStyle="1" w:styleId="af4">
    <w:name w:val="צפוףללא"/>
    <w:basedOn w:val="normal"/>
    <w:unhideWhenUsed/>
    <w:rsid w:val="003E0722"/>
    <w:pPr>
      <w:spacing w:after="0"/>
    </w:pPr>
  </w:style>
  <w:style w:type="paragraph" w:styleId="TOC6">
    <w:name w:val="toc 6"/>
    <w:basedOn w:val="a"/>
    <w:next w:val="a"/>
    <w:autoRedefine/>
    <w:semiHidden/>
    <w:rsid w:val="00EA223D"/>
    <w:pPr>
      <w:tabs>
        <w:tab w:val="clear" w:pos="284"/>
      </w:tabs>
      <w:ind w:left="800"/>
    </w:pPr>
  </w:style>
  <w:style w:type="paragraph" w:styleId="TOC7">
    <w:name w:val="toc 7"/>
    <w:basedOn w:val="a"/>
    <w:next w:val="a"/>
    <w:autoRedefine/>
    <w:semiHidden/>
    <w:rsid w:val="00EA223D"/>
    <w:pPr>
      <w:tabs>
        <w:tab w:val="clear" w:pos="284"/>
      </w:tabs>
      <w:ind w:left="960"/>
    </w:pPr>
  </w:style>
  <w:style w:type="paragraph" w:styleId="TOC8">
    <w:name w:val="toc 8"/>
    <w:basedOn w:val="a"/>
    <w:next w:val="a"/>
    <w:autoRedefine/>
    <w:semiHidden/>
    <w:rsid w:val="00EA223D"/>
    <w:pPr>
      <w:tabs>
        <w:tab w:val="clear" w:pos="284"/>
      </w:tabs>
      <w:ind w:left="1120"/>
    </w:pPr>
  </w:style>
  <w:style w:type="paragraph" w:styleId="TOC9">
    <w:name w:val="toc 9"/>
    <w:basedOn w:val="a"/>
    <w:next w:val="a"/>
    <w:autoRedefine/>
    <w:semiHidden/>
    <w:rsid w:val="00EA223D"/>
    <w:pPr>
      <w:tabs>
        <w:tab w:val="clear" w:pos="284"/>
      </w:tabs>
      <w:ind w:left="1280"/>
    </w:pPr>
  </w:style>
  <w:style w:type="paragraph" w:customStyle="1" w:styleId="af5">
    <w:name w:val="צפוף"/>
    <w:basedOn w:val="a"/>
    <w:unhideWhenUsed/>
    <w:rsid w:val="003E0722"/>
    <w:pPr>
      <w:tabs>
        <w:tab w:val="clear" w:pos="284"/>
      </w:tabs>
      <w:spacing w:after="0" w:line="240" w:lineRule="auto"/>
      <w:ind w:firstLine="0"/>
    </w:pPr>
    <w:rPr>
      <w:sz w:val="22"/>
      <w:szCs w:val="24"/>
    </w:rPr>
  </w:style>
  <w:style w:type="paragraph" w:customStyle="1" w:styleId="-">
    <w:name w:val="רג-צפ"/>
    <w:basedOn w:val="a"/>
    <w:unhideWhenUsed/>
    <w:rsid w:val="003E0722"/>
    <w:pPr>
      <w:spacing w:after="0"/>
    </w:pPr>
  </w:style>
  <w:style w:type="paragraph" w:customStyle="1" w:styleId="-0">
    <w:name w:val="רג-ללא"/>
    <w:basedOn w:val="a"/>
    <w:unhideWhenUsed/>
    <w:rsid w:val="003E0722"/>
    <w:pPr>
      <w:ind w:firstLine="0"/>
    </w:pPr>
  </w:style>
  <w:style w:type="paragraph" w:customStyle="1" w:styleId="10">
    <w:name w:val="פיסקת רשימה1"/>
    <w:basedOn w:val="a"/>
    <w:unhideWhenUsed/>
    <w:rsid w:val="003E0722"/>
    <w:pPr>
      <w:tabs>
        <w:tab w:val="clear" w:pos="284"/>
      </w:tabs>
      <w:spacing w:after="0" w:line="276" w:lineRule="auto"/>
      <w:ind w:left="720" w:firstLine="0"/>
      <w:contextualSpacing/>
    </w:pPr>
    <w:rPr>
      <w:rFonts w:ascii="Calibri" w:hAnsi="Calibri" w:cs="Arial"/>
      <w:sz w:val="22"/>
      <w:szCs w:val="22"/>
    </w:rPr>
  </w:style>
  <w:style w:type="character" w:styleId="Hyperlink">
    <w:name w:val="Hyperlink"/>
    <w:semiHidden/>
    <w:rsid w:val="00EA223D"/>
    <w:rPr>
      <w:rFonts w:cs="Times New Roman"/>
      <w:color w:val="0000FF"/>
      <w:u w:val="single"/>
    </w:rPr>
  </w:style>
  <w:style w:type="paragraph" w:styleId="NormalWeb">
    <w:name w:val="Normal (Web)‎"/>
    <w:basedOn w:val="a"/>
    <w:semiHidden/>
    <w:rsid w:val="00EA223D"/>
    <w:pPr>
      <w:tabs>
        <w:tab w:val="clear" w:pos="284"/>
      </w:tabs>
      <w:bidi w:val="0"/>
      <w:spacing w:before="100" w:beforeAutospacing="1" w:after="100" w:afterAutospacing="1" w:line="240" w:lineRule="auto"/>
      <w:ind w:firstLine="0"/>
      <w:jc w:val="left"/>
    </w:pPr>
    <w:rPr>
      <w:rFonts w:eastAsia="Calibri" w:cs="Times New Roman"/>
      <w:sz w:val="24"/>
      <w:szCs w:val="24"/>
    </w:rPr>
  </w:style>
  <w:style w:type="paragraph" w:styleId="af6">
    <w:name w:val="annotation text"/>
    <w:basedOn w:val="a"/>
    <w:link w:val="af7"/>
    <w:semiHidden/>
    <w:rsid w:val="00EA223D"/>
    <w:pPr>
      <w:tabs>
        <w:tab w:val="clear" w:pos="284"/>
      </w:tabs>
      <w:spacing w:after="0" w:line="240" w:lineRule="auto"/>
      <w:ind w:firstLine="0"/>
    </w:pPr>
    <w:rPr>
      <w:rFonts w:ascii="Calibri" w:hAnsi="Calibri" w:cs="Times New Roman"/>
      <w:szCs w:val="20"/>
      <w:lang w:val="x-none" w:eastAsia="x-none"/>
    </w:rPr>
  </w:style>
  <w:style w:type="character" w:customStyle="1" w:styleId="af7">
    <w:name w:val="טקסט הערה תו"/>
    <w:link w:val="af6"/>
    <w:semiHidden/>
    <w:locked/>
    <w:rsid w:val="00EA223D"/>
    <w:rPr>
      <w:rFonts w:ascii="Calibri" w:hAnsi="Calibri" w:cs="Arial"/>
    </w:rPr>
  </w:style>
  <w:style w:type="paragraph" w:styleId="af8">
    <w:name w:val="annotation subject"/>
    <w:basedOn w:val="af6"/>
    <w:next w:val="af6"/>
    <w:link w:val="af9"/>
    <w:semiHidden/>
    <w:rsid w:val="00EA223D"/>
    <w:rPr>
      <w:b/>
      <w:bCs/>
    </w:rPr>
  </w:style>
  <w:style w:type="character" w:customStyle="1" w:styleId="af9">
    <w:name w:val="נושא הערה תו"/>
    <w:link w:val="af8"/>
    <w:semiHidden/>
    <w:locked/>
    <w:rsid w:val="00EA223D"/>
    <w:rPr>
      <w:rFonts w:ascii="Calibri" w:hAnsi="Calibri" w:cs="Arial"/>
      <w:b/>
      <w:bCs/>
    </w:rPr>
  </w:style>
  <w:style w:type="paragraph" w:styleId="afa">
    <w:name w:val="Balloon Text"/>
    <w:basedOn w:val="a"/>
    <w:link w:val="afb"/>
    <w:semiHidden/>
    <w:rsid w:val="00EA223D"/>
    <w:pPr>
      <w:tabs>
        <w:tab w:val="clear" w:pos="284"/>
      </w:tabs>
      <w:spacing w:after="0" w:line="240" w:lineRule="auto"/>
      <w:ind w:firstLine="0"/>
    </w:pPr>
    <w:rPr>
      <w:rFonts w:ascii="Tahoma" w:hAnsi="Tahoma" w:cs="Times New Roman"/>
      <w:sz w:val="16"/>
      <w:szCs w:val="16"/>
      <w:lang w:val="x-none" w:eastAsia="x-none"/>
    </w:rPr>
  </w:style>
  <w:style w:type="character" w:customStyle="1" w:styleId="afb">
    <w:name w:val="טקסט בלונים תו"/>
    <w:link w:val="afa"/>
    <w:semiHidden/>
    <w:locked/>
    <w:rsid w:val="00EA223D"/>
    <w:rPr>
      <w:rFonts w:ascii="Tahoma" w:hAnsi="Tahoma" w:cs="Tahoma"/>
      <w:sz w:val="16"/>
      <w:szCs w:val="16"/>
    </w:rPr>
  </w:style>
  <w:style w:type="paragraph" w:customStyle="1" w:styleId="afc">
    <w:name w:val="הערות שולים תחומין"/>
    <w:basedOn w:val="a8"/>
    <w:unhideWhenUsed/>
    <w:rsid w:val="003E0722"/>
    <w:rPr>
      <w:sz w:val="18"/>
    </w:rPr>
  </w:style>
  <w:style w:type="paragraph" w:customStyle="1" w:styleId="afd">
    <w:name w:val="הערות שוליים תחומין"/>
    <w:basedOn w:val="a8"/>
    <w:uiPriority w:val="99"/>
    <w:unhideWhenUsed/>
    <w:rsid w:val="00A16CE3"/>
    <w:rPr>
      <w:sz w:val="18"/>
    </w:rPr>
  </w:style>
  <w:style w:type="paragraph" w:customStyle="1" w:styleId="-1">
    <w:name w:val="הע-שולים תחומ"/>
    <w:basedOn w:val="a8"/>
    <w:unhideWhenUsed/>
    <w:rsid w:val="003E0722"/>
    <w:rPr>
      <w:sz w:val="18"/>
    </w:rPr>
  </w:style>
  <w:style w:type="character" w:customStyle="1" w:styleId="ae">
    <w:name w:val="כותרת עליונה תו"/>
    <w:link w:val="ad"/>
    <w:uiPriority w:val="99"/>
    <w:rsid w:val="00EA223D"/>
    <w:rPr>
      <w:rFonts w:cs="David"/>
      <w:color w:val="000000"/>
      <w:sz w:val="16"/>
      <w:szCs w:val="18"/>
      <w:lang w:eastAsia="he-IL"/>
    </w:rPr>
  </w:style>
  <w:style w:type="character" w:customStyle="1" w:styleId="af1">
    <w:name w:val="כותרת תחתונה תו"/>
    <w:link w:val="af0"/>
    <w:uiPriority w:val="99"/>
    <w:rsid w:val="00EA223D"/>
    <w:rPr>
      <w:rFonts w:cs="David"/>
      <w:color w:val="000000"/>
      <w:sz w:val="16"/>
      <w:szCs w:val="23"/>
      <w:lang w:eastAsia="he-IL"/>
    </w:rPr>
  </w:style>
  <w:style w:type="paragraph" w:customStyle="1" w:styleId="-2">
    <w:name w:val="הערות-תחומ"/>
    <w:basedOn w:val="afd"/>
    <w:link w:val="-3"/>
    <w:unhideWhenUsed/>
    <w:rsid w:val="003E0722"/>
  </w:style>
  <w:style w:type="character" w:customStyle="1" w:styleId="-3">
    <w:name w:val="הערות-תחומ תו"/>
    <w:link w:val="-2"/>
    <w:rsid w:val="003E0722"/>
    <w:rPr>
      <w:color w:val="000000"/>
      <w:sz w:val="18"/>
      <w:szCs w:val="18"/>
      <w:lang w:eastAsia="he-IL"/>
    </w:rPr>
  </w:style>
  <w:style w:type="paragraph" w:customStyle="1" w:styleId="afe">
    <w:name w:val="כנס+"/>
    <w:basedOn w:val="af3"/>
    <w:link w:val="aff"/>
    <w:unhideWhenUsed/>
    <w:qFormat/>
    <w:rsid w:val="003E0722"/>
    <w:rPr>
      <w:rFonts w:cs="Times New Roman"/>
      <w:lang w:val="x-none" w:eastAsia="x-none"/>
    </w:rPr>
  </w:style>
  <w:style w:type="character" w:customStyle="1" w:styleId="aff">
    <w:name w:val="כנס+ תו"/>
    <w:link w:val="afe"/>
    <w:rsid w:val="003E0722"/>
    <w:rPr>
      <w:szCs w:val="23"/>
    </w:rPr>
  </w:style>
  <w:style w:type="paragraph" w:customStyle="1" w:styleId="-4">
    <w:name w:val="כנס-"/>
    <w:basedOn w:val="a7"/>
    <w:link w:val="-5"/>
    <w:unhideWhenUsed/>
    <w:qFormat/>
    <w:rsid w:val="003E0722"/>
    <w:rPr>
      <w:rFonts w:cs="Times New Roman"/>
      <w:lang w:val="x-none" w:eastAsia="x-none"/>
    </w:rPr>
  </w:style>
  <w:style w:type="character" w:customStyle="1" w:styleId="-5">
    <w:name w:val="כנס- תו"/>
    <w:link w:val="-4"/>
    <w:rsid w:val="003E0722"/>
    <w:rPr>
      <w:szCs w:val="23"/>
    </w:rPr>
  </w:style>
  <w:style w:type="paragraph" w:customStyle="1" w:styleId="aff0">
    <w:name w:val="תלוי"/>
    <w:basedOn w:val="a4"/>
    <w:link w:val="aff1"/>
    <w:unhideWhenUsed/>
    <w:rsid w:val="003E0722"/>
    <w:rPr>
      <w:rFonts w:cs="Times New Roman"/>
      <w:lang w:val="x-none" w:eastAsia="x-none"/>
    </w:rPr>
  </w:style>
  <w:style w:type="character" w:customStyle="1" w:styleId="aff1">
    <w:name w:val="תלוי תו"/>
    <w:link w:val="aff0"/>
    <w:rsid w:val="003E0722"/>
    <w:rPr>
      <w:szCs w:val="23"/>
    </w:rPr>
  </w:style>
  <w:style w:type="paragraph" w:customStyle="1" w:styleId="-6">
    <w:name w:val="רגיל-ללא"/>
    <w:basedOn w:val="-0"/>
    <w:link w:val="-7"/>
    <w:unhideWhenUsed/>
    <w:qFormat/>
    <w:rsid w:val="00CF7C68"/>
    <w:rPr>
      <w:rFonts w:cs="Times New Roman"/>
      <w:sz w:val="24"/>
      <w:szCs w:val="22"/>
      <w:lang w:val="x-none" w:eastAsia="he-IL"/>
    </w:rPr>
  </w:style>
  <w:style w:type="character" w:customStyle="1" w:styleId="-7">
    <w:name w:val="רגיל-ללא תו"/>
    <w:link w:val="-6"/>
    <w:rsid w:val="00CF7C68"/>
    <w:rPr>
      <w:sz w:val="24"/>
      <w:szCs w:val="22"/>
      <w:lang w:eastAsia="he-IL"/>
    </w:rPr>
  </w:style>
  <w:style w:type="paragraph" w:styleId="aff2">
    <w:name w:val="הצעת מחיר"/>
    <w:basedOn w:val="a"/>
    <w:link w:val="aff3"/>
    <w:autoRedefine/>
    <w:unhideWhenUsed/>
    <w:rsid w:val="003E0722"/>
    <w:pPr>
      <w:tabs>
        <w:tab w:val="clear" w:pos="284"/>
      </w:tabs>
      <w:autoSpaceDE w:val="0"/>
      <w:autoSpaceDN w:val="0"/>
      <w:adjustRightInd w:val="0"/>
      <w:spacing w:after="0" w:line="360" w:lineRule="auto"/>
      <w:ind w:left="737" w:right="737" w:firstLine="0"/>
    </w:pPr>
    <w:rPr>
      <w:rFonts w:cs="Times New Roman"/>
      <w:color w:val="000000"/>
      <w:sz w:val="32"/>
      <w:szCs w:val="24"/>
      <w:lang w:val="x-none" w:eastAsia="x-none"/>
    </w:rPr>
  </w:style>
  <w:style w:type="character" w:customStyle="1" w:styleId="aff3">
    <w:name w:val="הצעת מחיר תו"/>
    <w:link w:val="aff2"/>
    <w:rsid w:val="003E0722"/>
    <w:rPr>
      <w:color w:val="000000"/>
      <w:sz w:val="32"/>
      <w:szCs w:val="24"/>
    </w:rPr>
  </w:style>
  <w:style w:type="paragraph" w:customStyle="1" w:styleId="-8">
    <w:name w:val="הערות -תחומ"/>
    <w:basedOn w:val="afd"/>
    <w:link w:val="-9"/>
    <w:unhideWhenUsed/>
    <w:qFormat/>
    <w:rsid w:val="00A00645"/>
  </w:style>
  <w:style w:type="character" w:customStyle="1" w:styleId="-9">
    <w:name w:val="הערות -תחומ תו"/>
    <w:link w:val="-8"/>
    <w:rsid w:val="00A00645"/>
    <w:rPr>
      <w:color w:val="000000"/>
      <w:sz w:val="18"/>
      <w:szCs w:val="18"/>
      <w:lang w:eastAsia="he-IL"/>
    </w:rPr>
  </w:style>
  <w:style w:type="paragraph" w:customStyle="1" w:styleId="7">
    <w:name w:val="7תלוי"/>
    <w:basedOn w:val="a4"/>
    <w:link w:val="70"/>
    <w:unhideWhenUsed/>
    <w:qFormat/>
    <w:rsid w:val="003D3DCC"/>
    <w:rPr>
      <w:rFonts w:cs="Times New Roman"/>
      <w:lang w:val="x-none" w:eastAsia="x-none"/>
    </w:rPr>
  </w:style>
  <w:style w:type="character" w:customStyle="1" w:styleId="70">
    <w:name w:val="7תלוי תו"/>
    <w:link w:val="7"/>
    <w:rsid w:val="003D3DCC"/>
    <w:rPr>
      <w:szCs w:val="23"/>
    </w:rPr>
  </w:style>
  <w:style w:type="paragraph" w:customStyle="1" w:styleId="-a">
    <w:name w:val="רגיל-צפ"/>
    <w:basedOn w:val="a5"/>
    <w:link w:val="-b"/>
    <w:qFormat/>
    <w:rsid w:val="00833EE2"/>
    <w:rPr>
      <w:shd w:val="clear" w:color="auto" w:fill="FFFFFF"/>
    </w:rPr>
  </w:style>
  <w:style w:type="character" w:customStyle="1" w:styleId="-b">
    <w:name w:val="רגיל-צפ תו"/>
    <w:basedOn w:val="a0"/>
    <w:link w:val="-a"/>
    <w:rsid w:val="00833EE2"/>
    <w:rPr>
      <w:szCs w:val="23"/>
    </w:rPr>
  </w:style>
  <w:style w:type="character" w:customStyle="1" w:styleId="apple-style-span">
    <w:name w:val="apple-style-span"/>
    <w:basedOn w:val="a0"/>
    <w:rsid w:val="00AD473B"/>
    <w:rPr>
      <w:bdr w:val="single" w:sz="2" w:space="0" w:color="EEEEEE"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az\Dropbox\&#1514;&#1495;&#1493;&#1502;&#1497;&#1503;%20&#1500;&#1494;\&#1514;&#1489;&#1504;&#1497;&#1514;%20&#1514;&#1495;&#1493;&#1502;&#1497;&#1503;%20&#1500;&#1494;.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תבנית תחומין לז</Template>
  <TotalTime>0</TotalTime>
  <Pages>8</Pages>
  <Words>2340</Words>
  <Characters>11704</Characters>
  <Application>Microsoft Office Word</Application>
  <DocSecurity>0</DocSecurity>
  <Lines>97</Lines>
  <Paragraphs>28</Paragraphs>
  <ScaleCrop>false</ScaleCrop>
  <HeadingPairs>
    <vt:vector size="2" baseType="variant">
      <vt:variant>
        <vt:lpstr>שם</vt:lpstr>
      </vt:variant>
      <vt:variant>
        <vt:i4>1</vt:i4>
      </vt:variant>
    </vt:vector>
  </HeadingPairs>
  <TitlesOfParts>
    <vt:vector size="1" baseType="lpstr">
      <vt:lpstr>תחומין</vt:lpstr>
    </vt:vector>
  </TitlesOfParts>
  <Company>IBM ThinkPad 380</Company>
  <LinksUpToDate>false</LinksUpToDate>
  <CharactersWithSpaces>14016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תחומין</dc:title>
  <dc:subject/>
  <dc:creator>boaz</dc:creator>
  <cp:keywords/>
  <cp:lastModifiedBy>זילבר יוסי</cp:lastModifiedBy>
  <cp:revision>2</cp:revision>
  <cp:lastPrinted>2017-04-30T15:46:00Z</cp:lastPrinted>
  <dcterms:created xsi:type="dcterms:W3CDTF">2017-06-02T11:56:00Z</dcterms:created>
  <dcterms:modified xsi:type="dcterms:W3CDTF">2017-06-02T11:56:00Z</dcterms:modified>
</cp:coreProperties>
</file>